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jpg" ContentType="image/jpeg"/>
  <Override PartName="/word/media/rId51.jpg" ContentType="image/jpeg"/>
  <Override PartName="/word/media/rId58.jpg" ContentType="image/jpeg"/>
  <Override PartName="/word/media/rId84.png" ContentType="image/png"/>
  <Override PartName="/word/media/rId166.png" ContentType="image/png"/>
  <Override PartName="/word/media/rId103.png" ContentType="image/png"/>
  <Override PartName="/word/media/rId173.png" ContentType="image/png"/>
  <Override PartName="/word/media/rId179.png" ContentType="image/png"/>
  <Override PartName="/word/media/rId121.png" ContentType="image/png"/>
  <Override PartName="/word/media/rId185.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Date"/>
      </w:pPr>
      <w:r>
        <w:t xml:space="preserve">2026-03-30</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1. Introduction</w:t>
      </w:r>
    </w:p>
    <w:bookmarkStart w:id="10"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This stands in stark contrast to treatment initiation rates for other chronic diseases</w:t>
      </w:r>
      <w:r>
        <w:t xml:space="preserve"> </w:t>
      </w:r>
      <w:r>
        <w:t xml:space="preserve">(Substance Abuse and Mental Health Services Administration, n.d.)</w:t>
      </w:r>
      <w:r>
        <w:t xml:space="preserve">.</w:t>
      </w:r>
    </w:p>
    <w:p>
      <w:pPr>
        <w:pStyle w:val="BodyText"/>
      </w:pPr>
      <w:r>
        <w:t xml:space="preserve">While low rates of treatment initiation represent a critical gap in the SUD care continuum,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reflects the challenges of managing any chronic condition without adequate continuing care.</w:t>
      </w:r>
    </w:p>
    <w:p>
      <w:pPr>
        <w:pStyle w:val="BodyText"/>
      </w:pPr>
      <w:r>
        <w:t xml:space="preserve">Moreover, SUDs do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These patterns highlight the important role of continuing care, including ongoing monitoring and support and timely re‑intervention with more intensive treatment when necessary, following an initial treatment episode (e.g., 12 weeks of intensive outpatient treatment, early stabilization on medications for opioid use disorder). However, structural limitations within the current treatment system undermine the delivery of such care. Stigma surrounding SUD and historical views of substance use as a social or behavioral problem have contributed to the siloing of SUD treatment in specialized, community‑based settings disconnected from primary care. Additional factors including cost, lack of collaborative provider teams, passive referral processes, geographic barriers, patient dropout, and changing clinical needs further undermine continuity of care</w:t>
      </w:r>
      <w:r>
        <w:t xml:space="preserve"> </w:t>
      </w:r>
      <w:r>
        <w:t xml:space="preserve">(Dennis &amp; Scott, 2007; McKay, 2021; Stanojlović &amp; Davidson, 2021; Tai &amp; Volkow, 2013)</w:t>
      </w:r>
      <w:r>
        <w:t xml:space="preserve">. This results in a fragmented infrastructure with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10"/>
    <w:bookmarkStart w:id="11"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w:t>
      </w:r>
      <w:r>
        <w:t xml:space="preserve"> </w:t>
      </w:r>
      <w:r>
        <w:t xml:space="preserve">(Kuerbis et al., 2014)</w:t>
      </w:r>
      <w:r>
        <w:t xml:space="preser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11"/>
    <w:bookmarkStart w:id="12" w:name="recovery-monitoring-and-support-system"/>
    <w:p>
      <w:pPr>
        <w:pStyle w:val="Heading2"/>
      </w:pPr>
      <w:r>
        <w:t xml:space="preserve">1.3 Recovery Monitoring and Support System</w:t>
      </w:r>
    </w:p>
    <w:p>
      <w:pPr>
        <w:pStyle w:val="FirstParagraph"/>
      </w:pPr>
      <w:r>
        <w:t xml:space="preserve">An algorithm‑guided recovery monitoring and support system could address the substantial unmet need for continuing care following initial SUD treatment. The system could deliver personalized, adaptive feedback about lapse risk and suggest risk-relevant recovery activities aligned with evidence‑based care. For example, individuals might receive daily messages on changes in their lapse risk along with tailored recommendations informed by the most important features contributing to that risk. Thus, such a system could help individuals monitor their current and future risk of lapse and proactively adjust their activities and supports to meet their recovery goals following symptom stabilization, a period during which individuals remain vulnerable to relapse and treatment intensity often decreases.</w:t>
      </w:r>
    </w:p>
    <w:p>
      <w:pPr>
        <w:pStyle w:val="BodyText"/>
      </w:pPr>
      <w:r>
        <w:t xml:space="preserve">A recovery monitoring and support system is well positioned to address several pervasive barriers to continuing care. The system could identify the most important risk-relevant feature for a specific individual at a specific moment, thus guiding the individual to engage in a recovery activity that would yield the maximum clinical benefit. Importantly, model outputs could be updated daily to ensure recommendations evolve with changes in clinical needs over time. Because the system is automated, it could be implemented at relatively low‑cost and high scalability compared to clinician-led continuing care.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w:t>
      </w:r>
    </w:p>
    <w:p>
      <w:pPr>
        <w:pStyle w:val="BodyText"/>
      </w:pPr>
      <w:r>
        <w:t xml:space="preserve">And in a not so distant future, many additional barriers that undermine the delivery and coordination of SUD continuing care, including passive handoffs, patient dropout, and delays in care coordination, could be further addressed by embedding predictive models within an AI‑enabled agentic support system capable of planning and action. For example, if an individual received feedback that they were at high risk of lapsing for several days and then disengaged from the system, an AI agent could proactively initiate outreach and facilitate connection to higher‑intensity services, such as scheduling an appointment with an in‑network provider for further assessment.</w:t>
      </w:r>
    </w:p>
    <w:p>
      <w:pPr>
        <w:pStyle w:val="BodyText"/>
      </w:pPr>
      <w:r>
        <w:t xml:space="preserve">For these types of systems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W. Bae et al., 2023; S. Bae et al., 2018;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W. Bae et al., 2023; S. Bae et al., 2018;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12"/>
    <w:bookmarkStart w:id="13" w:name="specific-aims"/>
    <w:p>
      <w:pPr>
        <w:pStyle w:val="Heading2"/>
      </w:pPr>
      <w:r>
        <w:t xml:space="preserve">1.4 Specific Aims</w:t>
      </w:r>
    </w:p>
    <w:p>
      <w:pPr>
        <w:pStyle w:val="FirstParagraph"/>
      </w:pPr>
      <w:r>
        <w:t xml:space="preserve">This dissertation presents a series of studies aimed at improving continuing care following treatment initiation by demonstrating the feasibility of building an automated recovery monitoring and support system. Across three studies, we address key prerequisites for such a system, including assessing potential sensing methods for their ability to predict lapse with varying levels of temporal precision and evaluating the interpretability and fairness of model outputs.</w:t>
      </w:r>
    </w:p>
    <w:p>
      <w:pPr>
        <w:pStyle w:val="BodyText"/>
      </w:pPr>
      <w:r>
        <w:t xml:space="preserve">We used two clinical samples of individuals in early recovery from alcohol (Studies 1–2) and opioid use (Study 3) disorders with stated goals of abstinence. In Study 1 (Chapter 2), we focused on developing temporally precise prediction models by building three models that estimate hour‑by‑hour probabilities of a lapse back to alcohol use, predicting lapses in the next week, next day, and next hour. Model features were engineered from raw scores and longitudinal changes in responses to 4X daily EMA surveys. To support translation into recovery recommendations, we used Shapley values to interpret how specific EMA features influenced lapse probability both at the population level and for individual predictions.</w:t>
      </w:r>
    </w:p>
    <w:p>
      <w:pPr>
        <w:pStyle w:val="BodyText"/>
      </w:pPr>
      <w:r>
        <w:t xml:space="preserve">In Study 2 (Chapter 3), we extended this work by demonstrating how the same EMA data could be used to predict alcohol lapses within a 24‑hour window occurring up to two weeks into the future. By varying the lag between the prediction time point and the start of the prediction window (1 day, 3 days, 1 week, and 2 weeks), this study evaluated whether lapse risk could be detected with sufficient advance warning to support proactive, preventive interventions. Study 2 also addressed a critical prerequisite for deployment by evaluating model fairness by comparing predictive performance across subgroups with known disparities in treatment access and outcomes.</w:t>
      </w:r>
    </w:p>
    <w:p>
      <w:pPr>
        <w:pStyle w:val="BodyText"/>
      </w:pPr>
      <w:r>
        <w:t xml:space="preserve">In Study 3 (Chapter 4), we extended lapse prediction to opioid use disorder, allowing us to examine whether lapse prediction models generalize beyond alcohol to substances where use is illegal and lapses may be under reported. Participants in this dataset were recruited nationally across the United States and included greater diversity in race/ethnicity, income, and geographic location, enabling evaluation of model fairness across a broader set of demographic groups. Model features were derived from both 1X daily surveys and geolocation sensing, capturing self‑reported risk factors alongside behavioral indicators such as time spent in high‑risk locations and disruptions in routine. We also explored alternative approaches to identifying important predictors of lapse risk to more explicitly demonstrate how recovery recommendations can be tailored to a specific person at a specific moment in time.</w:t>
      </w:r>
    </w:p>
    <w:bookmarkEnd w:id="13"/>
    <w:bookmarkEnd w:id="14"/>
    <w:bookmarkStart w:id="72" w:name="X19d88964df8049fca0e1b90b33796fd673ad16c"/>
    <w:p>
      <w:pPr>
        <w:pStyle w:val="Heading1"/>
      </w:pPr>
      <w:r>
        <w:t xml:space="preserve">2. Machine learning models for temporally precise lapse prediction in alcohol use disorder</w:t>
      </w:r>
    </w:p>
    <w:bookmarkStart w:id="18"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15"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15"/>
    <w:bookmarkStart w:id="16"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16"/>
    <w:bookmarkStart w:id="17"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(for reviews, see Marlatt &amp; Gordon, 1985; Fronk et al., 2020;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17"/>
    <w:bookmarkEnd w:id="18"/>
    <w:bookmarkStart w:id="35" w:name="method"/>
    <w:p>
      <w:pPr>
        <w:pStyle w:val="Heading2"/>
      </w:pPr>
      <w:r>
        <w:t xml:space="preserve">2.2 Method</w:t>
      </w:r>
    </w:p>
    <w:bookmarkStart w:id="20"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19">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20"/>
    <w:bookmarkStart w:id="21"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1"/>
    <w:bookmarkStart w:id="22"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2"/>
    <w:bookmarkStart w:id="25" w:name="measures"/>
    <w:p>
      <w:pPr>
        <w:pStyle w:val="Heading3"/>
      </w:pPr>
      <w:r>
        <w:t xml:space="preserve">2.2.4 Measures</w:t>
      </w:r>
    </w:p>
    <w:bookmarkStart w:id="23"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23"/>
    <w:bookmarkStart w:id="24"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24"/>
    <w:bookmarkEnd w:id="25"/>
    <w:bookmarkStart w:id="34"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6"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26"/>
    <w:bookmarkStart w:id="27"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27"/>
    <w:bookmarkStart w:id="31" w:name="model-training-and-evaluation"/>
    <w:p>
      <w:pPr>
        <w:pStyle w:val="Heading4"/>
      </w:pPr>
      <w:r>
        <w:t xml:space="preserve">2.2.5.3 Model Training and Evaluation</w:t>
      </w:r>
    </w:p>
    <w:bookmarkStart w:id="28"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28"/>
    <w:bookmarkStart w:id="29"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29"/>
    <w:bookmarkStart w:id="30"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30"/>
    <w:bookmarkEnd w:id="31"/>
    <w:bookmarkStart w:id="32"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32"/>
    <w:bookmarkStart w:id="33"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33"/>
    <w:bookmarkEnd w:id="34"/>
    <w:bookmarkEnd w:id="35"/>
    <w:bookmarkStart w:id="64" w:name="results"/>
    <w:p>
      <w:pPr>
        <w:pStyle w:val="Heading2"/>
      </w:pPr>
      <w:r>
        <w:t xml:space="preserve">2.3 Results</w:t>
      </w:r>
    </w:p>
    <w:bookmarkStart w:id="38"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3</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36" w:name="tbl-dem"/>
          <w:p>
            <w:pPr>
              <w:jc w:val="center"/>
            </w:pPr>
            <w:pPr>
              <w:jc w:val="lef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38"/>
    <w:bookmarkStart w:id="39"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39"/>
    <w:bookmarkStart w:id="57" w:name="model-performance"/>
    <w:p>
      <w:pPr>
        <w:pStyle w:val="Heading3"/>
      </w:pPr>
      <w:r>
        <w:t xml:space="preserve">2.3.3 Model Performance</w:t>
      </w:r>
    </w:p>
    <w:bookmarkStart w:id="40"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40"/>
    <w:bookmarkStart w:id="46"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bookmarkStart w:id="45" w:name="cell-fig-1-ema"/>
    <w:tbl>
      <w:tblPr>
        <w:tblStyle w:val="Table"/>
        <w:tblW w:type="pct" w:w="5000"/>
        <w:tblLayout w:type="fixed"/>
        <w:tblLook w:firstRow="0" w:lastRow="0" w:firstColumn="0" w:lastColumn="0" w:noHBand="0" w:noVBand="0" w:val="0000"/>
      </w:tblPr>
      <w:tblGrid>
        <w:gridCol w:w="7920"/>
      </w:tblGrid>
      <w:tr>
        <w:tc>
          <w:tcPr/>
          <w:bookmarkStart w:id="44" w:name="fig-1-ema"/>
          <w:p>
            <w:pPr>
              <w:pStyle w:val="Compact"/>
              <w:jc w:val="center"/>
            </w:pPr>
            <w:r>
              <w:drawing>
                <wp:inline>
                  <wp:extent cx="5334000" cy="3413760"/>
                  <wp:effectExtent b="0" l="0" r="0" t="0"/>
                  <wp:docPr descr="" title="" id="42" name="Picture"/>
                  <a:graphic>
                    <a:graphicData uri="http://schemas.openxmlformats.org/drawingml/2006/picture">
                      <pic:pic>
                        <pic:nvPicPr>
                          <pic:cNvPr descr="figures/ema_1.jpeg" id="43" name="Picture"/>
                          <pic:cNvPicPr>
                            <a:picLocks noChangeArrowheads="1" noChangeAspect="1"/>
                          </pic:cNvPicPr>
                        </pic:nvPicPr>
                        <pic:blipFill>
                          <a:blip r:embed="rId41"/>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bookmarkEnd w:id="46"/>
    <w:bookmarkStart w:id="47"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47"/>
    <w:bookmarkStart w:id="48"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48"/>
    <w:bookmarkStart w:id="56"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49" w:name="tbl-perf-ema"/>
          <w:p>
            <w:pPr>
              <w:jc w:val="center"/>
            </w:pPr>
            <w:pPr>
              <w:jc w:val="lef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0.8906310</w:t>
                  </w:r>
                </w:p>
              </w:tc>
              <w:tc>
                <w:tcPr/>
                <w:p>
                  <w:pPr>
                    <w:pStyle w:val="Compact"/>
                    <w:jc w:val="right"/>
                    <w:jc w:val="center"/>
                  </w:pPr>
                  <w:r>
                    <w:t xml:space="preserve">0.8989930</w:t>
                  </w:r>
                </w:p>
              </w:tc>
              <w:tc>
                <w:tcPr/>
                <w:p>
                  <w:pPr>
                    <w:pStyle w:val="Compact"/>
                    <w:jc w:val="right"/>
                    <w:jc w:val="center"/>
                  </w:pPr>
                  <w:r>
                    <w:t xml:space="preserve">0.9293432</w:t>
                  </w:r>
                </w:p>
              </w:tc>
            </w:tr>
            <w:tr>
              <w:tc>
                <w:tcPr/>
                <w:p>
                  <w:pPr>
                    <w:pStyle w:val="Compact"/>
                    <w:jc w:val="left"/>
                    <w:jc w:val="center"/>
                  </w:pPr>
                  <w:r>
                    <w:t xml:space="preserve">sensitivity</w:t>
                  </w:r>
                </w:p>
              </w:tc>
              <w:tc>
                <w:tcPr/>
                <w:p>
                  <w:pPr>
                    <w:pStyle w:val="Compact"/>
                    <w:jc w:val="right"/>
                    <w:jc w:val="center"/>
                  </w:pPr>
                  <w:r>
                    <w:t xml:space="preserve">0.8232301</w:t>
                  </w:r>
                </w:p>
              </w:tc>
              <w:tc>
                <w:tcPr/>
                <w:p>
                  <w:pPr>
                    <w:pStyle w:val="Compact"/>
                    <w:jc w:val="right"/>
                    <w:jc w:val="center"/>
                  </w:pPr>
                  <w:r>
                    <w:t xml:space="preserve">0.8275224</w:t>
                  </w:r>
                </w:p>
              </w:tc>
              <w:tc>
                <w:tcPr/>
                <w:p>
                  <w:pPr>
                    <w:pStyle w:val="Compact"/>
                    <w:jc w:val="right"/>
                    <w:jc w:val="center"/>
                  </w:pPr>
                  <w:r>
                    <w:t xml:space="preserve">0.8636420</w:t>
                  </w:r>
                </w:p>
              </w:tc>
            </w:tr>
            <w:tr>
              <w:tc>
                <w:tcPr/>
                <w:p>
                  <w:pPr>
                    <w:pStyle w:val="Compact"/>
                    <w:jc w:val="left"/>
                    <w:jc w:val="center"/>
                  </w:pPr>
                  <w:r>
                    <w:t xml:space="preserve">specificity</w:t>
                  </w:r>
                </w:p>
              </w:tc>
              <w:tc>
                <w:tcPr/>
                <w:p>
                  <w:pPr>
                    <w:pStyle w:val="Compact"/>
                    <w:jc w:val="right"/>
                    <w:jc w:val="center"/>
                  </w:pPr>
                  <w:r>
                    <w:t xml:space="preserve">0.8192581</w:t>
                  </w:r>
                </w:p>
              </w:tc>
              <w:tc>
                <w:tcPr/>
                <w:p>
                  <w:pPr>
                    <w:pStyle w:val="Compact"/>
                    <w:jc w:val="right"/>
                    <w:jc w:val="center"/>
                  </w:pPr>
                  <w:r>
                    <w:t xml:space="preserve">0.8454889</w:t>
                  </w:r>
                </w:p>
              </w:tc>
              <w:tc>
                <w:tcPr/>
                <w:p>
                  <w:pPr>
                    <w:pStyle w:val="Compact"/>
                    <w:jc w:val="right"/>
                    <w:jc w:val="center"/>
                  </w:pPr>
                  <w:r>
                    <w:t xml:space="preserve">0.8813554</w:t>
                  </w:r>
                </w:p>
              </w:tc>
            </w:tr>
            <w:tr>
              <w:tc>
                <w:tcPr/>
                <w:p>
                  <w:pPr>
                    <w:pStyle w:val="Compact"/>
                    <w:jc w:val="left"/>
                    <w:jc w:val="center"/>
                  </w:pPr>
                  <w:r>
                    <w:t xml:space="preserve">balanced accuracy</w:t>
                  </w:r>
                </w:p>
              </w:tc>
              <w:tc>
                <w:tcPr/>
                <w:p>
                  <w:pPr>
                    <w:pStyle w:val="Compact"/>
                    <w:jc w:val="right"/>
                    <w:jc w:val="center"/>
                  </w:pPr>
                  <w:r>
                    <w:t xml:space="preserve">0.8275871</w:t>
                  </w:r>
                </w:p>
              </w:tc>
              <w:tc>
                <w:tcPr/>
                <w:p>
                  <w:pPr>
                    <w:pStyle w:val="Compact"/>
                    <w:jc w:val="right"/>
                    <w:jc w:val="center"/>
                  </w:pPr>
                  <w:r>
                    <w:t xml:space="preserve">0.8345976</w:t>
                  </w:r>
                </w:p>
              </w:tc>
              <w:tc>
                <w:tcPr/>
                <w:p>
                  <w:pPr>
                    <w:pStyle w:val="Compact"/>
                    <w:jc w:val="right"/>
                    <w:jc w:val="center"/>
                  </w:pPr>
                  <w:r>
                    <w:t xml:space="preserve">0.8536644</w:t>
                  </w:r>
                </w:p>
              </w:tc>
            </w:tr>
            <w:tr>
              <w:tc>
                <w:tcPr/>
                <w:p>
                  <w:pPr>
                    <w:pStyle w:val="Compact"/>
                    <w:jc w:val="left"/>
                    <w:jc w:val="center"/>
                  </w:pPr>
                  <w:r>
                    <w:t xml:space="preserve">positive predictive value</w:t>
                  </w:r>
                </w:p>
              </w:tc>
              <w:tc>
                <w:tcPr/>
                <w:p>
                  <w:pPr>
                    <w:pStyle w:val="Compact"/>
                    <w:jc w:val="right"/>
                    <w:jc w:val="center"/>
                  </w:pPr>
                  <w:r>
                    <w:t xml:space="preserve">0.6301088</w:t>
                  </w:r>
                </w:p>
              </w:tc>
              <w:tc>
                <w:tcPr/>
                <w:p>
                  <w:pPr>
                    <w:pStyle w:val="Compact"/>
                    <w:jc w:val="right"/>
                    <w:jc w:val="center"/>
                  </w:pPr>
                  <w:r>
                    <w:t xml:space="preserve">0.2997223</w:t>
                  </w:r>
                </w:p>
              </w:tc>
              <w:tc>
                <w:tcPr/>
                <w:p>
                  <w:pPr>
                    <w:pStyle w:val="Compact"/>
                    <w:jc w:val="right"/>
                    <w:jc w:val="center"/>
                  </w:pPr>
                  <w:r>
                    <w:t xml:space="preserve">0.0254053</w:t>
                  </w:r>
                </w:p>
              </w:tc>
            </w:tr>
            <w:tr>
              <w:tc>
                <w:tcPr/>
                <w:p>
                  <w:pPr>
                    <w:pStyle w:val="Compact"/>
                    <w:jc w:val="left"/>
                    <w:jc w:val="center"/>
                  </w:pPr>
                  <w:r>
                    <w:t xml:space="preserve">negative predictive value</w:t>
                  </w:r>
                </w:p>
              </w:tc>
              <w:tc>
                <w:tcPr/>
                <w:p>
                  <w:pPr>
                    <w:pStyle w:val="Compact"/>
                    <w:jc w:val="right"/>
                    <w:jc w:val="center"/>
                  </w:pPr>
                  <w:r>
                    <w:t xml:space="preserve">0.9435759</w:t>
                  </w:r>
                </w:p>
              </w:tc>
              <w:tc>
                <w:tcPr/>
                <w:p>
                  <w:pPr>
                    <w:pStyle w:val="Compact"/>
                    <w:jc w:val="right"/>
                    <w:jc w:val="center"/>
                  </w:pPr>
                  <w:r>
                    <w:t xml:space="preserve">0.9877148</w:t>
                  </w:r>
                </w:p>
              </w:tc>
              <w:tc>
                <w:tcPr/>
                <w:p>
                  <w:pPr>
                    <w:pStyle w:val="Compact"/>
                    <w:jc w:val="right"/>
                    <w:jc w:val="center"/>
                  </w:pPr>
                  <w:r>
                    <w:t xml:space="preserve">0.9994361</w:t>
                  </w: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bookmarkStart w:id="55" w:name="cell-fig-2-ema"/>
    <w:tbl>
      <w:tblPr>
        <w:tblStyle w:val="Table"/>
        <w:tblW w:type="pct" w:w="5000"/>
        <w:tblLayout w:type="fixed"/>
        <w:tblLook w:firstRow="0" w:lastRow="0" w:firstColumn="0" w:lastColumn="0" w:noHBand="0" w:noVBand="0" w:val="0000"/>
      </w:tblPr>
      <w:tblGrid>
        <w:gridCol w:w="7920"/>
      </w:tblGrid>
      <w:tr>
        <w:tc>
          <w:tcPr/>
          <w:bookmarkStart w:id="54" w:name="fig-2-ema"/>
          <w:p>
            <w:pPr>
              <w:pStyle w:val="Compact"/>
              <w:jc w:val="center"/>
            </w:pPr>
            <w:r>
              <w:drawing>
                <wp:inline>
                  <wp:extent cx="5334000" cy="4445000"/>
                  <wp:effectExtent b="0" l="0" r="0" t="0"/>
                  <wp:docPr descr="" title="" id="52" name="Picture"/>
                  <a:graphic>
                    <a:graphicData uri="http://schemas.openxmlformats.org/drawingml/2006/picture">
                      <pic:pic>
                        <pic:nvPicPr>
                          <pic:cNvPr descr="figures/ema_2.jpeg" id="53" name="Picture"/>
                          <pic:cNvPicPr>
                            <a:picLocks noChangeArrowheads="1" noChangeAspect="1"/>
                          </pic:cNvPicPr>
                        </pic:nvPicPr>
                        <pic:blipFill>
                          <a:blip r:embed="rId51"/>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5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bookmarkEnd w:id="56"/>
    <w:bookmarkEnd w:id="57"/>
    <w:bookmarkStart w:id="63"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bookmarkStart w:id="62" w:name="cell-fig-3-ema"/>
    <w:tbl>
      <w:tblPr>
        <w:tblStyle w:val="Table"/>
        <w:tblW w:type="pct" w:w="5000"/>
        <w:tblLayout w:type="fixed"/>
        <w:tblLook w:firstRow="0" w:lastRow="0" w:firstColumn="0" w:lastColumn="0" w:noHBand="0" w:noVBand="0" w:val="0000"/>
      </w:tblPr>
      <w:tblGrid>
        <w:gridCol w:w="7920"/>
      </w:tblGrid>
      <w:tr>
        <w:tc>
          <w:tcPr/>
          <w:bookmarkStart w:id="61" w:name="fig-3-ema"/>
          <w:p>
            <w:pPr>
              <w:pStyle w:val="Compact"/>
              <w:jc w:val="center"/>
            </w:pPr>
            <w:r>
              <w:drawing>
                <wp:inline>
                  <wp:extent cx="5334000" cy="4267200"/>
                  <wp:effectExtent b="0" l="0" r="0" t="0"/>
                  <wp:docPr descr="" title="" id="59" name="Picture"/>
                  <a:graphic>
                    <a:graphicData uri="http://schemas.openxmlformats.org/drawingml/2006/picture">
                      <pic:pic>
                        <pic:nvPicPr>
                          <pic:cNvPr descr="figures/ema_3.jpe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6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End w:id="63"/>
    <w:bookmarkEnd w:id="64"/>
    <w:bookmarkStart w:id="71" w:name="discussion"/>
    <w:p>
      <w:pPr>
        <w:pStyle w:val="Heading2"/>
      </w:pPr>
      <w:r>
        <w:t xml:space="preserve">2.4 Discussion</w:t>
      </w:r>
    </w:p>
    <w:bookmarkStart w:id="65"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65"/>
    <w:bookmarkStart w:id="66"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66"/>
    <w:bookmarkStart w:id="69" w:name="Xf6ca54159972f4f7729ee08f27d71911bd3ae56"/>
    <w:p>
      <w:pPr>
        <w:pStyle w:val="Heading3"/>
      </w:pPr>
      <w:r>
        <w:t xml:space="preserve">2.4.3 Considerations for Clinical Implementation</w:t>
      </w:r>
    </w:p>
    <w:bookmarkStart w:id="67"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(L. M. 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67"/>
    <w:bookmarkStart w:id="68"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68"/>
    <w:bookmarkEnd w:id="69"/>
    <w:bookmarkStart w:id="70"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bookmarkEnd w:id="70"/>
    <w:bookmarkEnd w:id="71"/>
    <w:bookmarkEnd w:id="72"/>
    <w:bookmarkStart w:id="73" w:name="Xa9dab75cb028dec3684db25ff70acaea84b1b87"/>
    <w:p>
      <w:pPr>
        <w:pStyle w:val="Heading1"/>
      </w:pPr>
      <w:r>
        <w:t xml:space="preserve">3. Lagged predictions of next day alcohol lapse risk for personalized and adaptive continuing care support</w:t>
      </w:r>
    </w:p>
    <w:bookmarkEnd w:id="73"/>
    <w:bookmarkStart w:id="74" w:name="introduction-2"/>
    <w:p>
      <w:pPr>
        <w:pStyle w:val="Heading1"/>
      </w:pPr>
      <w:r>
        <w:t xml:space="preserve">4. Introduction</w:t>
      </w:r>
    </w:p>
    <w:p>
      <w:pPr>
        <w:pStyle w:val="FirstParagraph"/>
      </w:pPr>
      <w:r>
        <w:t xml:space="preserve">Alcohol and other substance use disorders (SUDs) are serious chronic conditions, characterized by high relapse rates</w:t>
      </w:r>
      <w:r>
        <w:t xml:space="preserve"> </w:t>
      </w:r>
      <w:r>
        <w:t xml:space="preserve">(Dennis &amp; Scott, 2007; McLellan et al., 2000)</w:t>
      </w:r>
      <w:r>
        <w:t xml:space="preserve">, substantial co-morbidity with other physical and mental health problems</w:t>
      </w:r>
      <w:r>
        <w:t xml:space="preserve"> </w:t>
      </w:r>
      <w:r>
        <w:t xml:space="preserve">(Dennis &amp; Scott, 2007; Substance Abuse and Mental Health Services Administration, n.d.)</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(Substance Abuse and Mental Health Services Administration, n.d.)</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(Wagner et al., 2001)</w:t>
      </w:r>
      <w:r>
        <w:t xml:space="preserve">. Yet, continuing care for SUDs is largely lacking despite ample evidence that SUDs are chronic, relapsing conditions</w:t>
      </w:r>
      <w:r>
        <w:t xml:space="preserve"> </w:t>
      </w:r>
      <w:r>
        <w:t xml:space="preserve">(Socías et al., 2016; Stanojlović &amp; Davidson, 2021; Substance Abuse and Mental Health Services Administration, n.d.)</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(Soyster et al., 2022; Walters et al., 2021)</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Chapter 2 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Chapter 2’s 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(Wyant et al., 2025)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w:t>
      </w:r>
      <w:r>
        <w:t xml:space="preserve">and sex at birth</w:t>
      </w:r>
      <w:r>
        <w:t xml:space="preserve"> </w:t>
      </w:r>
      <w:r>
        <w:t xml:space="preserve">(Greenfield et al., 2007; Kilaru et al., 2020)</w:t>
      </w:r>
      <w:r>
        <w:t xml:space="preserve">. Finally, we calculated Shapley values for feature categories defined by EMA items to better understand how these models generate predictions and how these features can be used to tailor personalized supports.</w:t>
      </w:r>
    </w:p>
    <w:bookmarkEnd w:id="74"/>
    <w:bookmarkStart w:id="100" w:name="methods"/>
    <w:p>
      <w:pPr>
        <w:pStyle w:val="Heading1"/>
      </w:pPr>
      <w:r>
        <w:t xml:space="preserve">5. Methods</w:t>
      </w:r>
    </w:p>
    <w:bookmarkStart w:id="77" w:name="transparency"/>
    <w:p>
      <w:pPr>
        <w:pStyle w:val="Heading2"/>
      </w:pPr>
      <w:r>
        <w:t xml:space="preserve">5.1 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75">
        <w:r>
          <w:rPr>
            <w:rStyle w:val="Hyperlink"/>
          </w:rPr>
          <w:t xml:space="preserve">https://osf.io/xta67/</w:t>
        </w:r>
      </w:hyperlink>
      <w:r>
        <w:t xml:space="preserve">). Our annotated analysis scripts and results are publicly available on our study website (</w:t>
      </w:r>
      <w:hyperlink r:id="rId76">
        <w:r>
          <w:rPr>
            <w:rStyle w:val="Hyperlink"/>
          </w:rPr>
          <w:t xml:space="preserve">https://jjcurtin.github.io/study_lag/</w:t>
        </w:r>
      </w:hyperlink>
      <w:r>
        <w:t xml:space="preserve">).</w:t>
      </w:r>
    </w:p>
    <w:bookmarkEnd w:id="77"/>
    <w:bookmarkStart w:id="78" w:name="participants-1"/>
    <w:p>
      <w:pPr>
        <w:pStyle w:val="Heading2"/>
      </w:pPr>
      <w:r>
        <w:t xml:space="preserve">5.2 Participants</w:t>
      </w:r>
    </w:p>
    <w:p>
      <w:pPr>
        <w:pStyle w:val="FirstParagraph"/>
      </w:pPr>
      <w:r>
        <w:t xml:space="preserve">We recruited 192 participants in early recovery from AUD in Madison, Wisconsin, USA for a 3-month longitudinal study from February 15, 2017 through September 19, 2019.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 AUD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78"/>
    <w:bookmarkStart w:id="79" w:name="procedure-1"/>
    <w:p>
      <w:pPr>
        <w:pStyle w:val="Heading2"/>
      </w:pPr>
      <w:r>
        <w:t xml:space="preserve">5.3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79"/>
    <w:bookmarkStart w:id="80" w:name="ethics"/>
    <w:p>
      <w:pPr>
        <w:pStyle w:val="Heading2"/>
      </w:pPr>
      <w:r>
        <w:t xml:space="preserve">5.4 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80"/>
    <w:bookmarkStart w:id="83" w:name="measures-1"/>
    <w:p>
      <w:pPr>
        <w:pStyle w:val="Heading2"/>
      </w:pPr>
      <w:r>
        <w:t xml:space="preserve">5.5 Measures</w:t>
      </w:r>
    </w:p>
    <w:bookmarkStart w:id="81" w:name="ecological-momentary-assessments-1"/>
    <w:p>
      <w:pPr>
        <w:pStyle w:val="Heading3"/>
      </w:pPr>
      <w:r>
        <w:t xml:space="preserve">5.5.1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all EMAs, participants reported dates and 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81"/>
    <w:bookmarkStart w:id="82" w:name="individual-characteristics"/>
    <w:p>
      <w:pPr>
        <w:pStyle w:val="Heading3"/>
      </w:pPr>
      <w:r>
        <w:t xml:space="preserve">5.5.2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75">
        <w:r>
          <w:rPr>
            <w:rStyle w:val="Hyperlink"/>
          </w:rPr>
          <w:t xml:space="preserve">https://osf.io/xta67/</w:t>
        </w:r>
      </w:hyperlink>
      <w:r>
        <w:t xml:space="preserve">).</w:t>
      </w:r>
    </w:p>
    <w:bookmarkEnd w:id="82"/>
    <w:bookmarkEnd w:id="83"/>
    <w:bookmarkStart w:id="99" w:name="data-analytic-strategy-1"/>
    <w:p>
      <w:pPr>
        <w:pStyle w:val="Heading2"/>
      </w:pPr>
      <w:r>
        <w:t xml:space="preserve">5.6 Data Analytic Strategy</w:t>
      </w:r>
    </w:p>
    <w:p>
      <w:pPr>
        <w:pStyle w:val="FirstParagraph"/>
      </w:pPr>
      <w:r>
        <w:t xml:space="preserve">Data preprocessing, modeling, and Bayesian analyses were done in R (version 4.4.2)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89" w:name="predictions"/>
    <w:p>
      <w:pPr>
        <w:pStyle w:val="Heading3"/>
      </w:pPr>
      <w:r>
        <w:t xml:space="preserve">5.6.1 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24-hour periods starting at midnight that day, or 24-hour periods starting 1 day, 3 days, 1 week or 2 weeks after midnight on day 30.</w:t>
      </w:r>
    </w:p>
    <w:bookmarkStart w:id="88" w:name="cell-fig-method"/>
    <w:tbl>
      <w:tblPr>
        <w:tblStyle w:val="Table"/>
        <w:tblW w:type="pct" w:w="5000"/>
        <w:tblLayout w:type="fixed"/>
        <w:tblLook w:firstRow="0" w:lastRow="0" w:firstColumn="0" w:lastColumn="0" w:noHBand="0" w:noVBand="0" w:val="0000"/>
      </w:tblPr>
      <w:tblGrid>
        <w:gridCol w:w="7920"/>
      </w:tblGrid>
      <w:tr>
        <w:tc>
          <w:tcPr/>
          <w:bookmarkStart w:id="87" w:name="fig-method"/>
          <w:p>
            <w:pPr>
              <w:pStyle w:val="Compact"/>
              <w:jc w:val="center"/>
            </w:pPr>
            <w:r>
              <w:drawing>
                <wp:inline>
                  <wp:extent cx="5334000" cy="4240840"/>
                  <wp:effectExtent b="0" l="0" r="0" t="0"/>
                  <wp:docPr descr="" title="" id="85" name="Picture"/>
                  <a:graphic>
                    <a:graphicData uri="http://schemas.openxmlformats.org/drawingml/2006/picture">
                      <pic:pic>
                        <pic:nvPicPr>
                          <pic:cNvPr descr="figures/methods.png" id="86" name="Picture"/>
                          <pic:cNvPicPr>
                            <a:picLocks noChangeArrowheads="1" noChangeAspect="1"/>
                          </pic:cNvPicPr>
                        </pic:nvPicPr>
                        <pic:blipFill>
                          <a:blip r:embed="rId84"/>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8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8"/>
    <w:bookmarkEnd w:id="89"/>
    <w:bookmarkStart w:id="90" w:name="labels"/>
    <w:p>
      <w:pPr>
        <w:pStyle w:val="Heading3"/>
      </w:pPr>
      <w:r>
        <w:t xml:space="preserve">5.6.2 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270,911 labels for the 1-day lagged model; 264,362 labels for the 3-day lagged model; 251,458 labels for the 1-week lagged model; and 228,420 labels for the 2-week lagged model.</w:t>
      </w:r>
    </w:p>
    <w:bookmarkEnd w:id="90"/>
    <w:bookmarkStart w:id="91" w:name="feature-engineering-1"/>
    <w:p>
      <w:pPr>
        <w:pStyle w:val="Heading3"/>
      </w:pPr>
      <w:r>
        <w:t xml:space="preserve">5.6.3 Feature Engineering</w:t>
      </w:r>
    </w:p>
    <w:p>
      <w:pPr>
        <w:pStyle w:val="FirstParagraph"/>
      </w:pPr>
      <w:r>
        <w:t xml:space="preserve">Features were calculated using only data collected in feature scoring epochs before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at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5"/>
        </w:numPr>
      </w:pPr>
      <w:r>
        <w:rPr>
          <w:i/>
          <w:iCs/>
        </w:rPr>
        <w:t xml:space="preserve">Previous EMA responses</w:t>
      </w:r>
      <w:r>
        <w:t xml:space="preserve">: We calculated raw and change features using EMAs in varying feature scoring epochs (i.e., 12, 24, 48, 72, and 168 hours) before the prediction timepoint for all EMA items. Raw features included min, max, and median scores for each EMA item across all EMAs in each epoch for a given participant. We calculated change features by subtracting each participant’s baseline mean score for each EMA item from their raw feature. These baseline mean scores were calculated using all of a participant’s EMAs collected from the start of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91"/>
    <w:bookmarkStart w:id="92" w:name="model-configurations"/>
    <w:p>
      <w:pPr>
        <w:pStyle w:val="Heading3"/>
      </w:pPr>
      <w:r>
        <w:t xml:space="preserve">5.6.4 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92"/>
    <w:bookmarkStart w:id="93" w:name="cross-validation"/>
    <w:p>
      <w:pPr>
        <w:pStyle w:val="Heading3"/>
      </w:pPr>
      <w:r>
        <w:t xml:space="preserve">5.6.5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93"/>
    <w:bookmarkStart w:id="94" w:name="bayesian-model"/>
    <w:p>
      <w:pPr>
        <w:pStyle w:val="Heading3"/>
      </w:pPr>
      <w:r>
        <w:t xml:space="preserve">5.6.6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94"/>
    <w:bookmarkStart w:id="95" w:name="fairness-analyses"/>
    <w:p>
      <w:pPr>
        <w:pStyle w:val="Heading3"/>
      </w:pPr>
      <w:r>
        <w:t xml:space="preserve">5.6.7 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w:t>
      </w:r>
    </w:p>
    <w:bookmarkEnd w:id="95"/>
    <w:bookmarkStart w:id="96" w:name="model-characterization"/>
    <w:p>
      <w:pPr>
        <w:pStyle w:val="Heading3"/>
      </w:pPr>
      <w:r>
        <w:t xml:space="preserve">5.6.8 Model Characterization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 We can better understand our final models by looking at the calibration of the predicted probabilities and the most important features contributing to those predictions.</w:t>
      </w:r>
    </w:p>
    <w:bookmarkEnd w:id="96"/>
    <w:bookmarkStart w:id="97" w:name="model-calibration"/>
    <w:p>
      <w:pPr>
        <w:pStyle w:val="Heading3"/>
      </w:pPr>
      <w:r>
        <w:t xml:space="preserve">5.6.9 Model Calibration</w:t>
      </w:r>
    </w:p>
    <w:p>
      <w:pPr>
        <w:pStyle w:val="FirstParagraph"/>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(Platt, 1999)</w:t>
      </w:r>
      <w:r>
        <w:t xml:space="preserve">. We calculated Brier scores to assess the accuracy of our raw and calibrated probabilities for the no lag and 2-week lagged models. Brier scores range from 0 (perfect accuracy) to 1 (perfect inaccuracy). We provide calibration plots for the no lag and 2-week lagged models.</w:t>
      </w:r>
    </w:p>
    <w:bookmarkEnd w:id="97"/>
    <w:bookmarkStart w:id="98" w:name="global-feature-importance"/>
    <w:p>
      <w:pPr>
        <w:pStyle w:val="Heading3"/>
      </w:pPr>
      <w:r>
        <w:t xml:space="preserve">5.6.10 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(Lundberg &amp; Lee, 2017)</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Shapley values can be aggregated across observations to describe the global importance of any feature (or feature category) across all predictions (i.e., for all 24-hour windows for all participants) in the dataset. Global feature importance is calculated by averaging the absolute value of the Shapley values for a feature across all observations. A large mean absolute Shapley value indicates that the feature makes big contributions to the predictions across the dataset. Global feature importance is a descriptive statistic that indicates the importance of the feature for predictions in a specific dataset, rather than a hypothetical population of observations. We provide a descriptive plot of the relative ranking of feature categories by their global feature importance for the no lag and 2-week lagged models.</w:t>
      </w:r>
    </w:p>
    <w:bookmarkEnd w:id="98"/>
    <w:bookmarkEnd w:id="99"/>
    <w:bookmarkEnd w:id="100"/>
    <w:bookmarkStart w:id="135" w:name="results-1"/>
    <w:p>
      <w:pPr>
        <w:pStyle w:val="Heading1"/>
      </w:pPr>
      <w:r>
        <w:t xml:space="preserve">6. Results</w:t>
      </w:r>
    </w:p>
    <w:bookmarkStart w:id="102" w:name="demographic-and-lapse-characteristics"/>
    <w:p>
      <w:pPr>
        <w:pStyle w:val="Heading2"/>
      </w:pPr>
      <w:r>
        <w:t xml:space="preserve">6.1 Demographic and Lapse Characteristics</w:t>
      </w:r>
    </w:p>
    <w:p>
      <w:pPr>
        <w:pStyle w:val="FirstParagraph"/>
      </w:pPr>
      <w:hyperlink w:anchor="tbl-dem">
        <w:r>
          <w:rPr>
            <w:rStyle w:val="Hyperlink"/>
          </w:rPr>
          <w:t xml:space="preserve">Table 3</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101" w:name="tbl-dem"/>
          <w:p>
            <w:pPr>
              <w:jc w:val="center"/>
            </w:pPr>
            <w:pPr>
              <w:jc w:val="left"/>
              <w:spacing w:before="200"/>
              <w:pStyle w:val="ImageCaption"/>
            </w:pPr>
            <w:r>
              <w:t xml:space="preserve">Table 3: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101"/>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102"/>
    <w:bookmarkStart w:id="108" w:name="model-evaluation"/>
    <w:p>
      <w:pPr>
        <w:pStyle w:val="Heading2"/>
      </w:pPr>
      <w:r>
        <w:t xml:space="preserve">6.2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06" w:name="fig-2-lag"/>
          <w:p>
            <w:pPr>
              <w:pStyle w:val="Compact"/>
              <w:jc w:val="center"/>
            </w:pPr>
            <w:r>
              <w:drawing>
                <wp:inline>
                  <wp:extent cx="5334000" cy="5334000"/>
                  <wp:effectExtent b="0" l="0" r="0" t="0"/>
                  <wp:docPr descr="" title="" id="104" name="Picture"/>
                  <a:graphic>
                    <a:graphicData uri="http://schemas.openxmlformats.org/drawingml/2006/picture">
                      <pic:pic>
                        <pic:nvPicPr>
                          <pic:cNvPr descr="index_files/figure-docx/notebooks-figures-fig-2-lag-output-1.pn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Make All Figures for Dissertation</w:t>
        </w:r>
      </w:hyperlink>
    </w:p>
    <w:bookmarkEnd w:id="108"/>
    <w:bookmarkStart w:id="111" w:name="model-comparisons"/>
    <w:p>
      <w:pPr>
        <w:pStyle w:val="Heading2"/>
      </w:pPr>
      <w:r>
        <w:t xml:space="preserve">6.3 Model Comparisons</w:t>
      </w:r>
    </w:p>
    <w:p>
      <w:pPr>
        <w:pStyle w:val="FirstParagraph"/>
      </w:pPr>
      <w:hyperlink w:anchor="tbl-model">
        <w:r>
          <w:rPr>
            <w:rStyle w:val="Hyperlink"/>
          </w:rPr>
          <w:t xml:space="preserve">Table 4</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109" w:name="tbl-model"/>
          <w:p>
            <w:pPr>
              <w:jc w:val="center"/>
            </w:pPr>
            <w:pPr>
              <w:jc w:val="left"/>
              <w:spacing w:before="200"/>
              <w:pStyle w:val="ImageCaption"/>
            </w:pPr>
            <w:r>
              <w:t xml:space="preserve">Table 4: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pP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pPr>
                </w:p>
              </w:tc>
              <w:tc>
                <w:tcPr/>
                <w:p>
                  <w:pPr>
                    <w:pStyle w:val="Compact"/>
                    <w:jc w:val="left"/>
                    <w:jc w:val="center"/>
                  </w:pPr>
                  <w:r>
                    <w:t xml:space="preserve">-0.063</w:t>
                  </w:r>
                </w:p>
              </w:tc>
              <w:tc>
                <w:tcPr/>
                <w:p>
                  <w:pPr>
                    <w:pStyle w:val="Compact"/>
                    <w:jc w:val="left"/>
                    <w:jc w:val="center"/>
                  </w:pPr>
                  <w:r>
                    <w:t xml:space="preserve">[-0.069, -0.056]</w:t>
                  </w:r>
                </w:p>
              </w:tc>
              <w:tc>
                <w:tcPr/>
                <w:p>
                  <w:pPr>
                    <w:pStyle w:val="Compact"/>
                    <w:jc w:val="left"/>
                    <w:jc w:val="center"/>
                  </w:pPr>
                  <w:r>
                    <w:t xml:space="preserve">1</w:t>
                  </w:r>
                </w:p>
              </w:tc>
            </w:tr>
            <w:tr>
              <w:tc>
                <w:tcPr/>
                <w:p>
                  <w:pPr>
                    <w:pStyle w:val="Compact"/>
                  </w:pPr>
                </w:p>
              </w:tc>
              <w:tc>
                <w:tcPr/>
                <w:p>
                  <w:pPr>
                    <w:pStyle w:val="Compact"/>
                    <w:jc w:val="left"/>
                    <w:jc w:val="center"/>
                  </w:pPr>
                  <w:r>
                    <w:t xml:space="preserve">-0.03</w:t>
                  </w:r>
                </w:p>
              </w:tc>
              <w:tc>
                <w:tcPr/>
                <w:p>
                  <w:pPr>
                    <w:pStyle w:val="Compact"/>
                    <w:jc w:val="left"/>
                    <w:jc w:val="center"/>
                  </w:pPr>
                  <w:r>
                    <w:t xml:space="preserve">[-0.035, -0.026]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pP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109"/>
          <w:p/>
        </w:tc>
      </w:tr>
    </w:tbl>
    <w:p>
      <w:pPr>
        <w:pStyle w:val="BodyText"/>
      </w:pPr>
      <w:r>
        <w:rPr>
          <w:vertAlign w:val="subscript"/>
        </w:rPr>
        <w:t xml:space="preserve">Source:</w:t>
      </w:r>
      <w:r>
        <w:rPr>
          <w:vertAlign w:val="subscript"/>
        </w:rPr>
        <w:t xml:space="preserve"> </w:t>
      </w:r>
      <w:hyperlink r:id="rId110">
        <w:r>
          <w:rPr>
            <w:rStyle w:val="Hyperlink"/>
            <w:vertAlign w:val="subscript"/>
          </w:rPr>
          <w:t xml:space="preserve">Make All Tables for Dissertation</w:t>
        </w:r>
      </w:hyperlink>
    </w:p>
    <w:bookmarkEnd w:id="111"/>
    <w:bookmarkStart w:id="114" w:name="fairness-analyses-1"/>
    <w:p>
      <w:pPr>
        <w:pStyle w:val="Heading2"/>
      </w:pPr>
      <w:r>
        <w:t xml:space="preserve">6.4 Fairness Analyses</w:t>
      </w:r>
    </w:p>
    <w:p>
      <w:pPr>
        <w:pStyle w:val="FirstParagraph"/>
      </w:pPr>
      <w:hyperlink w:anchor="tbl-fairness">
        <w:r>
          <w:rPr>
            <w:rStyle w:val="Hyperlink"/>
          </w:rPr>
          <w:t xml:space="preserve">Table 5</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5</w:t>
        </w:r>
      </w:hyperlink>
      <w:r>
        <w:t xml:space="preserve"> </w:t>
      </w:r>
      <w:r>
        <w:t xml:space="preserve">we present fairness analyses for our baseline model (no lag) and for our longest lagged model (2-week lag), as this is likely the most clinically useful lagged model for providing advanced warning of lapse risk.</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112" w:name="tbl-fairness"/>
          <w:p>
            <w:pPr>
              <w:jc w:val="center"/>
            </w:pPr>
            <w:pPr>
              <w:jc w:val="left"/>
              <w:spacing w:before="200"/>
              <w:pStyle w:val="ImageCaption"/>
            </w:pPr>
            <w:r>
              <w:t xml:space="preserve">Table 5: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pP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pP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pP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112"/>
          <w:p/>
        </w:tc>
      </w:tr>
    </w:tbl>
    <w:p>
      <w:pPr>
        <w:pStyle w:val="BodyText"/>
      </w:pPr>
      <w:r>
        <w:rPr>
          <w:vertAlign w:val="subscript"/>
        </w:rPr>
        <w:t xml:space="preserve">Source:</w:t>
      </w:r>
      <w:r>
        <w:rPr>
          <w:vertAlign w:val="subscript"/>
        </w:rPr>
        <w:t xml:space="preserve"> </w:t>
      </w:r>
      <w:hyperlink r:id="rId113">
        <w:r>
          <w:rPr>
            <w:rStyle w:val="Hyperlink"/>
            <w:vertAlign w:val="subscript"/>
          </w:rPr>
          <w:t xml:space="preserve">Make All Tables for Dissertation</w:t>
        </w:r>
      </w:hyperlink>
    </w:p>
    <w:bookmarkEnd w:id="114"/>
    <w:bookmarkStart w:id="120" w:name="model-calibration-1"/>
    <w:p>
      <w:pPr>
        <w:pStyle w:val="Heading2"/>
      </w:pPr>
      <w:r>
        <w:t xml:space="preserve">6.5 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6</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w:t>
      </w:r>
    </w:p>
    <w:tbl>
      <w:tblPr>
        <w:tblStyle w:val="Table"/>
        <w:tblW w:type="pct" w:w="5000"/>
        <w:tblLayout w:type="fixed"/>
        <w:tblLook w:firstRow="0" w:lastRow="0" w:firstColumn="0" w:lastColumn="0" w:noHBand="0" w:noVBand="0" w:val="0000"/>
      </w:tblPr>
      <w:tblGrid>
        <w:gridCol w:w="7920"/>
      </w:tblGrid>
      <w:tr>
        <w:tc>
          <w:tcPr/>
          <w:bookmarkStart w:id="118" w:name="fig-cal"/>
          <w:p>
            <w:pPr>
              <w:pStyle w:val="Compact"/>
              <w:jc w:val="center"/>
            </w:pPr>
            <w:r>
              <w:drawing>
                <wp:inline>
                  <wp:extent cx="5334000" cy="5334000"/>
                  <wp:effectExtent b="0" l="0" r="0" t="0"/>
                  <wp:docPr descr="" title="" id="116" name="Picture"/>
                  <a:graphic>
                    <a:graphicData uri="http://schemas.openxmlformats.org/drawingml/2006/picture">
                      <pic:pic>
                        <pic:nvPicPr>
                          <pic:cNvPr descr="index_files/figure-docx/notebooks-figures-fig-cal-output-1.png" id="117" name="Picture"/>
                          <pic:cNvPicPr>
                            <a:picLocks noChangeArrowheads="1" noChangeAspect="1"/>
                          </pic:cNvPicPr>
                        </pic:nvPicPr>
                        <pic:blipFill>
                          <a:blip r:embed="rId11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118"/>
        </w:tc>
      </w:tr>
    </w:tbl>
    <w:p>
      <w:pPr>
        <w:pStyle w:val="BodyText"/>
      </w:pPr>
      <w:r>
        <w:rPr>
          <w:vertAlign w:val="subscript"/>
        </w:rPr>
        <w:t xml:space="preserve">Source:</w:t>
      </w:r>
      <w:r>
        <w:rPr>
          <w:vertAlign w:val="subscript"/>
        </w:rPr>
        <w:t xml:space="preserve"> </w:t>
      </w:r>
      <w:hyperlink r:id="rId119">
        <w:r>
          <w:rPr>
            <w:rStyle w:val="Hyperlink"/>
            <w:vertAlign w:val="subscript"/>
          </w:rPr>
          <w:t xml:space="preserve">Make All Figures for Dissertation</w:t>
        </w:r>
      </w:hyperlink>
    </w:p>
    <w:bookmarkEnd w:id="120"/>
    <w:bookmarkStart w:id="126" w:name="feature-importance"/>
    <w:p>
      <w:pPr>
        <w:pStyle w:val="Heading2"/>
      </w:pPr>
      <w:r>
        <w:t xml:space="preserve">6.6 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r>
        <w:t xml:space="preserve"> </w:t>
      </w:r>
      <w:hyperlink w:anchor="fig-4-lag">
        <w:r>
          <w:rPr>
            <w:rStyle w:val="Hyperlink"/>
          </w:rPr>
          <w:t xml:space="preserve">Figure 7</w:t>
        </w:r>
      </w:hyperlink>
      <w:r>
        <w:t xml:space="preserve"> </w:t>
      </w:r>
      <w:r>
        <w:t xml:space="preserve">shows the relative ranking of feature categories for the no lag and 2-week lagged models. These findings were also consistent across demographic subgroups.</w:t>
      </w:r>
    </w:p>
    <w:tbl>
      <w:tblPr>
        <w:tblStyle w:val="Table"/>
        <w:tblW w:type="pct" w:w="5000"/>
        <w:tblLayout w:type="fixed"/>
        <w:tblLook w:firstRow="0" w:lastRow="0" w:firstColumn="0" w:lastColumn="0" w:noHBand="0" w:noVBand="0" w:val="0000"/>
      </w:tblPr>
      <w:tblGrid>
        <w:gridCol w:w="7920"/>
      </w:tblGrid>
      <w:tr>
        <w:tc>
          <w:tcPr/>
          <w:bookmarkStart w:id="124" w:name="fig-4-lag"/>
          <w:p>
            <w:pPr>
              <w:pStyle w:val="Compact"/>
              <w:jc w:val="center"/>
            </w:pPr>
            <w:r>
              <w:drawing>
                <wp:inline>
                  <wp:extent cx="5334000" cy="3333749"/>
                  <wp:effectExtent b="0" l="0" r="0" t="0"/>
                  <wp:docPr descr="" title="" id="122" name="Picture"/>
                  <a:graphic>
                    <a:graphicData uri="http://schemas.openxmlformats.org/drawingml/2006/picture">
                      <pic:pic>
                        <pic:nvPicPr>
                          <pic:cNvPr descr="index_files/figure-docx/notebooks-figures-fig-4-lag-output-1.png" id="123" name="Picture"/>
                          <pic:cNvPicPr>
                            <a:picLocks noChangeArrowheads="1" noChangeAspect="1"/>
                          </pic:cNvPicPr>
                        </pic:nvPicPr>
                        <pic:blipFill>
                          <a:blip r:embed="rId12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Global feature importance (mean |Shapley value|) for feature categories for the no lag and 2-week lagged models. Feature categories are ordered by their aggregate global importance. The importance of each feature category for each model is displayed separately by color.</w:t>
            </w:r>
          </w:p>
          <w:bookmarkEnd w:id="124"/>
        </w:tc>
      </w:tr>
    </w:tbl>
    <w:p>
      <w:pPr>
        <w:pStyle w:val="BodyText"/>
      </w:pPr>
      <w:r>
        <w:rPr>
          <w:vertAlign w:val="subscript"/>
        </w:rPr>
        <w:t xml:space="preserve">Source:</w:t>
      </w:r>
      <w:r>
        <w:rPr>
          <w:vertAlign w:val="subscript"/>
        </w:rPr>
        <w:t xml:space="preserve"> </w:t>
      </w:r>
      <w:hyperlink r:id="rId125">
        <w:r>
          <w:rPr>
            <w:rStyle w:val="Hyperlink"/>
            <w:vertAlign w:val="subscript"/>
          </w:rPr>
          <w:t xml:space="preserve">Make All Figures for Dissertation</w:t>
        </w:r>
      </w:hyperlink>
    </w:p>
    <w:bookmarkEnd w:id="126"/>
    <w:bookmarkStart w:id="134" w:name="discussion-1"/>
    <w:p>
      <w:pPr>
        <w:pStyle w:val="Heading2"/>
      </w:pPr>
      <w:r>
        <w:t xml:space="preserve">6.7 Discussion</w:t>
      </w:r>
    </w:p>
    <w:bookmarkStart w:id="127" w:name="model-evaluation-and-comparisons"/>
    <w:p>
      <w:pPr>
        <w:pStyle w:val="Heading3"/>
      </w:pPr>
      <w:r>
        <w:t xml:space="preserve">6.7.1 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127"/>
    <w:bookmarkStart w:id="128" w:name="model-fairness"/>
    <w:p>
      <w:pPr>
        <w:pStyle w:val="Heading3"/>
      </w:pPr>
      <w:r>
        <w:t xml:space="preserve">6.7.2 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(Veinot et al., 2018)</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(Wyant et al., 2025)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(Moshontz et al., 2021)</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(Lee et al., 2023; Lister et al., 2020)</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(David et al., 2018; Fisher, 2015; Roche et al., 2014; Wright et al., 2016)</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(Pulick et al., 2025)</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substance use treatment research due to their childbearing potential</w:t>
      </w:r>
      <w:r>
        <w:t xml:space="preserve"> </w:t>
      </w:r>
      <w:r>
        <w:t xml:space="preserve">(Vannicelli &amp; Nash, 1984)</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(Blei et al., 2003; Devlin et al., 2019; Tausczik &amp; Pennebaker, 2010)</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(Molnar, 2022)</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128"/>
    <w:bookmarkStart w:id="131" w:name="model-characterization-1"/>
    <w:p>
      <w:pPr>
        <w:pStyle w:val="Heading3"/>
      </w:pPr>
      <w:r>
        <w:t xml:space="preserve">6.7.3 Model Characterization</w:t>
      </w:r>
    </w:p>
    <w:bookmarkStart w:id="129" w:name="calibration"/>
    <w:p>
      <w:pPr>
        <w:pStyle w:val="Heading4"/>
      </w:pPr>
      <w:r>
        <w:t xml:space="preserve">6.7.3.1 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(Fagerlin et al., 2007; Zikmund-Fisher, 2013; Zipkin et al., 2014)</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129"/>
    <w:bookmarkStart w:id="130" w:name="feature-importance-1"/>
    <w:p>
      <w:pPr>
        <w:pStyle w:val="Heading4"/>
      </w:pPr>
      <w:r>
        <w:t xml:space="preserve">6.7.3.2 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(Marlatt &amp; Gordon, 1985)</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(K. Witkiewitz &amp; Marlatt, 2007)</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(Marlatt &amp; Gordon, 1985; Rawson et al., 1995; K. Witkiewitz &amp; Marlatt, 2004)</w:t>
      </w:r>
      <w:r>
        <w:t xml:space="preserve"> </w:t>
      </w:r>
      <w:r>
        <w:t xml:space="preserve">and represent targets for intervention in many existing treatments</w:t>
      </w:r>
      <w:r>
        <w:t xml:space="preserve"> </w:t>
      </w:r>
      <w:r>
        <w:t xml:space="preserve">(Bowen et al., 2021; Center for Substance Abuse Treatment, 2006; Liese &amp; Beck, 2022; McHugh et al., 2010)</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(Molnar, 2022)</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(Fronk et al., 2020)</w:t>
      </w:r>
      <w:r>
        <w:t xml:space="preserve">.</w:t>
      </w:r>
    </w:p>
    <w:bookmarkEnd w:id="130"/>
    <w:bookmarkEnd w:id="131"/>
    <w:bookmarkStart w:id="132" w:name="X5ad29cf6135702ebd29ccbd3207356419a7e287"/>
    <w:p>
      <w:pPr>
        <w:pStyle w:val="Heading3"/>
      </w:pPr>
      <w:r>
        <w:t xml:space="preserve">6.7.4 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(Wyant et al., 2025)</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(Moshontz et al., 2021)</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(Wyant et al., 2023; see also Jones et al., 2019)</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(S. W. Bae et al., 2023)</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(Huang et al., 2010; Xie et al., 2009)</w:t>
      </w:r>
      <w:r>
        <w:t xml:space="preserve"> </w:t>
      </w:r>
      <w:r>
        <w:t xml:space="preserve">or collected from the user directly (e.g., self-evaluated riskiness of a given location)</w:t>
      </w:r>
      <w:r>
        <w:t xml:space="preserve"> </w:t>
      </w:r>
      <w:r>
        <w:t xml:space="preserve">(Moshontz et al., 2021)</w:t>
      </w:r>
      <w:r>
        <w:t xml:space="preserve">.</w:t>
      </w:r>
    </w:p>
    <w:bookmarkEnd w:id="132"/>
    <w:bookmarkStart w:id="133" w:name="conclusions"/>
    <w:p>
      <w:pPr>
        <w:pStyle w:val="Heading3"/>
      </w:pPr>
      <w:r>
        <w:t xml:space="preserve">6.7.5 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133"/>
    <w:bookmarkEnd w:id="134"/>
    <w:bookmarkEnd w:id="135"/>
    <w:bookmarkStart w:id="193" w:name="X902f2bd5944083ad171e87a58950d03a7ec89b3"/>
    <w:p>
      <w:pPr>
        <w:pStyle w:val="Heading1"/>
      </w:pPr>
      <w:r>
        <w:t xml:space="preserve">7. Using smartphone sensing and machine learning for personalized daily lapse risk prediction in a national sample of people with opioid use disorder</w:t>
      </w:r>
    </w:p>
    <w:bookmarkStart w:id="136" w:name="introduction-3"/>
    <w:p>
      <w:pPr>
        <w:pStyle w:val="Heading2"/>
      </w:pPr>
      <w:r>
        <w:t xml:space="preserve">7.1 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36"/>
    <w:bookmarkStart w:id="157" w:name="methods-1"/>
    <w:p>
      <w:pPr>
        <w:pStyle w:val="Heading2"/>
      </w:pPr>
      <w:r>
        <w:t xml:space="preserve">7.2 Methods</w:t>
      </w:r>
    </w:p>
    <w:bookmarkStart w:id="139" w:name="transparency-and-openness-1"/>
    <w:p>
      <w:pPr>
        <w:pStyle w:val="Heading3"/>
      </w:pPr>
      <w:r>
        <w:t xml:space="preserve">7.2.1 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(G. S. Collins et al., 2024)</w:t>
      </w:r>
      <w:r>
        <w:t xml:space="preserve">. Finally, our features, labels, questionnaires, and other study materials are publicly available on our OSF page (</w:t>
      </w:r>
      <w:hyperlink r:id="rId137">
        <w:r>
          <w:rPr>
            <w:rStyle w:val="Hyperlink"/>
          </w:rPr>
          <w:t xml:space="preserve">https://osf.io/zvm7s/overview</w:t>
        </w:r>
      </w:hyperlink>
      <w:r>
        <w:t xml:space="preserve">) and our annotated analysis scripts and results are publicly available on our study website (</w:t>
      </w:r>
      <w:hyperlink r:id="rId138">
        <w:r>
          <w:rPr>
            <w:rStyle w:val="Hyperlink"/>
          </w:rPr>
          <w:t xml:space="preserve">https://jjcurtin.github.io/study_risk2/</w:t>
        </w:r>
      </w:hyperlink>
      <w:r>
        <w:t xml:space="preserve">).</w:t>
      </w:r>
      <w:r>
        <w:t xml:space="preserve"> </w:t>
      </w:r>
    </w:p>
    <w:bookmarkEnd w:id="139"/>
    <w:bookmarkStart w:id="140" w:name="participants-2"/>
    <w:p>
      <w:pPr>
        <w:pStyle w:val="Heading3"/>
      </w:pPr>
      <w:r>
        <w:t xml:space="preserve">7.2.2 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6"/>
        </w:numPr>
      </w:pPr>
      <w:r>
        <w:t xml:space="preserve">were age 18 or older,</w:t>
      </w:r>
    </w:p>
    <w:p>
      <w:pPr>
        <w:pStyle w:val="Compact"/>
        <w:numPr>
          <w:ilvl w:val="0"/>
          <w:numId w:val="1006"/>
        </w:numPr>
      </w:pPr>
      <w:r>
        <w:t xml:space="preserve">could read, write, and speak in English,</w:t>
      </w:r>
    </w:p>
    <w:p>
      <w:pPr>
        <w:pStyle w:val="Compact"/>
        <w:numPr>
          <w:ilvl w:val="0"/>
          <w:numId w:val="1006"/>
        </w:numPr>
      </w:pPr>
      <w:r>
        <w:t xml:space="preserve">were enrolled in and adherent with an MOUD program for at least 1 month but no longer than 12 months or enrolled in or recently completed a day treatment program, and</w:t>
      </w:r>
    </w:p>
    <w:p>
      <w:pPr>
        <w:pStyle w:val="Compact"/>
        <w:numPr>
          <w:ilvl w:val="0"/>
          <w:numId w:val="1006"/>
        </w:numPr>
      </w:pPr>
      <w:r>
        <w:t xml:space="preserve">had an Android smartphone with an active data plan.</w:t>
      </w:r>
    </w:p>
    <w:p>
      <w:pPr>
        <w:pStyle w:val="FirstParagraph"/>
      </w:pPr>
      <w:r>
        <w:t xml:space="preserve">We did not exclude participants for comorbid substance use or other psychiatric disorders.</w:t>
      </w:r>
    </w:p>
    <w:bookmarkEnd w:id="140"/>
    <w:bookmarkStart w:id="143" w:name="procedure-2"/>
    <w:p>
      <w:pPr>
        <w:pStyle w:val="Heading3"/>
      </w:pPr>
      <w:r>
        <w:t xml:space="preserve">7.2.3 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41"/>
      </w:r>
      <w:r>
        <w:t xml:space="preserve">, and $5 per month for sharing geolocation data.</w:t>
      </w:r>
      <w:r>
        <w:rPr>
          <w:rStyle w:val="FootnoteReference"/>
        </w:rPr>
        <w:footnoteReference w:id="142"/>
      </w:r>
      <w:r>
        <w:t xml:space="preserve"> </w:t>
      </w:r>
      <w:r>
        <w:t xml:space="preserve">Participants were also paid $50 per month to offset the cost of maintaining a cellphone data plan.</w:t>
      </w:r>
    </w:p>
    <w:bookmarkEnd w:id="143"/>
    <w:bookmarkStart w:id="147" w:name="measures-2"/>
    <w:p>
      <w:pPr>
        <w:pStyle w:val="Heading3"/>
      </w:pPr>
      <w:r>
        <w:t xml:space="preserve">7.2.4 Measures</w:t>
      </w:r>
    </w:p>
    <w:bookmarkStart w:id="144" w:name="individual-differences-1"/>
    <w:p>
      <w:pPr>
        <w:pStyle w:val="Heading4"/>
      </w:pPr>
      <w:r>
        <w:t xml:space="preserve">7.2.4.1 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44"/>
    <w:bookmarkStart w:id="145" w:name="daily-survey"/>
    <w:p>
      <w:pPr>
        <w:pStyle w:val="Heading4"/>
      </w:pPr>
      <w:r>
        <w:t xml:space="preserve">7.2.4.2 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w:t>
      </w:r>
    </w:p>
    <w:bookmarkEnd w:id="145"/>
    <w:bookmarkStart w:id="146" w:name="geolocation-sensing"/>
    <w:p>
      <w:pPr>
        <w:pStyle w:val="Heading4"/>
      </w:pPr>
      <w:r>
        <w:t xml:space="preserve">7.2.4.3 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w:t>
      </w:r>
      <w:r>
        <w:t xml:space="preserve"> </w:t>
      </w:r>
    </w:p>
    <w:bookmarkEnd w:id="146"/>
    <w:bookmarkEnd w:id="147"/>
    <w:bookmarkStart w:id="156" w:name="data-analytic-strategy-2"/>
    <w:p>
      <w:pPr>
        <w:pStyle w:val="Heading3"/>
      </w:pPr>
      <w:r>
        <w:t xml:space="preserve">7.2.5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48" w:name="feature-engineering-2"/>
    <w:p>
      <w:pPr>
        <w:pStyle w:val="Heading4"/>
      </w:pPr>
      <w:r>
        <w:t xml:space="preserve">7.2.5.1 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7"/>
        </w:numPr>
      </w:pPr>
      <w:r>
        <w:rPr>
          <w:i/>
          <w:iCs/>
        </w:rPr>
        <w:t xml:space="preserve">The prediction window day.</w:t>
      </w:r>
      <w:r>
        <w:t xml:space="preserve"> </w:t>
      </w:r>
      <w:r>
        <w:t xml:space="preserve">We created one-hot coded features for day of the week for the start of the prediction window.</w:t>
      </w:r>
    </w:p>
    <w:p>
      <w:pPr>
        <w:numPr>
          <w:ilvl w:val="0"/>
          <w:numId w:val="1007"/>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risk2dem">
        <w:r>
          <w:rPr>
            <w:rStyle w:val="Hyperlink"/>
          </w:rPr>
          <w:t xml:space="preserve">Table 6</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7"/>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148"/>
    <w:bookmarkStart w:id="149" w:name="lapse-labels-1"/>
    <w:p>
      <w:pPr>
        <w:pStyle w:val="Heading4"/>
      </w:pPr>
      <w:r>
        <w:t xml:space="preserve">7.2.5.2 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149"/>
    <w:bookmarkStart w:id="150" w:name="cross-validation-1"/>
    <w:p>
      <w:pPr>
        <w:pStyle w:val="Heading4"/>
      </w:pPr>
      <w:r>
        <w:t xml:space="preserve">7.2.5.3 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150"/>
    <w:bookmarkStart w:id="151" w:name="model-configurations-1"/>
    <w:p>
      <w:pPr>
        <w:pStyle w:val="Heading4"/>
      </w:pPr>
      <w:r>
        <w:t xml:space="preserve">7.2.5.4 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151"/>
    <w:bookmarkStart w:id="154" w:name="model-evaluation-1"/>
    <w:p>
      <w:pPr>
        <w:pStyle w:val="Heading4"/>
      </w:pPr>
      <w:r>
        <w:t xml:space="preserve">7.2.5.5 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152" w:name="auroc-and-model-comparisons"/>
    <w:p>
      <w:pPr>
        <w:pStyle w:val="Heading5"/>
      </w:pPr>
      <w:r>
        <w:t xml:space="preserve">7.2.5.5.1 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152"/>
    <w:bookmarkStart w:id="153" w:name="calibration-and-overall-performance"/>
    <w:p>
      <w:pPr>
        <w:pStyle w:val="Heading5"/>
      </w:pPr>
      <w:r>
        <w:t xml:space="preserve">7.2.5.5.2 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153"/>
    <w:bookmarkEnd w:id="154"/>
    <w:bookmarkStart w:id="155" w:name="feature-importance-2"/>
    <w:p>
      <w:pPr>
        <w:pStyle w:val="Heading4"/>
      </w:pPr>
      <w:r>
        <w:t xml:space="preserve">7.2.5.6 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155"/>
    <w:bookmarkEnd w:id="156"/>
    <w:bookmarkEnd w:id="157"/>
    <w:bookmarkStart w:id="191" w:name="results-2"/>
    <w:p>
      <w:pPr>
        <w:pStyle w:val="Heading2"/>
      </w:pPr>
      <w:r>
        <w:t xml:space="preserve">7.3 Results</w:t>
      </w:r>
    </w:p>
    <w:bookmarkStart w:id="162" w:name="participants-3"/>
    <w:p>
      <w:pPr>
        <w:pStyle w:val="Heading3"/>
      </w:pPr>
      <w:r>
        <w:t xml:space="preserve">7.3.1 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158"/>
      </w:r>
      <w:r>
        <w:t xml:space="preserve"> </w:t>
      </w:r>
      <w:r>
        <w:t xml:space="preserve">Of these 330, 14 were excluded for not providing at least 28 days of EMA data with acceptable adherence</w:t>
      </w:r>
      <w:r>
        <w:rPr>
          <w:rStyle w:val="FootnoteReference"/>
        </w:rPr>
        <w:footnoteReference w:id="159"/>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risk2dem">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0" w:name="tbl-risk2dem"/>
          <w:p>
            <w:pPr>
              <w:jc w:val="center"/>
            </w:pPr>
            <w:pPr>
              <w:jc w:val="left"/>
              <w:spacing w:before="200"/>
              <w:pStyle w:val="ImageCaption"/>
            </w:pPr>
            <w:r>
              <w:t xml:space="preserve">Table 6: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160"/>
          <w:p/>
        </w:tc>
      </w:tr>
    </w:tbl>
    <w:p>
      <w:pPr>
        <w:pStyle w:val="BodyText"/>
      </w:pPr>
      <w:r>
        <w:rPr>
          <w:vertAlign w:val="subscript"/>
        </w:rPr>
        <w:t xml:space="preserve">Source:</w:t>
      </w:r>
      <w:r>
        <w:rPr>
          <w:vertAlign w:val="subscript"/>
        </w:rPr>
        <w:t xml:space="preserve"> </w:t>
      </w:r>
      <w:hyperlink r:id="rId161">
        <w:r>
          <w:rPr>
            <w:rStyle w:val="Hyperlink"/>
            <w:vertAlign w:val="subscript"/>
          </w:rPr>
          <w:t xml:space="preserve">Make All Tables for Dissertation</w:t>
        </w:r>
      </w:hyperlink>
    </w:p>
    <w:bookmarkEnd w:id="162"/>
    <w:bookmarkStart w:id="163" w:name="adherence-features-and-labels"/>
    <w:p>
      <w:pPr>
        <w:pStyle w:val="Heading3"/>
      </w:pPr>
      <w:r>
        <w:t xml:space="preserve">7.3.2 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163"/>
    <w:bookmarkStart w:id="171" w:name="auroc-and-model-comparisons-1"/>
    <w:p>
      <w:pPr>
        <w:pStyle w:val="Heading3"/>
      </w:pPr>
      <w:r>
        <w:t xml:space="preserve">7.3.3 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risk2model">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4" w:name="tbl-risk2model"/>
          <w:p>
            <w:pPr>
              <w:jc w:val="center"/>
            </w:pPr>
            <w:pPr>
              <w:jc w:val="left"/>
              <w:spacing w:before="200"/>
              <w:pStyle w:val="ImageCaption"/>
            </w:pPr>
            <w:r>
              <w:t xml:space="preserve">Table 7: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164"/>
          <w:p/>
        </w:tc>
      </w:tr>
    </w:tbl>
    <w:p>
      <w:pPr>
        <w:pStyle w:val="BodyText"/>
      </w:pPr>
      <w:r>
        <w:rPr>
          <w:vertAlign w:val="subscript"/>
        </w:rPr>
        <w:t xml:space="preserve">Source:</w:t>
      </w:r>
      <w:r>
        <w:rPr>
          <w:vertAlign w:val="subscript"/>
        </w:rPr>
        <w:t xml:space="preserve"> </w:t>
      </w:r>
      <w:hyperlink r:id="rId165">
        <w:r>
          <w:rPr>
            <w:rStyle w:val="Hyperlink"/>
            <w:vertAlign w:val="subscript"/>
          </w:rPr>
          <w:t xml:space="preserve">Make All Tables for Dissertation</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9" w:name="fig-1"/>
          <w:p>
            <w:pPr>
              <w:pStyle w:val="Compact"/>
              <w:jc w:val="center"/>
            </w:pPr>
            <w:r>
              <w:drawing>
                <wp:inline>
                  <wp:extent cx="5334000" cy="3810000"/>
                  <wp:effectExtent b="0" l="0" r="0" t="0"/>
                  <wp:docPr descr="" title="" id="167" name="Picture"/>
                  <a:graphic>
                    <a:graphicData uri="http://schemas.openxmlformats.org/drawingml/2006/picture">
                      <pic:pic>
                        <pic:nvPicPr>
                          <pic:cNvPr descr="index_files/figure-docx/notebooks-figures-fig-1-output-2.png" id="168" name="Picture"/>
                          <pic:cNvPicPr>
                            <a:picLocks noChangeArrowheads="1" noChangeAspect="1"/>
                          </pic:cNvPicPr>
                        </pic:nvPicPr>
                        <pic:blipFill>
                          <a:blip r:embed="rId16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169"/>
        </w:tc>
      </w:tr>
    </w:tbl>
    <w:p>
      <w:pPr>
        <w:pStyle w:val="BodyText"/>
      </w:pPr>
      <w:r>
        <w:rPr>
          <w:vertAlign w:val="subscript"/>
        </w:rPr>
        <w:t xml:space="preserve">Source:</w:t>
      </w:r>
      <w:r>
        <w:rPr>
          <w:vertAlign w:val="subscript"/>
        </w:rPr>
        <w:t xml:space="preserve"> </w:t>
      </w:r>
      <w:hyperlink r:id="rId170">
        <w:r>
          <w:rPr>
            <w:rStyle w:val="Hyperlink"/>
            <w:vertAlign w:val="subscript"/>
          </w:rPr>
          <w:t xml:space="preserve">Make All Figures for Dissertation</w:t>
        </w:r>
      </w:hyperlink>
    </w:p>
    <w:bookmarkEnd w:id="171"/>
    <w:bookmarkStart w:id="178" w:name="calibration-and-overall-performance-1"/>
    <w:p>
      <w:pPr>
        <w:pStyle w:val="Heading3"/>
      </w:pPr>
      <w:r>
        <w:t xml:space="preserve">7.3.4 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172"/>
      </w:r>
      <w:r>
        <w:t xml:space="preserve"> </w:t>
      </w:r>
      <w:r>
        <w:t xml:space="preserve">This model produced generally well-calibrated raw probabilities (brier score = 0.014; left panel of</w:t>
      </w:r>
      <w:r>
        <w:t xml:space="preserve"> </w:t>
      </w:r>
      <w:hyperlink w:anchor="fig-2">
        <w:r>
          <w:rPr>
            <w:rStyle w:val="Hyperlink"/>
          </w:rPr>
          <w:t xml:space="preserve">Figure 9</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2"/>
          <w:p>
            <w:pPr>
              <w:pStyle w:val="Compact"/>
              <w:jc w:val="center"/>
            </w:pPr>
            <w:r>
              <w:drawing>
                <wp:inline>
                  <wp:extent cx="5334000" cy="3333749"/>
                  <wp:effectExtent b="0" l="0" r="0" t="0"/>
                  <wp:docPr descr="" title="" id="174" name="Picture"/>
                  <a:graphic>
                    <a:graphicData uri="http://schemas.openxmlformats.org/drawingml/2006/picture">
                      <pic:pic>
                        <pic:nvPicPr>
                          <pic:cNvPr descr="index_files/figure-docx/notebooks-figures-fig-2-output-1.png" id="175" name="Picture"/>
                          <pic:cNvPicPr>
                            <a:picLocks noChangeArrowheads="1" noChangeAspect="1"/>
                          </pic:cNvPicPr>
                        </pic:nvPicPr>
                        <pic:blipFill>
                          <a:blip r:embed="rId173"/>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176"/>
        </w:tc>
      </w:tr>
    </w:tbl>
    <w:p>
      <w:pPr>
        <w:pStyle w:val="BodyText"/>
      </w:pPr>
      <w:r>
        <w:rPr>
          <w:vertAlign w:val="subscript"/>
        </w:rPr>
        <w:t xml:space="preserve">Source:</w:t>
      </w:r>
      <w:r>
        <w:rPr>
          <w:vertAlign w:val="subscript"/>
        </w:rPr>
        <w:t xml:space="preserve"> </w:t>
      </w:r>
      <w:hyperlink r:id="rId177">
        <w:r>
          <w:rPr>
            <w:rStyle w:val="Hyperlink"/>
            <w:vertAlign w:val="subscript"/>
          </w:rPr>
          <w:t xml:space="preserve">Make All Figures for Dissertation</w:t>
        </w:r>
      </w:hyperlink>
    </w:p>
    <w:bookmarkEnd w:id="178"/>
    <w:bookmarkStart w:id="190" w:name="feature-importance-3"/>
    <w:p>
      <w:pPr>
        <w:pStyle w:val="Heading3"/>
      </w:pPr>
      <w:r>
        <w:t xml:space="preserve">7.3.5 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10</w:t>
        </w:r>
      </w:hyperlink>
      <w:r>
        <w:t xml:space="preserve"> </w:t>
      </w:r>
      <w:r>
        <w:t xml:space="preserve">displays the top 30 (out of 186) feature categories, as defined by the 30 largest absolute mean shapley values.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183" w:name="fig-3"/>
          <w:p>
            <w:pPr>
              <w:pStyle w:val="Compact"/>
              <w:jc w:val="center"/>
            </w:pPr>
            <w:bookmarkStart w:id="182" w:name="fig-3"/>
            <w:r>
              <w:drawing>
                <wp:inline>
                  <wp:extent cx="5334000" cy="3333749"/>
                  <wp:effectExtent b="0" l="0" r="0" t="0"/>
                  <wp:docPr descr="" title="" id="180" name="Picture"/>
                  <a:graphic>
                    <a:graphicData uri="http://schemas.openxmlformats.org/drawingml/2006/picture">
                      <pic:pic>
                        <pic:nvPicPr>
                          <pic:cNvPr descr="index_files/figure-docx/notebooks-figures-fig-3-output-1.png" id="181" name="Picture"/>
                          <pic:cNvPicPr>
                            <a:picLocks noChangeArrowheads="1" noChangeAspect="1"/>
                          </pic:cNvPicPr>
                        </pic:nvPicPr>
                        <pic:blipFill>
                          <a:blip r:embed="rId179"/>
                          <a:stretch>
                            <a:fillRect/>
                          </a:stretch>
                        </pic:blipFill>
                        <pic:spPr bwMode="auto">
                          <a:xfrm>
                            <a:off x="0" y="0"/>
                            <a:ext cx="5334000" cy="3333749"/>
                          </a:xfrm>
                          <a:prstGeom prst="rect">
                            <a:avLst/>
                          </a:prstGeom>
                          <a:noFill/>
                          <a:ln w="9525">
                            <a:noFill/>
                            <a:headEnd/>
                            <a:tailEnd/>
                          </a:ln>
                        </pic:spPr>
                      </pic:pic>
                    </a:graphicData>
                  </a:graphic>
                </wp:inline>
              </w:drawing>
            </w:r>
            <w:bookmarkEnd w:id="182"/>
          </w:p>
          <w:p>
            <w:pPr>
              <w:jc w:val="center"/>
            </w:pPr>
            <w:pPr>
              <w:jc w:val="left"/>
              <w:spacing w:before="200"/>
              <w:pStyle w:val="ImageCaption"/>
            </w:pPr>
            <w:r>
              <w:t xml:space="preserve">Figure 10</w:t>
            </w:r>
          </w:p>
          <w:bookmarkEnd w:id="183"/>
        </w:tc>
      </w:tr>
    </w:tbl>
    <w:p>
      <w:pPr>
        <w:pStyle w:val="BodyText"/>
      </w:pPr>
      <w:r>
        <w:rPr>
          <w:vertAlign w:val="subscript"/>
        </w:rPr>
        <w:t xml:space="preserve">Source:</w:t>
      </w:r>
      <w:r>
        <w:rPr>
          <w:vertAlign w:val="subscript"/>
        </w:rPr>
        <w:t xml:space="preserve"> </w:t>
      </w:r>
      <w:hyperlink r:id="rId184">
        <w:r>
          <w:rPr>
            <w:rStyle w:val="Hyperlink"/>
            <w:vertAlign w:val="subscript"/>
          </w:rPr>
          <w:t xml:space="preserve">Make All Figures for Dissertation</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11</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188" w:name="fig-4"/>
          <w:p>
            <w:pPr>
              <w:pStyle w:val="Compact"/>
              <w:jc w:val="center"/>
            </w:pPr>
            <w:r>
              <w:drawing>
                <wp:inline>
                  <wp:extent cx="5334000" cy="7467600"/>
                  <wp:effectExtent b="0" l="0" r="0" t="0"/>
                  <wp:docPr descr="" title="" id="186" name="Picture"/>
                  <a:graphic>
                    <a:graphicData uri="http://schemas.openxmlformats.org/drawingml/2006/picture">
                      <pic:pic>
                        <pic:nvPicPr>
                          <pic:cNvPr descr="index_files/figure-docx/notebooks-figures-fig-4-output-1.png" id="187" name="Picture"/>
                          <pic:cNvPicPr>
                            <a:picLocks noChangeArrowheads="1" noChangeAspect="1"/>
                          </pic:cNvPicPr>
                        </pic:nvPicPr>
                        <pic:blipFill>
                          <a:blip r:embed="rId18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Feature importance partial dependence plots.</w:t>
            </w:r>
          </w:p>
          <w:bookmarkEnd w:id="188"/>
        </w:tc>
      </w:tr>
    </w:tbl>
    <w:p>
      <w:pPr>
        <w:pStyle w:val="BodyText"/>
      </w:pPr>
      <w:r>
        <w:rPr>
          <w:vertAlign w:val="subscript"/>
        </w:rPr>
        <w:t xml:space="preserve">Source:</w:t>
      </w:r>
      <w:r>
        <w:rPr>
          <w:vertAlign w:val="subscript"/>
        </w:rPr>
        <w:t xml:space="preserve"> </w:t>
      </w:r>
      <w:hyperlink r:id="rId189">
        <w:r>
          <w:rPr>
            <w:rStyle w:val="Hyperlink"/>
            <w:vertAlign w:val="subscript"/>
          </w:rPr>
          <w:t xml:space="preserve">Make All Figures for Dissertation</w:t>
        </w:r>
      </w:hyperlink>
    </w:p>
    <w:bookmarkEnd w:id="190"/>
    <w:bookmarkEnd w:id="191"/>
    <w:bookmarkStart w:id="192" w:name="discussion-2"/>
    <w:p>
      <w:pPr>
        <w:pStyle w:val="Heading2"/>
      </w:pPr>
      <w:r>
        <w:t xml:space="preserve">7.4 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and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posibbly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opioid use disorder suggests it represents a promising step toward future real‑world implementation and evaluation.</w:t>
      </w:r>
    </w:p>
    <w:bookmarkEnd w:id="192"/>
    <w:bookmarkEnd w:id="193"/>
    <w:bookmarkStart w:id="200" w:name="discussion-3"/>
    <w:p>
      <w:pPr>
        <w:pStyle w:val="Heading1"/>
      </w:pPr>
      <w:r>
        <w:t xml:space="preserve">8. Discussion</w:t>
      </w:r>
    </w:p>
    <w:bookmarkStart w:id="194" w:name="summary"/>
    <w:p>
      <w:pPr>
        <w:pStyle w:val="Heading2"/>
      </w:pPr>
      <w:r>
        <w:t xml:space="preserve">8.1 Summary</w:t>
      </w:r>
    </w:p>
    <w:p>
      <w:pPr>
        <w:pStyle w:val="FirstParagraph"/>
      </w:pPr>
      <w:r>
        <w:t xml:space="preserve">This series of studies aimed to develop fair, temporally precise machine learning models for predicting lapses back to substance use that could be integrated into a recovery monitoring support system. Collectively, these studies address several key limitations of prior work to advance the generalizability and translational relevance of our findings. First, our models were trained on two relatively large, treatment‑seeking samples of adults in early recovery from AUD and OUD, closely matching the populations most likely to benefit from recovery monitoring systems. Second, we explicitly predicted goal‑inconsistent substance use (lapses) rather than general use. This distinction is important, as the risk factors underlying lapses likely differ from those associated with intentional or planned substance use. Third, data collection occurred during initial SUD remission, a well‑documented high‑risk period for relapse, increasing the likelihood that identified predictors reflect relevant risk processes to target with recovery support. Fourth, we collected EMA, geolocation, and substance use outcomes with sufficient frequency and granularity to support prediction with high temporal precision to identify changes in risk for immediate and future lapses for a specific individual at a specific moment in time. Finally, we used advanced resampling techniques (grouped, nested k‑fold cross‑validation) to obtain valid estimates of out‑of‑sample performance, strengthening confidence in how these models might generalize to new individuals.</w:t>
      </w:r>
    </w:p>
    <w:bookmarkEnd w:id="194"/>
    <w:bookmarkStart w:id="195" w:name="model-performance-2"/>
    <w:p>
      <w:pPr>
        <w:pStyle w:val="Heading2"/>
      </w:pPr>
      <w:r>
        <w:t xml:space="preserve">8.2 Model Performance</w:t>
      </w:r>
    </w:p>
    <w:p>
      <w:pPr>
        <w:pStyle w:val="FirstParagraph"/>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opioid use). This consistency suggests that lapse risk can be meaningfully captured across multiple temporal scales and for different substances.</w:t>
      </w:r>
    </w:p>
    <w:p>
      <w:pPr>
        <w:pStyle w:val="BodyText"/>
      </w:pPr>
      <w:r>
        <w:t xml:space="preserve">Model performance decreased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start of the prediction window. Implementing these models will require weighing the benefits of advanced notice against the cost to performance.</w:t>
      </w:r>
    </w:p>
    <w:p>
      <w:pPr>
        <w:pStyle w:val="BodyText"/>
      </w:pPr>
      <w:r>
        <w:t xml:space="preserve">Models generally performed fairly when demographic groups were sufficiently represented in the training data. An exception to this pattern emerged when predicting alcohol lapses among women. Although the AUD sample was balanced on sex at birth, model performance was poorer for women compared to men. Notably, this disparity was substantially reduced when predicting opioid lapses. One important difference across studies was how this demographic dimension was operationalized. In the AUD sample, we used sex assigned at birth, whereas in the OUD sample we pivoted to a more inclusive measure of gender identity. It is possible that, had our OUD models been evaluated using sex assigned at birth, we would have observed comparable discrepancies in performance. However, we did not collect sex assigned at birth in the OUD sample and therefore could neither confirm nor rule out this possibility. Nevertheless, we believe several alternative explanations are more plausible.</w:t>
      </w:r>
    </w:p>
    <w:p>
      <w:pPr>
        <w:pStyle w:val="BodyText"/>
      </w:pPr>
      <w:r>
        <w:t xml:space="preserve">First, the AUD sample was geographically constrained. This raises the possibility that factors unique to women in Madison, WI may differentially influence lapse risk, rather than reflecting sex differences more generally. For example, our AUD sample was predominantly college educated non-Hispanic White individuals. These characteristics do not accurately reflect the demographic composition of the broader population of individuals with AUD. Madison, WI also has unique social and environmental factors (e.g., permissive drinking norms, long winters) that could raise concerns about the generalizability of these sex-specific differences.</w:t>
      </w:r>
    </w:p>
    <w:p>
      <w:pPr>
        <w:pStyle w:val="BodyText"/>
      </w:pPr>
      <w:r>
        <w:t xml:space="preserve">Second, while alcohol use is broadly socially accepted, there may be sex-specific contexts in which it is less accepted. Women may face distinct social pressures (e.g., childcare responsibilities) that intersect with AUD, and potentially other identity factors, to increase both internalized and external experiences of stigma. These dynamics could affect the measurement of both the outcome (e.g., women underreporting alcohol lapses relative to men) and the predictors (e.g., failure to measure sex-specific risk-relevant experiences). Opioid use, on the other hand, is illegal and highly stigmatized across contexts</w:t>
      </w:r>
      <w:r>
        <w:t xml:space="preserve"> </w:t>
      </w:r>
      <w:r>
        <w:t xml:space="preserve">(</w:t>
      </w:r>
      <w:r>
        <w:rPr>
          <w:b/>
          <w:bCs/>
        </w:rPr>
        <w:t xml:space="preserve">cheethamImpactStigmaPeople2022?</w:t>
      </w:r>
      <w:r>
        <w:t xml:space="preserve">)</w:t>
      </w:r>
      <w:r>
        <w:t xml:space="preserve">, which may result in more equally distributed stigma-related experiences among men and women. As a result, any measurement effects related to stigma would have been present in both gender groups in the OUD sample.</w:t>
      </w:r>
    </w:p>
    <w:p>
      <w:pPr>
        <w:pStyle w:val="BodyText"/>
      </w:pPr>
      <w:r>
        <w:t xml:space="preserve">Third, changes in how we measured risk-relevant constructs may have enabled us to capture additional important predictors for women that were not well captured in the AUD sample. Most notably, we added an entirely new set of features derived from geolocation sensing. Prior research has identified gender differences in associations between social support and relapse risk. Specifically, women appear more likely to relapse when living apart from their children, experiencing depression, or undergoing marital stress</w:t>
      </w:r>
      <w:r>
        <w:t xml:space="preserve"> </w:t>
      </w:r>
      <w:r>
        <w:t xml:space="preserve">(Walitzer &amp; Dearing, 2006;</w:t>
      </w:r>
      <w:r>
        <w:t xml:space="preserve"> </w:t>
      </w:r>
      <w:r>
        <w:rPr>
          <w:b/>
          <w:bCs/>
        </w:rPr>
        <w:t xml:space="preserve">maxwellGenderDifferencesPsychosocial2022?</w:t>
      </w:r>
      <w:r>
        <w:t xml:space="preserve">;</w:t>
      </w:r>
      <w:r>
        <w:t xml:space="preserve"> </w:t>
      </w:r>
      <w:r>
        <w:rPr>
          <w:b/>
          <w:bCs/>
        </w:rPr>
        <w:t xml:space="preserve">saundersWomenAlcoholProblems1993?</w:t>
      </w:r>
      <w:r>
        <w:t xml:space="preserve">)</w:t>
      </w:r>
      <w:r>
        <w:t xml:space="preserve">. Our measure of location variance may have captured downstream behavioral correlates of low social support, such as social isolation or limited time spent outside the home or workplace.</w:t>
      </w:r>
    </w:p>
    <w:p>
      <w:pPr>
        <w:pStyle w:val="BodyText"/>
      </w:pPr>
      <w:r>
        <w:t xml:space="preserve">We also expanded the number and specificity of EMA items. In previous unpublished analyses of the AUD sample, abstinence self-efficacy was a much stronger predictor of lapse for men than for women. Given that this construct was the second most important feature in the AUD model, it likely contributed to the observed sex-specific performance discrepancy. In the OUD sample, we broke this item into two distinct parts. Specifically, the question “How likely are you to drink any alcohol within the next week?” was replaced with: (1) “Thinking forward to the next week, how motivated are you to completely avoid using opioids for non-medical reasons?” and (2) “Thinking forward to the next week, how confident are you in your ability to completely avoid using opioids for non-medical reasons?” This more nuanced operationalization may have allowed us to better capture motivational and confidence-related components of efficacy that are differentially predictive for women.</w:t>
      </w:r>
    </w:p>
    <w:p>
      <w:pPr>
        <w:pStyle w:val="BodyText"/>
      </w:pPr>
      <w:r>
        <w:t xml:space="preserve">Relapse among women has also been more consistently linked to negative affect compared to men</w:t>
      </w:r>
      <w:r>
        <w:t xml:space="preserve"> </w:t>
      </w:r>
      <w:r>
        <w:t xml:space="preserve">(</w:t>
      </w:r>
      <w:r>
        <w:rPr>
          <w:b/>
          <w:bCs/>
        </w:rPr>
        <w:t xml:space="preserve">zywiakAlcoholRelapseRepetition2006a?</w:t>
      </w:r>
      <w:r>
        <w:t xml:space="preserve">)</w:t>
      </w:r>
      <w:r>
        <w:t xml:space="preserve">. In the OUD sample, we added items assessing discrete emotional states (relaxed, happy, depressed, anxious, angry), whereas the AUD sample relied on more general assessments of affect using bipolar valence and arousal scales. This increased emotional granularity may have further improved the model’s ability to capture risk processes more specific to women.</w:t>
      </w:r>
    </w:p>
    <w:p>
      <w:pPr>
        <w:pStyle w:val="BodyText"/>
      </w:pPr>
      <w:r>
        <w:t xml:space="preserve">While we offer several hypotheses for how specific features may produce sex-specific effects on model performance, it is likely that we would also observe feature interactions with race and ethnicity, income, geographic location and sexual orientation. We plan to explore how the relative ordering of features by importance differs for these different demographic subgroups. Although our model produced comparable overall performance for these groups (when sufficiently represented), the model may work through distinct predictive pathways for different groups. Understanding how features contribute to model performance across fairness groups could inform more tailored recovery recommendations and guide the selection of features in future modeling efforts.</w:t>
      </w:r>
    </w:p>
    <w:bookmarkEnd w:id="195"/>
    <w:bookmarkStart w:id="196" w:name="important-features"/>
    <w:p>
      <w:pPr>
        <w:pStyle w:val="Heading2"/>
      </w:pPr>
      <w:r>
        <w:t xml:space="preserve">8.3 Important Features</w:t>
      </w:r>
    </w:p>
    <w:p>
      <w:pPr>
        <w:pStyle w:val="FirstParagraph"/>
      </w:pPr>
      <w:r>
        <w:t xml:space="preserve">We used Shapley values to characterize the the average contribution of a feature on the model’s prediction across all participants and observations</w:t>
      </w:r>
      <w:r>
        <w:t xml:space="preserve"> </w:t>
      </w:r>
      <w:r>
        <w:t xml:space="preserve">(Lundberg &amp; Lee, 2017)</w:t>
      </w:r>
      <w:r>
        <w:t xml:space="preserve">. The relative ordering of EMA features remained somewhat consistent across alcohol and opioid models. Past use was the most important feature in both models in our dataset. This is not surprising given that our outcome was lapse, and past behavior is often the best predictor of future behavior</w:t>
      </w:r>
      <w:r>
        <w:t xml:space="preserve"> </w:t>
      </w:r>
      <w:r>
        <w:t xml:space="preserve">(</w:t>
      </w:r>
      <w:r>
        <w:rPr>
          <w:b/>
          <w:bCs/>
        </w:rPr>
        <w:t xml:space="preserve">ouelletteHabitIntentionEverday1998?</w:t>
      </w:r>
      <w:r>
        <w:t xml:space="preserve">)</w:t>
      </w:r>
      <w:r>
        <w:t xml:space="preserve">. Craving/urges and abstinence self-efficacy/confidence also emerged as top features across all studies, suggesting that, consistent with decades of relapse prevention literature, these remain important targets for intervention to support early recovery efforts</w:t>
      </w:r>
      <w:r>
        <w:t xml:space="preserve"> </w:t>
      </w:r>
      <w:r>
        <w:t xml:space="preserve">(Marlatt &amp; Gordon, 1985)</w:t>
      </w:r>
      <w:r>
        <w:t xml:space="preserve">.</w:t>
      </w:r>
    </w:p>
    <w:p>
      <w:pPr>
        <w:pStyle w:val="BodyText"/>
      </w:pPr>
      <w:r>
        <w:t xml:space="preserve">Some noticeable differences across substances, however, did exist. Day of the prediction window influenced lapse predictions for alcohol but not opioid lapses, potentially reflecting differences in normative patterns of use (e.g., weekend drinking vs. less patterned opioid use). Additionally, past pleasant events was the fourth most important EMA feature for opioid lapse risk, compared with the eighth most important EMA feature for alcohol lapse risk. Partial dependence plots indicated a protective effect of pleasant events on opioid lapse risk. This likely reflects a more nuanced relationship between pleasant events and the environmental contingencies surrounding them. Alcohol is commonly integrated into celebratory, recreational, social, and otherwise</w:t>
      </w:r>
      <w:r>
        <w:t xml:space="preserve"> </w:t>
      </w:r>
      <w:r>
        <w:t xml:space="preserve">“pleasant”</w:t>
      </w:r>
      <w:r>
        <w:t xml:space="preserve"> </w:t>
      </w:r>
      <w:r>
        <w:t xml:space="preserve">events. These alcohol-related cues may undermine the protective effects of pleasant events for alcohol lapse risk while having little or no effect on opioid lapse risk.</w:t>
      </w:r>
    </w:p>
    <w:p>
      <w:pPr>
        <w:pStyle w:val="BodyText"/>
      </w:pPr>
      <w:r>
        <w:t xml:space="preserve">We observed a diminished effect of the top EMA features when there was longer lag times between the prediction timepoint and start of the prediction window. This is consistent with reduced model performance in the lagged models and could reflect the inherent ebb-and-flow nature of the risk factors we chose to measure with EMA. For example, the importance of abstinence self-efficacy dropped by more than 50% in the 2-week lagged model relative to the immediate model. This may indicate that self-efficacy during early recovery is unstable even across shorter periods of time such that their current self-efficacy does not strongly predict abstinence success even two weeks into the future. Even past use, was less important for the lagged models, suggesting predictive strength of a lapse on the likelihood of subsequent lapses diminishes to some degree over a relatively short period of time. This reinforces the idea that single lapses do not always mark a return to consistent patterns of frequent, and potentially harmful, substance use</w:t>
      </w:r>
      <w:r>
        <w:t xml:space="preserve"> </w:t>
      </w:r>
      <w:r>
        <w:t xml:space="preserve">(K. Witkiewitz &amp; Marlatt, 2007)</w:t>
      </w:r>
      <w:r>
        <w:t xml:space="preserve">.</w:t>
      </w:r>
    </w:p>
    <w:p>
      <w:pPr>
        <w:pStyle w:val="BodyText"/>
      </w:pPr>
      <w:r>
        <w:t xml:space="preserve">On the other hand, we were surprised to discover that past and anticipated risky situations were more important in the lagged models compared to the immediate model, suggesting that the impact of these situations on lapses back to use may be delayed. It may be that persistent exposure to risks is necessary to undermine an abstinence goal and lead to return to substance use. Alternatively or additionally, people may also be better able to anticipate future risky situations (e.g., vacations, anniversaries of significant dates) than future acute stressors or even future self-efficacy.</w:t>
      </w:r>
    </w:p>
    <w:p>
      <w:pPr>
        <w:pStyle w:val="BodyText"/>
      </w:pPr>
      <w:r>
        <w:t xml:space="preserve">In Chapter 4, we extended our sensing methods to include geolocation. Geolocation features emerged among the top subset of features. Specifically, location variance, time spent in helpful and harmful locations, and time spent at locations where religious activities are performed were among the top ten features and surpassing several EMA features, including discrete emotional experiences (relaxed, happy, depressed, anxious, angry), pain, sleep quality, and past and future stressful events.</w:t>
      </w:r>
    </w:p>
    <w:p>
      <w:pPr>
        <w:pStyle w:val="BodyText"/>
      </w:pPr>
      <w:r>
        <w:t xml:space="preserve">Global feature importance provides insight into overall patterns of risk factors and lapse (i.e., what is generally most important on average). However, in the context of a precision-guided recovery monitoring support system, we are interested in understanding which risk factor is most important for a given individual at a specific moment in time (local importance). We explored two visual characterizations of local feature importance. In Study 1, we plotted the distributions of local Shapley values. These plots were useful for demonstrating the wide range of variability in feature importance across individuals and observations. However, they still aggregated data across individuals and time points, which obscured the within-person context of each prediction. For example, the range of local Shapley values for valence appears relatively narrow compared to other, more globally important features. Nevertheless, for some individuals at certain moments, valence may be the most influential feature affecting lapse risk.</w:t>
      </w:r>
    </w:p>
    <w:p>
      <w:pPr>
        <w:pStyle w:val="BodyText"/>
      </w:pPr>
      <w:r>
        <w:t xml:space="preserve">In Study 3, we explored an alternative visualization of feature importance. Specifically, we calculated the proportion of observations for which each feature category had the highest Shapley value. This provided a summary of the proportion of days on which each feature was most important. Importantly, this visualization revealed that although past use appeared to be the most influential feature overall, it was only dominant on a subset of days. Across studies, the proportion of day-level observations positive for lapse ranged from 1.8% to 7.7%. Therefore, when considering this model in the context of a recovery monitoring and support system that provides daily insight into lapse risk, features other than past use may, in most cases, represent more clinically meaningful targets for intervention.</w:t>
      </w:r>
    </w:p>
    <w:p>
      <w:pPr>
        <w:pStyle w:val="BodyText"/>
      </w:pPr>
      <w:r>
        <w:rPr>
          <w:i/>
          <w:iCs/>
        </w:rPr>
        <w:t xml:space="preserve">JC: I think you could do more with the new way of thinking about feature importance. You mention that past use isnt viewed as top any more from that perspective. What is? Is it more balanced or still just a few but different important features. What are the implications of this?</w:t>
      </w:r>
    </w:p>
    <w:bookmarkEnd w:id="196"/>
    <w:bookmarkStart w:id="197" w:name="limitations"/>
    <w:p>
      <w:pPr>
        <w:pStyle w:val="Heading2"/>
      </w:pPr>
      <w:r>
        <w:t xml:space="preserve">8.4 Limitations</w:t>
      </w:r>
    </w:p>
    <w:p>
      <w:pPr>
        <w:pStyle w:val="FirstParagraph"/>
      </w:pPr>
      <w:r>
        <w:t xml:space="preserve">EMA was shown to be a robust sensing method for lapse prediction. In Studies 1–2, participants were able and willing to comply with an intensive 4× daily EMA protocol for up to three months. This is promising, as many EMA studies have been limited to shorter durations</w:t>
      </w:r>
      <w:r>
        <w:t xml:space="preserve"> </w:t>
      </w:r>
      <w:r>
        <w:t xml:space="preserve">(Jones et al., 2019)</w:t>
      </w:r>
      <w:r>
        <w:t xml:space="preserve">. However, while this level of sampling is feasible, it may not be necessary. We found that a once-daily survey was sufficient for accurate prediction of opioid lapse risk in Study 3, suggesting that self-report sensing can be collected over long durations (i.e., at least up to a year) with relatively low burden.</w:t>
      </w:r>
    </w:p>
    <w:p>
      <w:pPr>
        <w:pStyle w:val="BodyText"/>
      </w:pPr>
      <w:r>
        <w:t xml:space="preserve">It may be, however, that additional risk factors not currently measured could further improve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could help reduce performance disparities. Additionally, a broader set of features may enable more personalized and variable risk feedback. At the same time, the increased burden associated with additional survey items must be carefully weighed.</w:t>
      </w:r>
    </w:p>
    <w:p>
      <w:pPr>
        <w:pStyle w:val="BodyText"/>
      </w:pPr>
      <w:r>
        <w:t xml:space="preserve">One way to expand risk features without increasing burden is to supplement self-report data with passive sensing methods. In Study 3, we began to explore the use of geolocation data to predict opioid lapse risk. Although geolocation data collected via our sensing method did not add unique predictive value beyond EMA, these features did emerge as important in the model, thereby expanding the range of risk factors that can be targeted for intervention.</w:t>
      </w:r>
    </w:p>
    <w:p>
      <w:pPr>
        <w:pStyle w:val="BodyText"/>
      </w:pPr>
      <w:r>
        <w:t xml:space="preserve">Our geolocation sensing approach had several limitations that may have reduced its predictive value and attenuated feature importance. First, although geolocation data can, in principle, be collected continuously, in practice these data are difficult to collect reliably. In our study, geolocation features had substantially higher rates of missingness compared to daily surveys. Second, our feature engineering pipeline relied on known locations with self-reported context. While this approach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enriched using publicly available datasets (e.g., alcohol outlet density, area deprivation index, and Narcotics Anonymous meeting times and locations). As geolocation sensing methods become more robust and missingness is reduced, these features may become more powerful for lapse prediction.</w:t>
      </w:r>
    </w:p>
    <w:p>
      <w:pPr>
        <w:pStyle w:val="BodyText"/>
      </w:pPr>
      <w:r>
        <w:rPr>
          <w:i/>
          <w:iCs/>
        </w:rPr>
        <w:t xml:space="preserve">JC: You talk about GPS limitations. I wonder about how well it works for rural participants. Any insights or plans to look at that in the future?</w:t>
      </w:r>
    </w:p>
    <w:p>
      <w:pPr>
        <w:pStyle w:val="BodyText"/>
      </w:pPr>
      <w:r>
        <w:t xml:space="preserve">Other characteristics of our samples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A second limitation is that both clinical samples in these studies were required to have a goal of abstinence. Although we see no inherent reason these models would not also perform well for individuals with a goal of moderation, this remains an empirical question. Future research should evaluate model performance in samples with moderation goals and increase representation of individuals with diverse recovery goals in training data.</w:t>
      </w:r>
    </w:p>
    <w:p>
      <w:pPr>
        <w:pStyle w:val="BodyText"/>
      </w:pPr>
      <w:r>
        <w:rPr>
          <w:i/>
          <w:iCs/>
        </w:rPr>
        <w:t xml:space="preserve">JC: if the focus on goal inconsistent use/lapse in abstinence samples a problem? What about harm reduction in people not wanting to quit? What about outcomes other than just use/lapse (well-being, mental health? quality of life?). Yo mention this briefly when you talk about people with moderation goals but its only a couple of sentences. How would you train models for this group? And what about other outcomes I mentioned?</w:t>
      </w:r>
    </w:p>
    <w:p>
      <w:pPr>
        <w:pStyle w:val="BodyText"/>
      </w:pPr>
      <w:r>
        <w:t xml:space="preserve">While Study 3 achieved greater sample diversity compared to Studies 1–2, future models would benefit from increased representation across race and ethnicity, sexual orientation, and geographic location. 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rPr>
          <w:i/>
          <w:iCs/>
        </w:rPr>
        <w:t xml:space="preserve">JC: Discuss models for people in extended recovery? Can’t do that with RISK1 but did you consider (or will you in the future consider it) using RISK2. Where there time effects either in quality of prediction or important features</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machine learning models</w:t>
      </w:r>
      <w:r>
        <w:t xml:space="preserve"> </w:t>
      </w:r>
      <w:r>
        <w:t xml:space="preserve">(Pulick et al., 2025)</w:t>
      </w:r>
      <w:r>
        <w:t xml:space="preserve">. Although our immediate lapse risk models already perform well, individualized models may improve performance for lagged predictions. Time series approaches could also increase efficiency by enabling a single model to predict lapse risk across multiple time horizons, eliminating the need for separate models for immediate and future risk. Finally, individualized models may help mitigate fairness concerns, as they place greater weight on a person’s own data rather than group-level estimates.</w:t>
      </w:r>
    </w:p>
    <w:bookmarkEnd w:id="197"/>
    <w:bookmarkStart w:id="198" w:name="recovery-monitoring-and-support-system-1"/>
    <w:p>
      <w:pPr>
        <w:pStyle w:val="Heading2"/>
      </w:pPr>
      <w:r>
        <w:t xml:space="preserve">8.5 Recovery Monitoring and Support System</w:t>
      </w:r>
    </w:p>
    <w:p>
      <w:pPr>
        <w:pStyle w:val="FirstParagraph"/>
      </w:pPr>
      <w:r>
        <w:t xml:space="preserve">We believe that lapse prediction models will be most effective when embedded within a broader recovery monitoring and support system capable of delivering adaptive, personalized continuing care. Such a system could send automated daily messages to patients, with feedback about their current lapse risk along with recovery support recommendations tailored to their evolving needs. Collectively, the present studies provide initial support for this goal by demonstrating that both immediate and lagged lapse prediction models can be developed with high accuracy using EMA and geolocation sensing data. Importantly, these studies also show that locally important features driving individual risk predictions can be identified and used to deliver personalized recovery support.</w:t>
      </w:r>
    </w:p>
    <w:p>
      <w:pPr>
        <w:pStyle w:val="BodyText"/>
      </w:pPr>
      <w:r>
        <w:t xml:space="preserve">Immediate lapse prediction models are well-suited to guide individuals to take immediate, actionable steps to maintain their recovery goals and support them to implement these steps. For example, when an individual’s immediate risk is driven by strong craving, the system might recommend an urge-surfing exercise; when risk is driven by recent stressors, a guided relaxation or stress-management activity may be more appropriate; and when self-efficacy is low, reflective exercises focused on past successes or core reasons for choosing abstinence or moderation may be most beneficial.</w:t>
      </w:r>
    </w:p>
    <w:p>
      <w:pPr>
        <w:pStyle w:val="BodyText"/>
      </w:pPr>
      <w:r>
        <w:t xml:space="preserve">In contrast, lagged models provide advanced warning of risk (e.g., days to weeks before the lapse occurs).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 Taken together, immediate and lagged models can be combined in a complementary fashion, enabling both highly accurate real-time detection of imminent lapse risk and advance warning of future lapse risk.</w:t>
      </w:r>
    </w:p>
    <w:p>
      <w:pPr>
        <w:pStyle w:val="BodyText"/>
      </w:pPr>
      <w:r>
        <w:t xml:space="preserve">A challenge for embedding lapse prediction models into a recovery monitoring and support system is determining how to effectively communicate model outputs to individuals. Our models generate quantitative predictions of lapse probability. These probabilities could be converted into categorical classifications (e.g., lapse vs. no lapse) by applying a decision threshold. Although we observed high sensitivity and specificity when thresholds were selected to balance these metrics, the positive predictive value (PPV) of categorical predictions was moderate to low in our full models. As a result, we believe categorical predictions should be communicated to patients with extreme caution, if at all. Instead, we favor the use of quantitative lapse probabilities as continuous risk indicators to guide supportive interventions and monitoring intensity.</w:t>
      </w:r>
    </w:p>
    <w:p>
      <w:pPr>
        <w:pStyle w:val="BodyText"/>
      </w:pPr>
      <w:r>
        <w:t xml:space="preserve">However, raw probability estimates present a different problem. They may be difficult for patients, especially for those with low numeracy, to interpret intuitively (e.g., distinguishing the practical meaning of a 79% versus a 64% lapse probability)</w:t>
      </w:r>
      <w:r>
        <w:t xml:space="preserve"> </w:t>
      </w:r>
      <w:r>
        <w:t xml:space="preserve">(</w:t>
      </w:r>
      <w:r>
        <w:rPr>
          <w:b/>
          <w:bCs/>
        </w:rPr>
        <w:t xml:space="preserve">garcia-retameroCommunicatingHealthRisks2013?</w:t>
      </w:r>
      <w:r>
        <w:t xml:space="preserve">)</w:t>
      </w:r>
      <w:r>
        <w:t xml:space="preserve">. Anchoring risk estimates to an individual’s personal baseline may enhance interpretability. For example, by emphasizing whether risk is higher or lower than in the prior week or relative to their typical pattern. Additionally, combining quantitative scores with coarser qualitative descriptors (e.g., low, moderate, high risk) may further support comprehension without oversimplification.</w:t>
      </w:r>
    </w:p>
    <w:p>
      <w:pPr>
        <w:pStyle w:val="BodyText"/>
      </w:pPr>
      <w:r>
        <w:t xml:space="preserve">Beyond risk probabilities, our models also identify the most influential features contributing to each prediction. These locally important features create opportunities to contextualize risk feedback by highlighting key drivers of vulnerability (e.g., craving, stress, social isolation) and pairing them with domain-informed recovery recommendations. Emerging best practices from interpretable machine learning suggest this information may make the machine learning model less of a</w:t>
      </w:r>
      <w:r>
        <w:t xml:space="preserve"> </w:t>
      </w:r>
      <w:r>
        <w:t xml:space="preserve">“black box”</w:t>
      </w:r>
      <w:r>
        <w:t xml:space="preserve">, which may build trust, or allow individuals to engage more thoughtfully (e.g., questioning false positives, scrutinizing model behavior) and gain insight</w:t>
      </w:r>
      <w:r>
        <w:t xml:space="preserve"> </w:t>
      </w:r>
      <w:r>
        <w:t xml:space="preserve">(</w:t>
      </w:r>
      <w:r>
        <w:rPr>
          <w:b/>
          <w:bCs/>
        </w:rPr>
        <w:t xml:space="preserve">dacruzUsingInterpretabilityApproaches2021?</w:t>
      </w:r>
      <w:r>
        <w:t xml:space="preserve">;</w:t>
      </w:r>
      <w:r>
        <w:t xml:space="preserve"> </w:t>
      </w:r>
      <w:r>
        <w:rPr>
          <w:b/>
          <w:bCs/>
        </w:rPr>
        <w:t xml:space="preserve">shinEffectsExplainabilityCausability2021?</w:t>
      </w:r>
      <w:r>
        <w:t xml:space="preserve">)</w:t>
      </w:r>
      <w:r>
        <w:t xml:space="preserve">.</w:t>
      </w:r>
    </w:p>
    <w:p>
      <w:pPr>
        <w:pStyle w:val="BodyText"/>
      </w:pPr>
      <w:r>
        <w:t xml:space="preserve">Despite these opportunities, there is currently no consensus on how best to present predictive feedback in a manner that maximizes engagement, trust, and clinical utility. Prior research suggests that increasing transparency in machine learning systems, such as by revealing contributing factors, can improve perceived credibility and user acceptance</w:t>
      </w:r>
      <w:r>
        <w:t xml:space="preserve"> </w:t>
      </w:r>
      <w:r>
        <w:t xml:space="preserve">(</w:t>
      </w:r>
      <w:r>
        <w:rPr>
          <w:b/>
          <w:bCs/>
        </w:rPr>
        <w:t xml:space="preserve">kizilcecHowMuchInformation2016?</w:t>
      </w:r>
      <w:r>
        <w:t xml:space="preserve">;</w:t>
      </w:r>
      <w:r>
        <w:t xml:space="preserve"> </w:t>
      </w:r>
      <w:r>
        <w:rPr>
          <w:b/>
          <w:bCs/>
        </w:rPr>
        <w:t xml:space="preserve">kuleszaPrinciplesExplanatoryDebugging2015?</w:t>
      </w:r>
      <w:r>
        <w:t xml:space="preserve">;</w:t>
      </w:r>
      <w:r>
        <w:t xml:space="preserve"> </w:t>
      </w:r>
      <w:r>
        <w:rPr>
          <w:b/>
          <w:bCs/>
        </w:rPr>
        <w:t xml:space="preserve">limWhyWhyNot2009?</w:t>
      </w:r>
      <w:r>
        <w:t xml:space="preserve">)</w:t>
      </w:r>
      <w:r>
        <w:t xml:space="preserve">. In the context of recovery monitoring, selective transparency may also promote self-awareness and learning, potentially yielding additional clinical benefits</w:t>
      </w:r>
      <w:r>
        <w:t xml:space="preserve"> </w:t>
      </w:r>
      <w:r>
        <w:t xml:space="preserve">(</w:t>
      </w:r>
      <w:r>
        <w:rPr>
          <w:b/>
          <w:bCs/>
        </w:rPr>
        <w:t xml:space="preserve">kuleszaPrinciplesExplanatoryDebugging2015?</w:t>
      </w:r>
      <w:r>
        <w:t xml:space="preserve">;</w:t>
      </w:r>
      <w:r>
        <w:t xml:space="preserve"> </w:t>
      </w:r>
      <w:r>
        <w:rPr>
          <w:b/>
          <w:bCs/>
        </w:rPr>
        <w:t xml:space="preserve">kuleszaFixingProgramMy2009?</w:t>
      </w:r>
      <w:r>
        <w:t xml:space="preserve">)</w:t>
      </w:r>
      <w:r>
        <w:t xml:space="preserve">. At the same time, overly detailed or complex explanations may undermine confidence by exposing model uncertainty, revealing occasional errors, or burdening users with unnecessary information</w:t>
      </w:r>
      <w:r>
        <w:t xml:space="preserve"> </w:t>
      </w:r>
      <w:r>
        <w:t xml:space="preserve">(</w:t>
      </w:r>
      <w:r>
        <w:rPr>
          <w:b/>
          <w:bCs/>
        </w:rPr>
        <w:t xml:space="preserve">buntAreExplanationsAlways2012?</w:t>
      </w:r>
      <w:r>
        <w:t xml:space="preserve">;</w:t>
      </w:r>
      <w:r>
        <w:t xml:space="preserve"> </w:t>
      </w:r>
      <w:r>
        <w:rPr>
          <w:b/>
          <w:bCs/>
        </w:rPr>
        <w:t xml:space="preserve">springerProgressiveDisclosureWhen2020?</w:t>
      </w:r>
      <w:r>
        <w:t xml:space="preserve">)</w:t>
      </w:r>
      <w:r>
        <w:t xml:space="preserve">. Thus, determining the optimal balance between transparency and simplicity remains an open empirical question.</w:t>
      </w:r>
    </w:p>
    <w:bookmarkEnd w:id="198"/>
    <w:bookmarkStart w:id="199" w:name="conclusions-1"/>
    <w:p>
      <w:pPr>
        <w:pStyle w:val="Heading2"/>
      </w:pPr>
      <w:r>
        <w:t xml:space="preserve">8.6 Conclusions</w:t>
      </w:r>
    </w:p>
    <w:p>
      <w:pPr>
        <w:pStyle w:val="FirstParagraph"/>
      </w:pPr>
      <w:r>
        <w:t xml:space="preserve">Collectively, these studies demonstrate that it is feasible to (1) collect temporally dense, recovery‑relevant data, (2) predict lapse risk at clinically meaningful time scales with interpretable models, and (3) do so in a way that supports equitable performance across important demographic subgroups. Thus, these studies lay the groundwork for an automated recovery monitoring and support system to enhance continuing care following an intitial SUD treatment episode.</w:t>
      </w:r>
    </w:p>
    <w:p>
      <w:pPr>
        <w:pStyle w:val="BodyText"/>
      </w:pPr>
      <w:r>
        <w:t xml:space="preserve">As immediate next steps, we have begun to address the gap in understanding how to deliver risk‑related feedback within a recovery monitoring and support system. We have recently launched an NIAAA‑funded study focused on optimizing daily support messages delivered by such a system</w:t>
      </w:r>
      <w:r>
        <w:t xml:space="preserve"> </w:t>
      </w:r>
      <w:r>
        <w:t xml:space="preserve">(Wyant et al., 2025)</w:t>
      </w:r>
      <w:r>
        <w:t xml:space="preserve">. This work will explicitly examine which combinations of key message components, including lapse probability, important features, and recovery recommendations, maximize engagement, trust, and clinical outcomes.</w:t>
      </w:r>
    </w:p>
    <w:p>
      <w:pPr>
        <w:pStyle w:val="BodyText"/>
      </w:pPr>
      <w:r>
        <w:t xml:space="preserve">In this grant, messages are generated by feeding model outputs into a large language model to produce daily messages with sufficient variation. In the near future, however, these model outputs may be integrated into a more fully autonomous, agentic support system capable of dynamically delivering personalized recommendations, engaging individuals in interactive problem‑solving, facilitating connections to therapists or peer supports, and initiating triage processes when risk reaches clinically concerning levels.</w:t>
      </w:r>
    </w:p>
    <w:p>
      <w:pPr>
        <w:pStyle w:val="BodyText"/>
      </w:pPr>
      <w:r>
        <w:t xml:space="preserve">Once a model is deployed within a recovery monitoring and support system, continued evaluation of model performance over time will be critical. Lapse prediction models must be routinely reassessed for performance drift and updated using data from target populations to ensure ongoing validity and equity.</w:t>
      </w:r>
    </w:p>
    <w:p>
      <w:pPr>
        <w:pStyle w:val="BodyText"/>
      </w:pPr>
      <w:r>
        <w:t xml:space="preserve">Finally, these systems must be contextualized within the realities of the broader continuum of care for SUDs. Many individuals face significant barriers to accessing timely and consistent substance use treatment. Moving forward, it will be important to continue considering how machine learning and related technologies can help address structural limitations in SUD treatment. For example, models embedded within clinical decision support systems have the potential to extend the reach of clinician‑led care by reducing administrative burden, assisting with patient triage, and even presenting clinicians with proposed treatment plans based on predicted treatment response.</w:t>
      </w:r>
    </w:p>
    <w:bookmarkEnd w:id="199"/>
    <w:bookmarkEnd w:id="200"/>
    <w:bookmarkStart w:id="449" w:name="references"/>
    <w:p>
      <w:pPr>
        <w:pStyle w:val="Heading1"/>
      </w:pPr>
      <w:r>
        <w:t xml:space="preserve">9. References</w:t>
      </w:r>
    </w:p>
    <w:bookmarkStart w:id="448" w:name="refs"/>
    <w:bookmarkStart w:id="202"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201">
        <w:r>
          <w:rPr>
            <w:rStyle w:val="Hyperlink"/>
          </w:rPr>
          <w:t xml:space="preserve">https://doi.org/10.1007/s40429-023-00492-5</w:t>
        </w:r>
      </w:hyperlink>
    </w:p>
    <w:bookmarkEnd w:id="202"/>
    <w:bookmarkStart w:id="203"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203"/>
    <w:bookmarkStart w:id="204"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204"/>
    <w:bookmarkStart w:id="206"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205">
        <w:r>
          <w:rPr>
            <w:rStyle w:val="Hyperlink"/>
          </w:rPr>
          <w:t xml:space="preserve">https://doi.org/10.2196/39862</w:t>
        </w:r>
      </w:hyperlink>
    </w:p>
    <w:bookmarkEnd w:id="206"/>
    <w:bookmarkStart w:id="208"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207">
        <w:r>
          <w:rPr>
            <w:rStyle w:val="Hyperlink"/>
          </w:rPr>
          <w:t xml:space="preserve">https://doi.org/10.1016/j.addbeh.2017.11.039</w:t>
        </w:r>
      </w:hyperlink>
    </w:p>
    <w:bookmarkEnd w:id="208"/>
    <w:bookmarkStart w:id="210"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209">
        <w:r>
          <w:rPr>
            <w:rStyle w:val="Hyperlink"/>
          </w:rPr>
          <w:t xml:space="preserve">https://doi.org/10.1007/s10488-016-0718-5</w:t>
        </w:r>
      </w:hyperlink>
    </w:p>
    <w:bookmarkEnd w:id="210"/>
    <w:bookmarkStart w:id="211" w:name="ref-bleiLatentDirichletAllocation2003"/>
    <w:p>
      <w:pPr>
        <w:pStyle w:val="Bibliography"/>
      </w:pPr>
      <w:r>
        <w:t xml:space="preserve">Blei, D. M., Ng, A. Y., &amp; Jordan, M. I. (2003). Latent dirichlet allocation.</w:t>
      </w:r>
      <w:r>
        <w:t xml:space="preserve"> </w:t>
      </w:r>
      <w:r>
        <w:rPr>
          <w:i/>
          <w:iCs/>
        </w:rPr>
        <w:t xml:space="preserve">J. Mach. Learn. Res.</w:t>
      </w:r>
      <w:r>
        <w:t xml:space="preserve">,</w:t>
      </w:r>
      <w:r>
        <w:t xml:space="preserve"> </w:t>
      </w:r>
      <w:r>
        <w:rPr>
          <w:i/>
          <w:iCs/>
        </w:rPr>
        <w:t xml:space="preserve">3</w:t>
      </w:r>
      <w:r>
        <w:t xml:space="preserve">(null), 993–1022.</w:t>
      </w:r>
    </w:p>
    <w:bookmarkEnd w:id="211"/>
    <w:bookmarkStart w:id="212"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212"/>
    <w:bookmarkStart w:id="214"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213">
        <w:r>
          <w:rPr>
            <w:rStyle w:val="Hyperlink"/>
          </w:rPr>
          <w:t xml:space="preserve">https://doi.org/10.1001/jamapsychiatry.2013.4546</w:t>
        </w:r>
      </w:hyperlink>
    </w:p>
    <w:bookmarkEnd w:id="214"/>
    <w:bookmarkStart w:id="216"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215">
        <w:r>
          <w:rPr>
            <w:rStyle w:val="Hyperlink"/>
          </w:rPr>
          <w:t xml:space="preserve">https://doi.org/10.1146/annurev.clinpsy.3.022806.091455</w:t>
        </w:r>
      </w:hyperlink>
    </w:p>
    <w:bookmarkEnd w:id="216"/>
    <w:bookmarkStart w:id="218"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217">
        <w:r>
          <w:rPr>
            <w:rStyle w:val="Hyperlink"/>
          </w:rPr>
          <w:t xml:space="preserve">https://doi.org/10.1016/j.drugalcdep.2022.109362</w:t>
        </w:r>
      </w:hyperlink>
    </w:p>
    <w:bookmarkEnd w:id="218"/>
    <w:bookmarkStart w:id="220"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219">
        <w:r>
          <w:rPr>
            <w:rStyle w:val="Hyperlink"/>
          </w:rPr>
          <w:t xml:space="preserve">https://doi.org/10.1111/ajad.12784</w:t>
        </w:r>
      </w:hyperlink>
    </w:p>
    <w:bookmarkEnd w:id="220"/>
    <w:bookmarkStart w:id="222"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221">
        <w:r>
          <w:rPr>
            <w:rStyle w:val="Hyperlink"/>
          </w:rPr>
          <w:t xml:space="preserve">https://doi.org/10.1176/appi.ajp.2014.13081055</w:t>
        </w:r>
      </w:hyperlink>
    </w:p>
    <w:bookmarkEnd w:id="222"/>
    <w:bookmarkStart w:id="224"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223">
        <w:r>
          <w:rPr>
            <w:rStyle w:val="Hyperlink"/>
          </w:rPr>
          <w:t xml:space="preserve">https://doi.org/10.21231/GNT1-HW21</w:t>
        </w:r>
      </w:hyperlink>
    </w:p>
    <w:bookmarkEnd w:id="224"/>
    <w:bookmarkStart w:id="225" w:name="X8e0e943878d1a2c3026b4a46f6c482e09849b94"/>
    <w:p>
      <w:pPr>
        <w:pStyle w:val="Bibliography"/>
      </w:pPr>
      <w:r>
        <w:t xml:space="preserve">Center for Substance Abuse Treatment. (2006).</w:t>
      </w:r>
      <w:r>
        <w:t xml:space="preserve"> </w:t>
      </w:r>
      <w:r>
        <w:rPr>
          <w:i/>
          <w:iCs/>
        </w:rPr>
        <w:t xml:space="preserve">Counselor’s</w:t>
      </w:r>
      <w:r>
        <w:rPr>
          <w:i/>
          <w:iCs/>
        </w:rPr>
        <w:t xml:space="preserve"> </w:t>
      </w:r>
      <w:r>
        <w:rPr>
          <w:i/>
          <w:iCs/>
        </w:rPr>
        <w:t xml:space="preserve">Treatment Manual</w:t>
      </w:r>
      <w:r>
        <w:rPr>
          <w:i/>
          <w:iCs/>
        </w:rPr>
        <w:t xml:space="preserve">:</w:t>
      </w:r>
      <w:r>
        <w:rPr>
          <w:i/>
          <w:iCs/>
        </w:rPr>
        <w:t xml:space="preserve"> </w:t>
      </w:r>
      <w:r>
        <w:rPr>
          <w:i/>
          <w:iCs/>
        </w:rPr>
        <w:t xml:space="preserve">Matrix Intensive Outpatient Treatment</w:t>
      </w:r>
      <w:r>
        <w:rPr>
          <w:i/>
          <w:iCs/>
        </w:rPr>
        <w:t xml:space="preserve"> </w:t>
      </w:r>
      <w:r>
        <w:rPr>
          <w:i/>
          <w:iCs/>
        </w:rPr>
        <w:t xml:space="preserve">for</w:t>
      </w:r>
      <w:r>
        <w:rPr>
          <w:i/>
          <w:iCs/>
        </w:rPr>
        <w:t xml:space="preserve"> </w:t>
      </w:r>
      <w:r>
        <w:rPr>
          <w:i/>
          <w:iCs/>
        </w:rPr>
        <w:t xml:space="preserve">People With Stimulant Use Disorders</w:t>
      </w:r>
      <w:r>
        <w:t xml:space="preserve">.</w:t>
      </w:r>
      <w:r>
        <w:t xml:space="preserve"> </w:t>
      </w:r>
      <w:r>
        <w:t xml:space="preserve">Substance Abuse and Mental Health Services Administration</w:t>
      </w:r>
      <w:r>
        <w:t xml:space="preserve">.</w:t>
      </w:r>
    </w:p>
    <w:bookmarkEnd w:id="225"/>
    <w:bookmarkStart w:id="226"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226"/>
    <w:bookmarkStart w:id="228"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227">
        <w:r>
          <w:rPr>
            <w:rStyle w:val="Hyperlink"/>
          </w:rPr>
          <w:t xml:space="preserve">https://doi.org/10.1016/j.jsat.2013.08.004</w:t>
        </w:r>
      </w:hyperlink>
    </w:p>
    <w:bookmarkEnd w:id="228"/>
    <w:bookmarkStart w:id="230"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229">
        <w:r>
          <w:rPr>
            <w:rStyle w:val="Hyperlink"/>
          </w:rPr>
          <w:t xml:space="preserve">https://doi.org/10.1016/j.drugalcdep.2014.10.004</w:t>
        </w:r>
      </w:hyperlink>
    </w:p>
    <w:bookmarkEnd w:id="230"/>
    <w:bookmarkStart w:id="232"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231">
        <w:r>
          <w:rPr>
            <w:rStyle w:val="Hyperlink"/>
          </w:rPr>
          <w:t xml:space="preserve">https://doi.org/10.1136/bmj-2023-078378</w:t>
        </w:r>
      </w:hyperlink>
    </w:p>
    <w:bookmarkEnd w:id="232"/>
    <w:bookmarkStart w:id="234"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233">
        <w:r>
          <w:rPr>
            <w:rStyle w:val="Hyperlink"/>
          </w:rPr>
          <w:t xml:space="preserve">https://doi.org/10.1007/978-3-319-72206-1</w:t>
        </w:r>
      </w:hyperlink>
    </w:p>
    <w:bookmarkEnd w:id="234"/>
    <w:bookmarkStart w:id="236"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235">
        <w:r>
          <w:rPr>
            <w:rStyle w:val="Hyperlink"/>
          </w:rPr>
          <w:t xml:space="preserve">https://doi.org/10.1176/ps.62.11.pss6211_1273</w:t>
        </w:r>
      </w:hyperlink>
    </w:p>
    <w:bookmarkEnd w:id="236"/>
    <w:bookmarkStart w:id="238"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237">
        <w:r>
          <w:rPr>
            <w:rStyle w:val="Hyperlink"/>
          </w:rPr>
          <w:t xml:space="preserve">https://doi.org/10.1093/oxfordhb/9780190067991.013.9</w:t>
        </w:r>
      </w:hyperlink>
    </w:p>
    <w:bookmarkEnd w:id="238"/>
    <w:bookmarkStart w:id="240" w:name="Xb70ed90433964dc3a7ede0ee8357d97241623cc"/>
    <w:p>
      <w:pPr>
        <w:pStyle w:val="Bibliography"/>
      </w:pPr>
      <w:r>
        <w:t xml:space="preserve">David, S. J., Marshall, A. J., Evanovich, E. K., &amp; Mumma, G. H. (2018).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w:t>
      </w:r>
      <w:r>
        <w:t xml:space="preserve"> </w:t>
      </w:r>
      <w:r>
        <w:rPr>
          <w:i/>
          <w:iCs/>
        </w:rPr>
        <w:t xml:space="preserve">Journal of Psychopathology and Behavioral Assessment</w:t>
      </w:r>
      <w:r>
        <w:t xml:space="preserve">,</w:t>
      </w:r>
      <w:r>
        <w:t xml:space="preserve"> </w:t>
      </w:r>
      <w:r>
        <w:rPr>
          <w:i/>
          <w:iCs/>
        </w:rPr>
        <w:t xml:space="preserve">40</w:t>
      </w:r>
      <w:r>
        <w:t xml:space="preserve">(2), 235–248.</w:t>
      </w:r>
      <w:r>
        <w:t xml:space="preserve"> </w:t>
      </w:r>
      <w:hyperlink r:id="rId239">
        <w:r>
          <w:rPr>
            <w:rStyle w:val="Hyperlink"/>
          </w:rPr>
          <w:t xml:space="preserve">https://doi.org/10.1007/s10862-017-9632-8</w:t>
        </w:r>
      </w:hyperlink>
    </w:p>
    <w:bookmarkEnd w:id="240"/>
    <w:bookmarkStart w:id="242" w:name="ref-dennisManagingAddictionChronic2007"/>
    <w:p>
      <w:pPr>
        <w:pStyle w:val="Bibliography"/>
      </w:pPr>
      <w:r>
        <w:t xml:space="preserve">Dennis, M., &amp; Scott, C. K. (2007).</w:t>
      </w:r>
      <w:r>
        <w:t xml:space="preserve"> </w:t>
      </w:r>
      <w:hyperlink r:id="rId241">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42"/>
    <w:bookmarkStart w:id="243"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43"/>
    <w:bookmarkStart w:id="245"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44">
        <w:r>
          <w:rPr>
            <w:rStyle w:val="Hyperlink"/>
          </w:rPr>
          <w:t xml:space="preserve">https://doi.org/10.1016/j.brat.2019.103506</w:t>
        </w:r>
      </w:hyperlink>
    </w:p>
    <w:bookmarkEnd w:id="245"/>
    <w:bookmarkStart w:id="247" w:name="ref-devlinBERTPretrainingDeep2019"/>
    <w:p>
      <w:pPr>
        <w:pStyle w:val="Bibliography"/>
      </w:pPr>
      <w:r>
        <w:t xml:space="preserve">Devlin, J., Chang, M.-W., Lee, K., &amp; Toutanova, K. (2019).</w:t>
      </w:r>
      <w:r>
        <w:t xml:space="preserve"> </w:t>
      </w:r>
      <w:r>
        <w:rPr>
          <w:i/>
          <w:iCs/>
        </w:rPr>
        <w:t xml:space="preserve">BERT</w:t>
      </w:r>
      <w:r>
        <w:rPr>
          <w:i/>
          <w:iCs/>
        </w:rPr>
        <w:t xml:space="preserve">:</w:t>
      </w:r>
      <w:r>
        <w:rPr>
          <w:i/>
          <w:iCs/>
        </w:rPr>
        <w:t xml:space="preserve"> </w:t>
      </w:r>
      <w:r>
        <w:rPr>
          <w:i/>
          <w:iCs/>
        </w:rPr>
        <w:t xml:space="preserve">Pre-training</w:t>
      </w:r>
      <w:r>
        <w:rPr>
          <w:i/>
          <w:iCs/>
        </w:rPr>
        <w:t xml:space="preserve"> </w:t>
      </w:r>
      <w:r>
        <w:rPr>
          <w:i/>
          <w:iCs/>
        </w:rPr>
        <w:t xml:space="preserve">of</w:t>
      </w:r>
      <w:r>
        <w:rPr>
          <w:i/>
          <w:iCs/>
        </w:rPr>
        <w:t xml:space="preserve"> </w:t>
      </w:r>
      <w:r>
        <w:rPr>
          <w:i/>
          <w:iCs/>
        </w:rPr>
        <w:t xml:space="preserve">Deep Bidirectional Transformers</w:t>
      </w:r>
      <w:r>
        <w:rPr>
          <w:i/>
          <w:iCs/>
        </w:rPr>
        <w:t xml:space="preserve"> </w:t>
      </w:r>
      <w:r>
        <w:rPr>
          <w:i/>
          <w:iCs/>
        </w:rPr>
        <w:t xml:space="preserve">for</w:t>
      </w:r>
      <w:r>
        <w:rPr>
          <w:i/>
          <w:iCs/>
        </w:rPr>
        <w:t xml:space="preserve"> </w:t>
      </w:r>
      <w:r>
        <w:rPr>
          <w:i/>
          <w:iCs/>
        </w:rPr>
        <w:t xml:space="preserve">Language Understanding</w:t>
      </w:r>
      <w:r>
        <w:t xml:space="preserve"> </w:t>
      </w:r>
      <w:r>
        <w:t xml:space="preserve">(arXiv:1810.04805). arXiv.</w:t>
      </w:r>
      <w:r>
        <w:t xml:space="preserve"> </w:t>
      </w:r>
      <w:hyperlink r:id="rId246">
        <w:r>
          <w:rPr>
            <w:rStyle w:val="Hyperlink"/>
          </w:rPr>
          <w:t xml:space="preserve">https://doi.org/10.48550/arXiv.1810.04805</w:t>
        </w:r>
      </w:hyperlink>
    </w:p>
    <w:bookmarkEnd w:id="247"/>
    <w:bookmarkStart w:id="249"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48">
        <w:r>
          <w:rPr>
            <w:rStyle w:val="Hyperlink"/>
          </w:rPr>
          <w:t xml:space="preserve">https://doi.org/10.1037/adb0000292</w:t>
        </w:r>
      </w:hyperlink>
    </w:p>
    <w:bookmarkEnd w:id="249"/>
    <w:bookmarkStart w:id="251"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50">
        <w:r>
          <w:rPr>
            <w:rStyle w:val="Hyperlink"/>
          </w:rPr>
          <w:t xml:space="preserve">https://doi.org/10.1016/j.cmpb.2016.09.016</w:t>
        </w:r>
      </w:hyperlink>
    </w:p>
    <w:bookmarkEnd w:id="251"/>
    <w:bookmarkStart w:id="253"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52">
        <w:r>
          <w:rPr>
            <w:rStyle w:val="Hyperlink"/>
          </w:rPr>
          <w:t xml:space="preserve">https://doi.org/10.1037/a0037157</w:t>
        </w:r>
      </w:hyperlink>
    </w:p>
    <w:bookmarkEnd w:id="253"/>
    <w:bookmarkStart w:id="255"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54">
        <w:r>
          <w:rPr>
            <w:rStyle w:val="Hyperlink"/>
          </w:rPr>
          <w:t xml:space="preserve">https://doi.org/10.1037/pha0000210</w:t>
        </w:r>
      </w:hyperlink>
    </w:p>
    <w:bookmarkEnd w:id="255"/>
    <w:bookmarkStart w:id="257"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56">
        <w:r>
          <w:rPr>
            <w:rStyle w:val="Hyperlink"/>
          </w:rPr>
          <w:t xml:space="preserve">https://doi.org/10.1037/abn0000819</w:t>
        </w:r>
      </w:hyperlink>
    </w:p>
    <w:bookmarkEnd w:id="257"/>
    <w:bookmarkStart w:id="258"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258"/>
    <w:bookmarkStart w:id="260"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59">
        <w:r>
          <w:rPr>
            <w:rStyle w:val="Hyperlink"/>
          </w:rPr>
          <w:t xml:space="preserve">https://doi.org/10/ghqvcw</w:t>
        </w:r>
      </w:hyperlink>
    </w:p>
    <w:bookmarkEnd w:id="260"/>
    <w:bookmarkStart w:id="262" w:name="ref-fagerlinMakingNumbersMatter2007"/>
    <w:p>
      <w:pPr>
        <w:pStyle w:val="Bibliography"/>
      </w:pPr>
      <w:r>
        <w:t xml:space="preserve">Fagerlin, A., Ubel, P. A., Smith, D. M., &amp; Zikmund-Fisher, B. J. (2007). Making numbers matter: Present and future research in risk communication.</w:t>
      </w:r>
      <w:r>
        <w:t xml:space="preserve"> </w:t>
      </w:r>
      <w:r>
        <w:rPr>
          <w:i/>
          <w:iCs/>
        </w:rPr>
        <w:t xml:space="preserve">American Journal of Health Behavior</w:t>
      </w:r>
      <w:r>
        <w:t xml:space="preserve">,</w:t>
      </w:r>
      <w:r>
        <w:t xml:space="preserve"> </w:t>
      </w:r>
      <w:r>
        <w:rPr>
          <w:i/>
          <w:iCs/>
        </w:rPr>
        <w:t xml:space="preserve">31 Suppl 1</w:t>
      </w:r>
      <w:r>
        <w:t xml:space="preserve">, S47–56.</w:t>
      </w:r>
      <w:r>
        <w:t xml:space="preserve"> </w:t>
      </w:r>
      <w:hyperlink r:id="rId261">
        <w:r>
          <w:rPr>
            <w:rStyle w:val="Hyperlink"/>
          </w:rPr>
          <w:t xml:space="preserve">https://doi.org/10.5555/ajhb.2007.31.supp.S47</w:t>
        </w:r>
      </w:hyperlink>
    </w:p>
    <w:bookmarkEnd w:id="262"/>
    <w:bookmarkStart w:id="264" w:name="ref-fisherDynamicModelPsychological2015"/>
    <w:p>
      <w:pPr>
        <w:pStyle w:val="Bibliography"/>
      </w:pPr>
      <w:r>
        <w:t xml:space="preserve">Fisher, A. J. (2015). Toward a dynamic model of psychological assessment:</w:t>
      </w:r>
      <w:r>
        <w:t xml:space="preserve"> </w:t>
      </w:r>
      <w:r>
        <w:t xml:space="preserve">Implications</w:t>
      </w:r>
      <w:r>
        <w:t xml:space="preserve"> </w:t>
      </w:r>
      <w:r>
        <w:t xml:space="preserve">for personalized care.</w:t>
      </w:r>
      <w:r>
        <w:t xml:space="preserve"> </w:t>
      </w:r>
      <w:r>
        <w:rPr>
          <w:i/>
          <w:iCs/>
        </w:rPr>
        <w:t xml:space="preserve">Journal of Consulting and Clinical Psychology</w:t>
      </w:r>
      <w:r>
        <w:t xml:space="preserve">,</w:t>
      </w:r>
      <w:r>
        <w:t xml:space="preserve"> </w:t>
      </w:r>
      <w:r>
        <w:rPr>
          <w:i/>
          <w:iCs/>
        </w:rPr>
        <w:t xml:space="preserve">83</w:t>
      </w:r>
      <w:r>
        <w:t xml:space="preserve">(4), 825–836.</w:t>
      </w:r>
      <w:r>
        <w:t xml:space="preserve"> </w:t>
      </w:r>
      <w:hyperlink r:id="rId263">
        <w:r>
          <w:rPr>
            <w:rStyle w:val="Hyperlink"/>
          </w:rPr>
          <w:t xml:space="preserve">https://doi.org/10.1037/ccp0000026</w:t>
        </w:r>
      </w:hyperlink>
    </w:p>
    <w:bookmarkEnd w:id="264"/>
    <w:bookmarkStart w:id="266"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65">
        <w:r>
          <w:rPr>
            <w:rStyle w:val="Hyperlink"/>
          </w:rPr>
          <w:t xml:space="preserve">https://doi.org/10.1016/j.brat.2019.01.010</w:t>
        </w:r>
      </w:hyperlink>
    </w:p>
    <w:bookmarkEnd w:id="266"/>
    <w:bookmarkStart w:id="268"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67">
        <w:r>
          <w:rPr>
            <w:rStyle w:val="Hyperlink"/>
          </w:rPr>
          <w:t xml:space="preserve">https://doi.org/10.1016/j.drugalcdep.2020.108350</w:t>
        </w:r>
      </w:hyperlink>
    </w:p>
    <w:bookmarkEnd w:id="268"/>
    <w:bookmarkStart w:id="270"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69">
        <w:r>
          <w:rPr>
            <w:rStyle w:val="Hyperlink"/>
          </w:rPr>
          <w:t xml:space="preserve">https://doi.org/10.1080/10826084.2021.1899225</w:t>
        </w:r>
      </w:hyperlink>
    </w:p>
    <w:bookmarkEnd w:id="270"/>
    <w:bookmarkStart w:id="272"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71">
        <w:r>
          <w:rPr>
            <w:rStyle w:val="Hyperlink"/>
          </w:rPr>
          <w:t xml:space="preserve">https://doi.org/10.1001/jama.2022.2847</w:t>
        </w:r>
      </w:hyperlink>
    </w:p>
    <w:bookmarkEnd w:id="272"/>
    <w:bookmarkStart w:id="274"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73">
        <w:r>
          <w:rPr>
            <w:rStyle w:val="Hyperlink"/>
          </w:rPr>
          <w:t xml:space="preserve">https://doi.org/10.1146/annurev-clinpsy-102419-125016</w:t>
        </w:r>
      </w:hyperlink>
    </w:p>
    <w:bookmarkEnd w:id="274"/>
    <w:bookmarkStart w:id="275"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75"/>
    <w:bookmarkStart w:id="276"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76"/>
    <w:bookmarkStart w:id="278"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77">
        <w:r>
          <w:rPr>
            <w:rStyle w:val="Hyperlink"/>
          </w:rPr>
          <w:t xml:space="preserve">https://doi.org/10.1001/jamapsychiatry.2015.0584</w:t>
        </w:r>
      </w:hyperlink>
    </w:p>
    <w:bookmarkEnd w:id="278"/>
    <w:bookmarkStart w:id="280"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79">
        <w:r>
          <w:rPr>
            <w:rStyle w:val="Hyperlink"/>
          </w:rPr>
          <w:t xml:space="preserve">https://doi.org/10.1016/j.drugalcdep.2006.05.012</w:t>
        </w:r>
      </w:hyperlink>
    </w:p>
    <w:bookmarkEnd w:id="280"/>
    <w:bookmarkStart w:id="282"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81">
        <w:r>
          <w:rPr>
            <w:rStyle w:val="Hyperlink"/>
          </w:rPr>
          <w:t xml:space="preserve">https://doi.org/10.1016/j.drugalcdep.2013.07.027</w:t>
        </w:r>
      </w:hyperlink>
    </w:p>
    <w:bookmarkEnd w:id="282"/>
    <w:bookmarkStart w:id="284"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83">
        <w:r>
          <w:rPr>
            <w:rStyle w:val="Hyperlink"/>
          </w:rPr>
          <w:t xml:space="preserve">https://doi.org/10.1001/jamapsychiatry.2013.4642</w:t>
        </w:r>
      </w:hyperlink>
    </w:p>
    <w:bookmarkEnd w:id="284"/>
    <w:bookmarkStart w:id="286"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85">
        <w:r>
          <w:rPr>
            <w:rStyle w:val="Hyperlink"/>
          </w:rPr>
          <w:t xml:space="preserve">https://doi.org/10.1176/appi.ajp.21090963</w:t>
        </w:r>
      </w:hyperlink>
    </w:p>
    <w:bookmarkEnd w:id="286"/>
    <w:bookmarkStart w:id="287"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87"/>
    <w:bookmarkStart w:id="289"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88">
        <w:r>
          <w:rPr>
            <w:rStyle w:val="Hyperlink"/>
          </w:rPr>
          <w:t xml:space="preserve">https://doi.org/10.2196/mental.9777</w:t>
        </w:r>
      </w:hyperlink>
    </w:p>
    <w:bookmarkEnd w:id="289"/>
    <w:bookmarkStart w:id="290"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290"/>
    <w:bookmarkStart w:id="291"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291"/>
    <w:bookmarkStart w:id="293"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292">
        <w:r>
          <w:rPr>
            <w:rStyle w:val="Hyperlink"/>
          </w:rPr>
          <w:t xml:space="preserve">https://doi.org/10.1016/j.josat.2025.209685</w:t>
        </w:r>
      </w:hyperlink>
    </w:p>
    <w:bookmarkEnd w:id="293"/>
    <w:bookmarkStart w:id="295"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294">
        <w:r>
          <w:rPr>
            <w:rStyle w:val="Hyperlink"/>
          </w:rPr>
          <w:t xml:space="preserve">https://doi.org/10.1097/ADM.0000000000000312</w:t>
        </w:r>
      </w:hyperlink>
    </w:p>
    <w:bookmarkEnd w:id="295"/>
    <w:bookmarkStart w:id="296"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296"/>
    <w:bookmarkStart w:id="298" w:name="ref-huangActivityIdentificationGPS2010"/>
    <w:p>
      <w:pPr>
        <w:pStyle w:val="Bibliography"/>
      </w:pPr>
      <w:r>
        <w:t xml:space="preserve">Huang, L., Li, Q., &amp; Yue, Y. (2010).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w:t>
      </w:r>
      <w:r>
        <w:t xml:space="preserve"> </w:t>
      </w:r>
      <w:r>
        <w:rPr>
          <w:i/>
          <w:iCs/>
        </w:rPr>
        <w:t xml:space="preserve">Proceedings of the 2nd</w:t>
      </w:r>
      <w:r>
        <w:rPr>
          <w:i/>
          <w:iCs/>
        </w:rPr>
        <w:t xml:space="preserve"> </w:t>
      </w:r>
      <w:r>
        <w:rPr>
          <w:i/>
          <w:iCs/>
        </w:rPr>
        <w:t xml:space="preserve">ACM SIGSPATIAL 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’10</w:t>
      </w:r>
      <w:r>
        <w:t xml:space="preserve">, 27–30.</w:t>
      </w:r>
      <w:r>
        <w:t xml:space="preserve"> </w:t>
      </w:r>
      <w:hyperlink r:id="rId297">
        <w:r>
          <w:rPr>
            <w:rStyle w:val="Hyperlink"/>
          </w:rPr>
          <w:t xml:space="preserve">https://doi.org/10.1145/1867699.1867704</w:t>
        </w:r>
      </w:hyperlink>
    </w:p>
    <w:bookmarkEnd w:id="298"/>
    <w:bookmarkStart w:id="299"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299"/>
    <w:bookmarkStart w:id="300"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300"/>
    <w:bookmarkStart w:id="302"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301">
        <w:r>
          <w:rPr>
            <w:rStyle w:val="Hyperlink"/>
          </w:rPr>
          <w:t xml:space="preserve">https://doi.org/10.1023/A:1008987426876</w:t>
        </w:r>
      </w:hyperlink>
    </w:p>
    <w:bookmarkEnd w:id="302"/>
    <w:bookmarkStart w:id="304"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303">
        <w:r>
          <w:rPr>
            <w:rStyle w:val="Hyperlink"/>
          </w:rPr>
          <w:t xml:space="preserve">https://doi.org/10/gfsjzg</w:t>
        </w:r>
      </w:hyperlink>
    </w:p>
    <w:bookmarkEnd w:id="304"/>
    <w:bookmarkStart w:id="305"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305"/>
    <w:bookmarkStart w:id="307"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306">
        <w:r>
          <w:rPr>
            <w:rStyle w:val="Hyperlink"/>
          </w:rPr>
          <w:t xml:space="preserve">https://doi.org/10.1016/j.drugalcdep.2016.10.038</w:t>
        </w:r>
      </w:hyperlink>
    </w:p>
    <w:bookmarkEnd w:id="307"/>
    <w:bookmarkStart w:id="309"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308">
        <w:r>
          <w:rPr>
            <w:rStyle w:val="Hyperlink"/>
          </w:rPr>
          <w:t xml:space="preserve">https://doi.org/10.1001/jamanetworkopen.2020.5852</w:t>
        </w:r>
      </w:hyperlink>
    </w:p>
    <w:bookmarkEnd w:id="309"/>
    <w:bookmarkStart w:id="311"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310">
        <w:r>
          <w:rPr>
            <w:rStyle w:val="Hyperlink"/>
          </w:rPr>
          <w:t xml:space="preserve">https://doi.org/10.1007/s11920-012-0296-5</w:t>
        </w:r>
      </w:hyperlink>
    </w:p>
    <w:bookmarkEnd w:id="311"/>
    <w:bookmarkStart w:id="313"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312">
        <w:r>
          <w:rPr>
            <w:rStyle w:val="Hyperlink"/>
          </w:rPr>
          <w:t xml:space="preserve">https://doi.org/10.1016/j.amepre.2019.08.034</w:t>
        </w:r>
      </w:hyperlink>
    </w:p>
    <w:bookmarkEnd w:id="313"/>
    <w:bookmarkStart w:id="315"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314">
        <w:r>
          <w:rPr>
            <w:rStyle w:val="Hyperlink"/>
          </w:rPr>
          <w:t xml:space="preserve">https://doi.org/10.1016/j.cger.2014.04.008</w:t>
        </w:r>
      </w:hyperlink>
    </w:p>
    <w:bookmarkEnd w:id="315"/>
    <w:bookmarkStart w:id="316"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316"/>
    <w:bookmarkStart w:id="318"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317">
        <w:r>
          <w:rPr>
            <w:rStyle w:val="Hyperlink"/>
          </w:rPr>
          <w:t xml:space="preserve">https://doi.org/10.1007/978-1-4614-6849-3</w:t>
        </w:r>
      </w:hyperlink>
    </w:p>
    <w:bookmarkEnd w:id="318"/>
    <w:bookmarkStart w:id="319"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319"/>
    <w:bookmarkStart w:id="321"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320">
        <w:r>
          <w:rPr>
            <w:rStyle w:val="Hyperlink"/>
          </w:rPr>
          <w:t xml:space="preserve">https://doi.org/10.1214/17-EJS1338SI</w:t>
        </w:r>
      </w:hyperlink>
    </w:p>
    <w:bookmarkEnd w:id="321"/>
    <w:bookmarkStart w:id="323" w:name="ref-leeUrbanRuralDisparities2023"/>
    <w:p>
      <w:pPr>
        <w:pStyle w:val="Bibliography"/>
      </w:pPr>
      <w:r>
        <w:t xml:space="preserve">Lee, J. H., Wheeler, D. C., Zimmerman, E. B., Hines, A. L., &amp; Chapman, D. A. (2023).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w:t>
      </w:r>
      <w:r>
        <w:t xml:space="preserve"> </w:t>
      </w:r>
      <w:r>
        <w:rPr>
          <w:i/>
          <w:iCs/>
        </w:rPr>
        <w:t xml:space="preserve">American Journal of Preventive Medicine</w:t>
      </w:r>
      <w:r>
        <w:t xml:space="preserve">,</w:t>
      </w:r>
      <w:r>
        <w:t xml:space="preserve"> </w:t>
      </w:r>
      <w:r>
        <w:rPr>
          <w:i/>
          <w:iCs/>
        </w:rPr>
        <w:t xml:space="preserve">64</w:t>
      </w:r>
      <w:r>
        <w:t xml:space="preserve">(2), 149–156.</w:t>
      </w:r>
      <w:r>
        <w:t xml:space="preserve"> </w:t>
      </w:r>
      <w:hyperlink r:id="rId322">
        <w:r>
          <w:rPr>
            <w:rStyle w:val="Hyperlink"/>
          </w:rPr>
          <w:t xml:space="preserve">https://doi.org/10.1016/j.amepre.2022.08.022</w:t>
        </w:r>
      </w:hyperlink>
    </w:p>
    <w:bookmarkEnd w:id="323"/>
    <w:bookmarkStart w:id="324"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324"/>
    <w:bookmarkStart w:id="326"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325">
        <w:r>
          <w:rPr>
            <w:rStyle w:val="Hyperlink"/>
          </w:rPr>
          <w:t xml:space="preserve">https://doi.org/10.1080/00952990.2019.1694536</w:t>
        </w:r>
      </w:hyperlink>
    </w:p>
    <w:bookmarkEnd w:id="326"/>
    <w:bookmarkStart w:id="328"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327">
        <w:r>
          <w:rPr>
            <w:rStyle w:val="Hyperlink"/>
          </w:rPr>
          <w:t xml:space="preserve">https://doi.org/10.1111/jrh.70076</w:t>
        </w:r>
      </w:hyperlink>
    </w:p>
    <w:bookmarkEnd w:id="328"/>
    <w:bookmarkStart w:id="329"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329"/>
    <w:bookmarkStart w:id="331"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330">
        <w:r>
          <w:rPr>
            <w:rStyle w:val="Hyperlink"/>
          </w:rPr>
          <w:t xml:space="preserve">https://doi.org/10.1038/s41380-018-0094-5</w:t>
        </w:r>
      </w:hyperlink>
    </w:p>
    <w:bookmarkEnd w:id="331"/>
    <w:bookmarkStart w:id="333"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332">
        <w:r>
          <w:rPr>
            <w:rStyle w:val="Hyperlink"/>
          </w:rPr>
          <w:t xml:space="preserve">https://doi.org/10.1097/JTO.0b013e3181ec173d</w:t>
        </w:r>
      </w:hyperlink>
    </w:p>
    <w:bookmarkEnd w:id="333"/>
    <w:bookmarkStart w:id="334"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334"/>
    <w:bookmarkStart w:id="335"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335"/>
    <w:bookmarkStart w:id="337"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336">
        <w:r>
          <w:rPr>
            <w:rStyle w:val="Hyperlink"/>
          </w:rPr>
          <w:t xml:space="preserve">https://doi.org/10.1177/00333549211041554</w:t>
        </w:r>
      </w:hyperlink>
    </w:p>
    <w:bookmarkEnd w:id="337"/>
    <w:bookmarkStart w:id="338"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338"/>
    <w:bookmarkStart w:id="340" w:name="X1e16a8cc741ec7d68b9bde12ee2c181d9d36a93"/>
    <w:p>
      <w:pPr>
        <w:pStyle w:val="Bibliography"/>
      </w:pPr>
      <w:r>
        <w:t xml:space="preserve">McHugh, R. K., Hearon, B. A., &amp; Otto, M. W. (2010). Cognitive-</w:t>
      </w:r>
      <w:r>
        <w:t xml:space="preserve">Behavioral Therapy</w:t>
      </w:r>
      <w:r>
        <w:t xml:space="preserve"> </w:t>
      </w:r>
      <w:r>
        <w:t xml:space="preserve">for</w:t>
      </w:r>
      <w:r>
        <w:t xml:space="preserve"> </w:t>
      </w:r>
      <w:r>
        <w:t xml:space="preserve">Substance Use Disorders</w:t>
      </w:r>
      <w:r>
        <w:t xml:space="preserve">.</w:t>
      </w:r>
      <w:r>
        <w:t xml:space="preserve"> </w:t>
      </w:r>
      <w:r>
        <w:rPr>
          <w:i/>
          <w:iCs/>
        </w:rPr>
        <w:t xml:space="preserve">The Psychiatric Clinics of North America</w:t>
      </w:r>
      <w:r>
        <w:t xml:space="preserve">,</w:t>
      </w:r>
      <w:r>
        <w:t xml:space="preserve"> </w:t>
      </w:r>
      <w:r>
        <w:rPr>
          <w:i/>
          <w:iCs/>
        </w:rPr>
        <w:t xml:space="preserve">33</w:t>
      </w:r>
      <w:r>
        <w:t xml:space="preserve">(3), 511–525.</w:t>
      </w:r>
      <w:r>
        <w:t xml:space="preserve"> </w:t>
      </w:r>
      <w:hyperlink r:id="rId339">
        <w:r>
          <w:rPr>
            <w:rStyle w:val="Hyperlink"/>
          </w:rPr>
          <w:t xml:space="preserve">https://doi.org/10.1016/j.psc.2010.04.012</w:t>
        </w:r>
      </w:hyperlink>
    </w:p>
    <w:bookmarkEnd w:id="340"/>
    <w:bookmarkStart w:id="342"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341">
        <w:r>
          <w:rPr>
            <w:rStyle w:val="Hyperlink"/>
          </w:rPr>
          <w:t xml:space="preserve">https://doi.org/10.1016/j.cpr.2017.10.012</w:t>
        </w:r>
      </w:hyperlink>
    </w:p>
    <w:bookmarkEnd w:id="342"/>
    <w:bookmarkStart w:id="344"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343">
        <w:r>
          <w:rPr>
            <w:rStyle w:val="Hyperlink"/>
          </w:rPr>
          <w:t xml:space="preserve">https://doi.org/10.35946/arcr.v41.1.01</w:t>
        </w:r>
      </w:hyperlink>
    </w:p>
    <w:bookmarkEnd w:id="344"/>
    <w:bookmarkStart w:id="346"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345">
        <w:r>
          <w:rPr>
            <w:rStyle w:val="Hyperlink"/>
          </w:rPr>
          <w:t xml:space="preserve">https://doi.org/10.1001/jama.284.13.1689</w:t>
        </w:r>
      </w:hyperlink>
    </w:p>
    <w:bookmarkEnd w:id="346"/>
    <w:bookmarkStart w:id="348"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347">
        <w:r>
          <w:rPr>
            <w:rStyle w:val="Hyperlink"/>
          </w:rPr>
          <w:t xml:space="preserve">https://doi.org/10.1016/j.drugalcdep.2021.108706</w:t>
        </w:r>
      </w:hyperlink>
    </w:p>
    <w:bookmarkEnd w:id="348"/>
    <w:bookmarkStart w:id="350"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349">
        <w:r>
          <w:rPr>
            <w:rStyle w:val="Hyperlink"/>
          </w:rPr>
          <w:t xml:space="preserve">https://doi.org/10.1146/annurev-clinpsy-032816-044949</w:t>
        </w:r>
      </w:hyperlink>
    </w:p>
    <w:bookmarkEnd w:id="350"/>
    <w:bookmarkStart w:id="351"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351"/>
    <w:bookmarkStart w:id="353"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352">
        <w:r>
          <w:rPr>
            <w:rStyle w:val="Hyperlink"/>
          </w:rPr>
          <w:t xml:space="preserve">https://doi.org/10.2196/29563</w:t>
        </w:r>
      </w:hyperlink>
    </w:p>
    <w:bookmarkEnd w:id="353"/>
    <w:bookmarkStart w:id="355" w:name="X8bb79cdd23e0a8d99e4f9b0c203aaa22c56a953"/>
    <w:p>
      <w:pPr>
        <w:pStyle w:val="Bibliography"/>
      </w:pPr>
      <w:r>
        <w:t xml:space="preserve">Office of the Surgeon General (US), Center for Mental Health Services (US), &amp; National Institute of Mental Health (US). (2001).</w:t>
      </w:r>
      <w:r>
        <w:t xml:space="preserve"> </w:t>
      </w:r>
      <w:hyperlink r:id="rId354">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355"/>
    <w:bookmarkStart w:id="357"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356">
        <w:r>
          <w:rPr>
            <w:rStyle w:val="Hyperlink"/>
          </w:rPr>
          <w:t xml:space="preserve">https://doi.org/10.1016/j.jsat.2021.108710</w:t>
        </w:r>
      </w:hyperlink>
    </w:p>
    <w:bookmarkEnd w:id="357"/>
    <w:bookmarkStart w:id="359"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358">
        <w:r>
          <w:rPr>
            <w:rStyle w:val="Hyperlink"/>
          </w:rPr>
          <w:t xml:space="preserve">https://doi.org/10.1037/tps0000250</w:t>
        </w:r>
      </w:hyperlink>
    </w:p>
    <w:bookmarkEnd w:id="359"/>
    <w:bookmarkStart w:id="360"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360"/>
    <w:bookmarkStart w:id="362"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361">
        <w:r>
          <w:rPr>
            <w:rStyle w:val="Hyperlink"/>
          </w:rPr>
          <w:t xml:space="preserve">https://doi.org/10.1016/j.drugalcdep.2019.05.017</w:t>
        </w:r>
      </w:hyperlink>
    </w:p>
    <w:bookmarkEnd w:id="362"/>
    <w:bookmarkStart w:id="363"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363"/>
    <w:bookmarkStart w:id="365"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364">
        <w:r>
          <w:rPr>
            <w:rStyle w:val="Hyperlink"/>
          </w:rPr>
          <w:t xml:space="preserve">https://doi.org/10.1037/0003-066X.47.9.1102</w:t>
        </w:r>
      </w:hyperlink>
    </w:p>
    <w:bookmarkEnd w:id="365"/>
    <w:bookmarkStart w:id="367"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366">
        <w:r>
          <w:rPr>
            <w:rStyle w:val="Hyperlink"/>
          </w:rPr>
          <w:t xml:space="preserve">https://doi.org/10.2196/73265</w:t>
        </w:r>
      </w:hyperlink>
    </w:p>
    <w:bookmarkEnd w:id="367"/>
    <w:bookmarkStart w:id="369" w:name="Xa1b8899d52f2070e9a46165cf23fe2013b5e4a3"/>
    <w:p>
      <w:pPr>
        <w:pStyle w:val="Bibliography"/>
      </w:pPr>
      <w:r>
        <w:t xml:space="preserve">Rawson, R. A., Shoptaw, S. J., Obert, J. L., McCann, M. J., Hasson, A. L., Marinelli-Casey, P. J., Brethen, P. R., &amp; Ling, W. (1995). An intensive outpatient approach for cocaine abuse treatment.</w:t>
      </w:r>
      <w:r>
        <w:t xml:space="preserve"> </w:t>
      </w:r>
      <w:r>
        <w:t xml:space="preserve">The Matrix</w:t>
      </w:r>
      <w:r>
        <w:t xml:space="preserve"> </w:t>
      </w:r>
      <w:r>
        <w:t xml:space="preserve">model.</w:t>
      </w:r>
      <w:r>
        <w:t xml:space="preserve"> </w:t>
      </w:r>
      <w:r>
        <w:rPr>
          <w:i/>
          <w:iCs/>
        </w:rPr>
        <w:t xml:space="preserve">Journal of Substance Abuse Treatment</w:t>
      </w:r>
      <w:r>
        <w:t xml:space="preserve">,</w:t>
      </w:r>
      <w:r>
        <w:t xml:space="preserve"> </w:t>
      </w:r>
      <w:r>
        <w:rPr>
          <w:i/>
          <w:iCs/>
        </w:rPr>
        <w:t xml:space="preserve">12</w:t>
      </w:r>
      <w:r>
        <w:t xml:space="preserve">(2), 117–127.</w:t>
      </w:r>
      <w:r>
        <w:t xml:space="preserve"> </w:t>
      </w:r>
      <w:hyperlink r:id="rId368">
        <w:r>
          <w:rPr>
            <w:rStyle w:val="Hyperlink"/>
          </w:rPr>
          <w:t xml:space="preserve">https://doi.org/10.1016/0740-5472(94)00080-b</w:t>
        </w:r>
      </w:hyperlink>
    </w:p>
    <w:bookmarkEnd w:id="369"/>
    <w:bookmarkStart w:id="371" w:name="Xc5cdea043ab663a81d5612c8b1e0f7c2b734aab"/>
    <w:p>
      <w:pPr>
        <w:pStyle w:val="Bibliography"/>
      </w:pPr>
      <w:r>
        <w:t xml:space="preserve">Roche, M. J., Pincus, A. L., Rebar, A. L., Conroy, D. E., &amp; Ram, N. (2014).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w:t>
      </w:r>
      <w:r>
        <w:t xml:space="preserve"> </w:t>
      </w:r>
      <w:r>
        <w:rPr>
          <w:i/>
          <w:iCs/>
        </w:rPr>
        <w:t xml:space="preserve">Assessment</w:t>
      </w:r>
      <w:r>
        <w:t xml:space="preserve">,</w:t>
      </w:r>
      <w:r>
        <w:t xml:space="preserve"> </w:t>
      </w:r>
      <w:r>
        <w:rPr>
          <w:i/>
          <w:iCs/>
        </w:rPr>
        <w:t xml:space="preserve">21</w:t>
      </w:r>
      <w:r>
        <w:t xml:space="preserve">(5), 515–528.</w:t>
      </w:r>
      <w:r>
        <w:t xml:space="preserve"> </w:t>
      </w:r>
      <w:hyperlink r:id="rId370">
        <w:r>
          <w:rPr>
            <w:rStyle w:val="Hyperlink"/>
          </w:rPr>
          <w:t xml:space="preserve">https://doi.org/10.1177/1073191114540320</w:t>
        </w:r>
      </w:hyperlink>
    </w:p>
    <w:bookmarkEnd w:id="371"/>
    <w:bookmarkStart w:id="372"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72"/>
    <w:bookmarkStart w:id="374"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73">
        <w:r>
          <w:rPr>
            <w:rStyle w:val="Hyperlink"/>
          </w:rPr>
          <w:t xml:space="preserve">https://doi.org/10.1037/adb0000550</w:t>
        </w:r>
      </w:hyperlink>
    </w:p>
    <w:bookmarkEnd w:id="374"/>
    <w:bookmarkStart w:id="376"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75">
        <w:r>
          <w:rPr>
            <w:rStyle w:val="Hyperlink"/>
          </w:rPr>
          <w:t xml:space="preserve">https://doi.org/10.1377/hlthaff.2011.0983</w:t>
        </w:r>
      </w:hyperlink>
    </w:p>
    <w:bookmarkEnd w:id="376"/>
    <w:bookmarkStart w:id="377"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77"/>
    <w:bookmarkStart w:id="379"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378">
        <w:r>
          <w:rPr>
            <w:rStyle w:val="Hyperlink"/>
          </w:rPr>
          <w:t xml:space="preserve">https://doi.org/10.1146/annurev-clinpsy-021815-093351</w:t>
        </w:r>
      </w:hyperlink>
    </w:p>
    <w:bookmarkEnd w:id="379"/>
    <w:bookmarkStart w:id="381"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380">
        <w:r>
          <w:rPr>
            <w:rStyle w:val="Hyperlink"/>
          </w:rPr>
          <w:t xml:space="preserve">https://doi.org/10.1111/j.1530-0277.2006.00263.x</w:t>
        </w:r>
      </w:hyperlink>
    </w:p>
    <w:bookmarkEnd w:id="381"/>
    <w:bookmarkStart w:id="383"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382">
        <w:r>
          <w:rPr>
            <w:rStyle w:val="Hyperlink"/>
          </w:rPr>
          <w:t xml:space="preserve">https://doi.org/10.1001/jamapsychiatry.2013.4450</w:t>
        </w:r>
      </w:hyperlink>
    </w:p>
    <w:bookmarkEnd w:id="383"/>
    <w:bookmarkStart w:id="385"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384">
        <w:r>
          <w:rPr>
            <w:rStyle w:val="Hyperlink"/>
          </w:rPr>
          <w:t xml:space="preserve">https://doi.org/10.1111/add.13479</w:t>
        </w:r>
      </w:hyperlink>
    </w:p>
    <w:bookmarkEnd w:id="385"/>
    <w:bookmarkStart w:id="387"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386">
        <w:r>
          <w:rPr>
            <w:rStyle w:val="Hyperlink"/>
          </w:rPr>
          <w:t xml:space="preserve">https://doi.org/10.1037/adb0000666</w:t>
        </w:r>
      </w:hyperlink>
    </w:p>
    <w:bookmarkEnd w:id="387"/>
    <w:bookmarkStart w:id="389"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388">
        <w:r>
          <w:rPr>
            <w:rStyle w:val="Hyperlink"/>
          </w:rPr>
          <w:t xml:space="preserve">https://doi.org/10.1177/1178221820976988</w:t>
        </w:r>
      </w:hyperlink>
    </w:p>
    <w:bookmarkEnd w:id="389"/>
    <w:bookmarkStart w:id="391"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390">
        <w:r>
          <w:rPr>
            <w:rStyle w:val="Hyperlink"/>
          </w:rPr>
          <w:t xml:space="preserve">https://doi.org/10.1037/0003-066X.60.4.340</w:t>
        </w:r>
      </w:hyperlink>
    </w:p>
    <w:bookmarkEnd w:id="391"/>
    <w:bookmarkStart w:id="392"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392"/>
    <w:bookmarkStart w:id="393"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393"/>
    <w:bookmarkStart w:id="395" w:name="Xb4363def9a086869984bb1996514c38c4a5108e"/>
    <w:p>
      <w:pPr>
        <w:pStyle w:val="Bibliography"/>
      </w:pPr>
      <w:r>
        <w:t xml:space="preserve">Substance Abuse and Mental Health Services Administration (US), &amp; Office of the Surgeon General (US). (2016).</w:t>
      </w:r>
      <w:r>
        <w:t xml:space="preserve"> </w:t>
      </w:r>
      <w:hyperlink r:id="rId394">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395"/>
    <w:bookmarkStart w:id="397"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396">
        <w:r>
          <w:rPr>
            <w:rStyle w:val="Hyperlink"/>
          </w:rPr>
          <w:t xml:space="preserve">https://doi.org/10.1080/19371918.2013.758975</w:t>
        </w:r>
      </w:hyperlink>
    </w:p>
    <w:bookmarkEnd w:id="397"/>
    <w:bookmarkStart w:id="399" w:name="Xdd108b50209bad1fdcf1a9fcca4dd1d7d3b13e9"/>
    <w:p>
      <w:pPr>
        <w:pStyle w:val="Bibliography"/>
      </w:pPr>
      <w:r>
        <w:t xml:space="preserve">Tausczik, Y. R., &amp; Pennebaker, J. W. (2010).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w:t>
      </w:r>
      <w:r>
        <w:t xml:space="preserve"> </w:t>
      </w:r>
      <w:r>
        <w:rPr>
          <w:i/>
          <w:iCs/>
        </w:rPr>
        <w:t xml:space="preserve">29</w:t>
      </w:r>
      <w:r>
        <w:t xml:space="preserve">(1), 24–54.</w:t>
      </w:r>
      <w:r>
        <w:t xml:space="preserve"> </w:t>
      </w:r>
      <w:hyperlink r:id="rId398">
        <w:r>
          <w:rPr>
            <w:rStyle w:val="Hyperlink"/>
          </w:rPr>
          <w:t xml:space="preserve">https://doi.org/10.1177/0261927X09351676</w:t>
        </w:r>
      </w:hyperlink>
    </w:p>
    <w:bookmarkEnd w:id="399"/>
    <w:bookmarkStart w:id="401"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400">
        <w:r>
          <w:rPr>
            <w:rStyle w:val="Hyperlink"/>
          </w:rPr>
          <w:t xml:space="preserve">https://doi.org/10.1177/17456916221134490</w:t>
        </w:r>
      </w:hyperlink>
    </w:p>
    <w:bookmarkEnd w:id="401"/>
    <w:bookmarkStart w:id="402"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402"/>
    <w:bookmarkStart w:id="404"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403">
        <w:r>
          <w:rPr>
            <w:rStyle w:val="Hyperlink"/>
          </w:rPr>
          <w:t xml:space="preserve">https://doi.org/10.1016/j.landig.2025.100916</w:t>
        </w:r>
      </w:hyperlink>
    </w:p>
    <w:bookmarkEnd w:id="404"/>
    <w:bookmarkStart w:id="406"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405">
        <w:r>
          <w:rPr>
            <w:rStyle w:val="Hyperlink"/>
          </w:rPr>
          <w:t xml:space="preserve">https://doi.org/10.1016/j.artmed.2020.101987</w:t>
        </w:r>
      </w:hyperlink>
    </w:p>
    <w:bookmarkEnd w:id="406"/>
    <w:bookmarkStart w:id="408"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407">
        <w:r>
          <w:rPr>
            <w:rStyle w:val="Hyperlink"/>
          </w:rPr>
          <w:t xml:space="preserve">https://doi.org/10.1111/j.1530-0277.1984.tb05523.x</w:t>
        </w:r>
      </w:hyperlink>
    </w:p>
    <w:bookmarkEnd w:id="408"/>
    <w:bookmarkStart w:id="410"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409">
        <w:r>
          <w:rPr>
            <w:rStyle w:val="Hyperlink"/>
          </w:rPr>
          <w:t xml:space="preserve">https://doi.org/10.1093/jamia/ocy052</w:t>
        </w:r>
      </w:hyperlink>
    </w:p>
    <w:bookmarkEnd w:id="410"/>
    <w:bookmarkStart w:id="412" w:name="ref-wagnerImprovingChronicIllness2001"/>
    <w:p>
      <w:pPr>
        <w:pStyle w:val="Bibliography"/>
      </w:pPr>
      <w:r>
        <w:t xml:space="preserve">Wagner, E. H., Austin, B. T., Davis, C., Hindmarsh, M., Schaefer, J., &amp; Bonomi, A. (2001). Improving</w:t>
      </w:r>
      <w:r>
        <w:t xml:space="preserve"> </w:t>
      </w:r>
      <w:r>
        <w:t xml:space="preserve">Chronic Illness Care</w:t>
      </w:r>
      <w:r>
        <w:t xml:space="preserve">:</w:t>
      </w:r>
      <w:r>
        <w:t xml:space="preserve"> </w:t>
      </w:r>
      <w:r>
        <w:t xml:space="preserve">Translating Evidence Into Action</w:t>
      </w:r>
      <w:r>
        <w:t xml:space="preserve">.</w:t>
      </w:r>
      <w:r>
        <w:t xml:space="preserve"> </w:t>
      </w:r>
      <w:r>
        <w:rPr>
          <w:i/>
          <w:iCs/>
        </w:rPr>
        <w:t xml:space="preserve">Health Affairs</w:t>
      </w:r>
      <w:r>
        <w:t xml:space="preserve">,</w:t>
      </w:r>
      <w:r>
        <w:t xml:space="preserve"> </w:t>
      </w:r>
      <w:r>
        <w:rPr>
          <w:i/>
          <w:iCs/>
        </w:rPr>
        <w:t xml:space="preserve">20</w:t>
      </w:r>
      <w:r>
        <w:t xml:space="preserve">(6), 64–78.</w:t>
      </w:r>
      <w:r>
        <w:t xml:space="preserve"> </w:t>
      </w:r>
      <w:hyperlink r:id="rId411">
        <w:r>
          <w:rPr>
            <w:rStyle w:val="Hyperlink"/>
          </w:rPr>
          <w:t xml:space="preserve">https://doi.org/10.1377/hlthaff.20.6.64</w:t>
        </w:r>
      </w:hyperlink>
    </w:p>
    <w:bookmarkEnd w:id="412"/>
    <w:bookmarkStart w:id="414"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413">
        <w:r>
          <w:rPr>
            <w:rStyle w:val="Hyperlink"/>
          </w:rPr>
          <w:t xml:space="preserve">https://doi.org/10.1016/j.cpr.2005.11.003</w:t>
        </w:r>
      </w:hyperlink>
    </w:p>
    <w:bookmarkEnd w:id="414"/>
    <w:bookmarkStart w:id="416"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415">
        <w:r>
          <w:rPr>
            <w:rStyle w:val="Hyperlink"/>
          </w:rPr>
          <w:t xml:space="preserve">https://doi.org/10.1016/j.jsat.2021.108417</w:t>
        </w:r>
      </w:hyperlink>
    </w:p>
    <w:bookmarkEnd w:id="416"/>
    <w:bookmarkStart w:id="418"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417">
        <w:r>
          <w:rPr>
            <w:rStyle w:val="Hyperlink"/>
          </w:rPr>
          <w:t xml:space="preserve">https://doi.org/10.1016/j.jsat.2016.12.010</w:t>
        </w:r>
      </w:hyperlink>
    </w:p>
    <w:bookmarkEnd w:id="418"/>
    <w:bookmarkStart w:id="420" w:name="X2d30c84041d97351f676569bf3de3da0c8a9d6d"/>
    <w:p>
      <w:pPr>
        <w:pStyle w:val="Bibliography"/>
      </w:pPr>
      <w:r>
        <w:t xml:space="preserve">WHO ASSIST Working Group. (2002).</w:t>
      </w:r>
      <w:r>
        <w:t xml:space="preserve"> </w:t>
      </w:r>
      <w:hyperlink r:id="rId419">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420"/>
    <w:bookmarkStart w:id="421"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421"/>
    <w:bookmarkStart w:id="423"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422">
        <w:r>
          <w:rPr>
            <w:rStyle w:val="Hyperlink"/>
          </w:rPr>
          <w:t xml:space="preserve">https://doi.org/10.1037/0003-066X.59.4.224</w:t>
        </w:r>
      </w:hyperlink>
    </w:p>
    <w:bookmarkEnd w:id="423"/>
    <w:bookmarkStart w:id="425"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424">
        <w:r>
          <w:rPr>
            <w:rStyle w:val="Hyperlink"/>
          </w:rPr>
          <w:t xml:space="preserve">https://doi.org/10.1016/j.cpr.2007.01.002</w:t>
        </w:r>
      </w:hyperlink>
    </w:p>
    <w:bookmarkEnd w:id="425"/>
    <w:bookmarkStart w:id="427"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426">
        <w:r>
          <w:rPr>
            <w:rStyle w:val="Hyperlink"/>
          </w:rPr>
          <w:t xml:space="preserve">https://doi.org/10.1080/14659891.2018.1523968</w:t>
        </w:r>
      </w:hyperlink>
    </w:p>
    <w:bookmarkEnd w:id="427"/>
    <w:bookmarkStart w:id="429" w:name="X513fadbf866a4ddf9f29b63741ad369252b4800"/>
    <w:p>
      <w:pPr>
        <w:pStyle w:val="Bibliography"/>
      </w:pPr>
      <w:r>
        <w:t xml:space="preserve">Wright, A. G. C., Hallquist, M. N., Stepp, S. D., Scott, L. N., Beeney, J. E., Lazarus, S. A., &amp; Pilkonis, P. A. (2016).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w:t>
      </w:r>
      <w:r>
        <w:t xml:space="preserve"> </w:t>
      </w:r>
      <w:r>
        <w:rPr>
          <w:i/>
          <w:iCs/>
        </w:rPr>
        <w:t xml:space="preserve">Assessment</w:t>
      </w:r>
      <w:r>
        <w:t xml:space="preserve">,</w:t>
      </w:r>
      <w:r>
        <w:t xml:space="preserve"> </w:t>
      </w:r>
      <w:r>
        <w:rPr>
          <w:i/>
          <w:iCs/>
        </w:rPr>
        <w:t xml:space="preserve">23</w:t>
      </w:r>
      <w:r>
        <w:t xml:space="preserve">(4), 484–495.</w:t>
      </w:r>
      <w:r>
        <w:t xml:space="preserve"> </w:t>
      </w:r>
      <w:hyperlink r:id="rId428">
        <w:r>
          <w:rPr>
            <w:rStyle w:val="Hyperlink"/>
          </w:rPr>
          <w:t xml:space="preserve">https://doi.org/10.1177/1073191116653829</w:t>
        </w:r>
      </w:hyperlink>
    </w:p>
    <w:bookmarkEnd w:id="429"/>
    <w:bookmarkStart w:id="431"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430">
        <w:r>
          <w:rPr>
            <w:rStyle w:val="Hyperlink"/>
          </w:rPr>
          <w:t xml:space="preserve">https://doi.org/10.1037/pas0000685</w:t>
        </w:r>
      </w:hyperlink>
    </w:p>
    <w:bookmarkEnd w:id="431"/>
    <w:bookmarkStart w:id="433"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432">
        <w:r>
          <w:rPr>
            <w:rStyle w:val="Hyperlink"/>
          </w:rPr>
          <w:t xml:space="preserve">https://doi.org/10.2196/41833</w:t>
        </w:r>
      </w:hyperlink>
    </w:p>
    <w:bookmarkEnd w:id="433"/>
    <w:bookmarkStart w:id="435"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434">
        <w:r>
          <w:rPr>
            <w:rStyle w:val="Hyperlink"/>
          </w:rPr>
          <w:t xml:space="preserve">https://doi.org/10.2196/81697</w:t>
        </w:r>
      </w:hyperlink>
    </w:p>
    <w:bookmarkEnd w:id="435"/>
    <w:bookmarkStart w:id="437"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436">
        <w:r>
          <w:rPr>
            <w:rStyle w:val="Hyperlink"/>
          </w:rPr>
          <w:t xml:space="preserve">https://doi.org/10.31234/osf.io/cgsf7</w:t>
        </w:r>
      </w:hyperlink>
    </w:p>
    <w:bookmarkEnd w:id="437"/>
    <w:bookmarkStart w:id="439" w:name="Xdcc3e6c1429a41e0448c7c169835e10027482a3"/>
    <w:p>
      <w:pPr>
        <w:pStyle w:val="Bibliography"/>
      </w:pPr>
      <w:r>
        <w:t xml:space="preserve">Xie, K., Deng, K., &amp; Zhou, X. (2009). From trajectories to activities: A spatio-temporal join approach.</w:t>
      </w:r>
      <w:r>
        <w:t xml:space="preserve"> </w:t>
      </w:r>
      <w:r>
        <w:rPr>
          <w:i/>
          <w:iCs/>
        </w:rPr>
        <w:t xml:space="preserve">Proceedings of the 2009</w:t>
      </w:r>
      <w:r>
        <w:rPr>
          <w:i/>
          <w:iCs/>
        </w:rPr>
        <w:t xml:space="preserve"> </w:t>
      </w:r>
      <w:r>
        <w:rPr>
          <w:i/>
          <w:iCs/>
        </w:rPr>
        <w:t xml:space="preserve">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’09</w:t>
      </w:r>
      <w:r>
        <w:t xml:space="preserve">, 25–32.</w:t>
      </w:r>
      <w:r>
        <w:t xml:space="preserve"> </w:t>
      </w:r>
      <w:hyperlink r:id="rId438">
        <w:r>
          <w:rPr>
            <w:rStyle w:val="Hyperlink"/>
          </w:rPr>
          <w:t xml:space="preserve">https://doi.org/10.1145/1629890.1629897</w:t>
        </w:r>
      </w:hyperlink>
    </w:p>
    <w:bookmarkEnd w:id="439"/>
    <w:bookmarkStart w:id="441"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440">
        <w:r>
          <w:rPr>
            <w:rStyle w:val="Hyperlink"/>
          </w:rPr>
          <w:t xml:space="preserve">https://doi.org/10.1080/17441692.2023.2277854</w:t>
        </w:r>
      </w:hyperlink>
    </w:p>
    <w:bookmarkEnd w:id="441"/>
    <w:bookmarkStart w:id="443"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442">
        <w:r>
          <w:rPr>
            <w:rStyle w:val="Hyperlink"/>
          </w:rPr>
          <w:t xml:space="preserve">https://doi.org/10.2196/mhealth.9117</w:t>
        </w:r>
      </w:hyperlink>
    </w:p>
    <w:bookmarkEnd w:id="443"/>
    <w:bookmarkStart w:id="445" w:name="ref-zikmund-fisherRightToolWhat2013"/>
    <w:p>
      <w:pPr>
        <w:pStyle w:val="Bibliography"/>
      </w:pPr>
      <w:r>
        <w:t xml:space="preserve">Zikmund-Fisher, B. J. (2013). The right tool is what they need, not what we have: A taxonomy of appropriate levels of precision in patient risk communication.</w:t>
      </w:r>
      <w:r>
        <w:t xml:space="preserve"> </w:t>
      </w:r>
      <w:r>
        <w:rPr>
          <w:i/>
          <w:iCs/>
        </w:rPr>
        <w:t xml:space="preserve">Medical Care Research and Review: MCRR</w:t>
      </w:r>
      <w:r>
        <w:t xml:space="preserve">,</w:t>
      </w:r>
      <w:r>
        <w:t xml:space="preserve"> </w:t>
      </w:r>
      <w:r>
        <w:rPr>
          <w:i/>
          <w:iCs/>
        </w:rPr>
        <w:t xml:space="preserve">70</w:t>
      </w:r>
      <w:r>
        <w:t xml:space="preserve">(1 Suppl), 37S–49S.</w:t>
      </w:r>
      <w:r>
        <w:t xml:space="preserve"> </w:t>
      </w:r>
      <w:hyperlink r:id="rId444">
        <w:r>
          <w:rPr>
            <w:rStyle w:val="Hyperlink"/>
          </w:rPr>
          <w:t xml:space="preserve">https://doi.org/10.1177/1077558712458541</w:t>
        </w:r>
      </w:hyperlink>
    </w:p>
    <w:bookmarkEnd w:id="445"/>
    <w:bookmarkStart w:id="447" w:name="X13b53253f4b8775a58215d7e1d3c0adbd73e844"/>
    <w:p>
      <w:pPr>
        <w:pStyle w:val="Bibliography"/>
      </w:pPr>
      <w:r>
        <w:t xml:space="preserve">Zipkin, D. A., Umscheid, C. A., Keating, N. L., Allen, E., Aung, K., Beyth, R., Kaatz, S., Mann, D. M., Sussman, J. B., Korenstein, D., Schardt, C., Nagi, A., Sloane, R., &amp; Feldstein, D. A. (2014). Evidence-based risk communication: A systematic review.</w:t>
      </w:r>
      <w:r>
        <w:t xml:space="preserve"> </w:t>
      </w:r>
      <w:r>
        <w:rPr>
          <w:i/>
          <w:iCs/>
        </w:rPr>
        <w:t xml:space="preserve">Annals of Internal Medicine</w:t>
      </w:r>
      <w:r>
        <w:t xml:space="preserve">,</w:t>
      </w:r>
      <w:r>
        <w:t xml:space="preserve"> </w:t>
      </w:r>
      <w:r>
        <w:rPr>
          <w:i/>
          <w:iCs/>
        </w:rPr>
        <w:t xml:space="preserve">161</w:t>
      </w:r>
      <w:r>
        <w:t xml:space="preserve">(4), 270–280.</w:t>
      </w:r>
      <w:r>
        <w:t xml:space="preserve"> </w:t>
      </w:r>
      <w:hyperlink r:id="rId446">
        <w:r>
          <w:rPr>
            <w:rStyle w:val="Hyperlink"/>
          </w:rPr>
          <w:t xml:space="preserve">https://doi.org/10.7326/M14-0295</w:t>
        </w:r>
      </w:hyperlink>
    </w:p>
    <w:bookmarkEnd w:id="447"/>
    <w:bookmarkEnd w:id="448"/>
    <w:bookmarkEnd w:id="4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1">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42">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158">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159">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172">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jpg" /><Relationship Type="http://schemas.openxmlformats.org/officeDocument/2006/relationships/image" Id="rId51" Target="media/rId51.jpg" /><Relationship Type="http://schemas.openxmlformats.org/officeDocument/2006/relationships/image" Id="rId58" Target="media/rId58.jpg" /><Relationship Type="http://schemas.openxmlformats.org/officeDocument/2006/relationships/image" Id="rId84" Target="media/rId84.png" /><Relationship Type="http://schemas.openxmlformats.org/officeDocument/2006/relationships/image" Id="rId166" Target="media/rId166.png" /><Relationship Type="http://schemas.openxmlformats.org/officeDocument/2006/relationships/image" Id="rId103" Target="media/rId103.png" /><Relationship Type="http://schemas.openxmlformats.org/officeDocument/2006/relationships/image" Id="rId173" Target="media/rId173.png" /><Relationship Type="http://schemas.openxmlformats.org/officeDocument/2006/relationships/image" Id="rId179" Target="media/rId179.png" /><Relationship Type="http://schemas.openxmlformats.org/officeDocument/2006/relationships/image" Id="rId121" Target="media/rId121.png" /><Relationship Type="http://schemas.openxmlformats.org/officeDocument/2006/relationships/image" Id="rId185" Target="media/rId185.png" /><Relationship Type="http://schemas.openxmlformats.org/officeDocument/2006/relationships/image" Id="rId115" Target="media/rId115.png" /><Relationship Type="http://schemas.openxmlformats.org/officeDocument/2006/relationships/hyperlink" Id="rId271" Target="https://doi.org/10.1001/jama.2022.2847" TargetMode="External" /><Relationship Type="http://schemas.openxmlformats.org/officeDocument/2006/relationships/hyperlink" Id="rId345" Target="https://doi.org/10.1001/jama.284.13.1689" TargetMode="External" /><Relationship Type="http://schemas.openxmlformats.org/officeDocument/2006/relationships/hyperlink" Id="rId308" Target="https://doi.org/10.1001/jamanetworkopen.2020.5852" TargetMode="External" /><Relationship Type="http://schemas.openxmlformats.org/officeDocument/2006/relationships/hyperlink" Id="rId382"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83" Target="https://doi.org/10.1001/jamapsychiatry.2013.4642" TargetMode="External" /><Relationship Type="http://schemas.openxmlformats.org/officeDocument/2006/relationships/hyperlink" Id="rId277" Target="https://doi.org/10.1001/jamapsychiatry.2015.0584" TargetMode="External" /><Relationship Type="http://schemas.openxmlformats.org/officeDocument/2006/relationships/hyperlink" Id="rId317" Target="https://doi.org/10.1007/978-1-4614-6849-3" TargetMode="External" /><Relationship Type="http://schemas.openxmlformats.org/officeDocument/2006/relationships/hyperlink" Id="rId233"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39" Target="https://doi.org/10.1007/s10862-017-9632-8" TargetMode="External" /><Relationship Type="http://schemas.openxmlformats.org/officeDocument/2006/relationships/hyperlink" Id="rId310"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68"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12" Target="https://doi.org/10.1016/j.amepre.2019.08.034" TargetMode="External" /><Relationship Type="http://schemas.openxmlformats.org/officeDocument/2006/relationships/hyperlink" Id="rId322" Target="https://doi.org/10.1016/j.amepre.2022.08.022" TargetMode="External" /><Relationship Type="http://schemas.openxmlformats.org/officeDocument/2006/relationships/hyperlink" Id="rId405" Target="https://doi.org/10.1016/j.artmed.2020.101987" TargetMode="External" /><Relationship Type="http://schemas.openxmlformats.org/officeDocument/2006/relationships/hyperlink" Id="rId265" Target="https://doi.org/10.1016/j.brat.2019.01.010" TargetMode="External" /><Relationship Type="http://schemas.openxmlformats.org/officeDocument/2006/relationships/hyperlink" Id="rId244" Target="https://doi.org/10.1016/j.brat.2019.103506" TargetMode="External" /><Relationship Type="http://schemas.openxmlformats.org/officeDocument/2006/relationships/hyperlink" Id="rId314" Target="https://doi.org/10.1016/j.cger.2014.04.008" TargetMode="External" /><Relationship Type="http://schemas.openxmlformats.org/officeDocument/2006/relationships/hyperlink" Id="rId250" Target="https://doi.org/10.1016/j.cmpb.2016.09.016" TargetMode="External" /><Relationship Type="http://schemas.openxmlformats.org/officeDocument/2006/relationships/hyperlink" Id="rId413" Target="https://doi.org/10.1016/j.cpr.2005.11.003" TargetMode="External" /><Relationship Type="http://schemas.openxmlformats.org/officeDocument/2006/relationships/hyperlink" Id="rId424" Target="https://doi.org/10.1016/j.cpr.2007.01.002" TargetMode="External" /><Relationship Type="http://schemas.openxmlformats.org/officeDocument/2006/relationships/hyperlink" Id="rId341" Target="https://doi.org/10.1016/j.cpr.2017.10.012" TargetMode="External" /><Relationship Type="http://schemas.openxmlformats.org/officeDocument/2006/relationships/hyperlink" Id="rId279" Target="https://doi.org/10.1016/j.drugalcdep.2006.05.012" TargetMode="External" /><Relationship Type="http://schemas.openxmlformats.org/officeDocument/2006/relationships/hyperlink" Id="rId281" Target="https://doi.org/10.1016/j.drugalcdep.2013.07.027" TargetMode="External" /><Relationship Type="http://schemas.openxmlformats.org/officeDocument/2006/relationships/hyperlink" Id="rId229" Target="https://doi.org/10.1016/j.drugalcdep.2014.10.004" TargetMode="External" /><Relationship Type="http://schemas.openxmlformats.org/officeDocument/2006/relationships/hyperlink" Id="rId306" Target="https://doi.org/10.1016/j.drugalcdep.2016.10.038" TargetMode="External" /><Relationship Type="http://schemas.openxmlformats.org/officeDocument/2006/relationships/hyperlink" Id="rId361" Target="https://doi.org/10.1016/j.drugalcdep.2019.05.017" TargetMode="External" /><Relationship Type="http://schemas.openxmlformats.org/officeDocument/2006/relationships/hyperlink" Id="rId267" Target="https://doi.org/10.1016/j.drugalcdep.2020.108350" TargetMode="External" /><Relationship Type="http://schemas.openxmlformats.org/officeDocument/2006/relationships/hyperlink" Id="rId347" Target="https://doi.org/10.1016/j.drugalcdep.2021.108706" TargetMode="External" /><Relationship Type="http://schemas.openxmlformats.org/officeDocument/2006/relationships/hyperlink" Id="rId217" Target="https://doi.org/10.1016/j.drugalcdep.2022.109362" TargetMode="External" /><Relationship Type="http://schemas.openxmlformats.org/officeDocument/2006/relationships/hyperlink" Id="rId292" Target="https://doi.org/10.1016/j.josat.2025.209685" TargetMode="External" /><Relationship Type="http://schemas.openxmlformats.org/officeDocument/2006/relationships/hyperlink" Id="rId227" Target="https://doi.org/10.1016/j.jsat.2013.08.004" TargetMode="External" /><Relationship Type="http://schemas.openxmlformats.org/officeDocument/2006/relationships/hyperlink" Id="rId417" Target="https://doi.org/10.1016/j.jsat.2016.12.010" TargetMode="External" /><Relationship Type="http://schemas.openxmlformats.org/officeDocument/2006/relationships/hyperlink" Id="rId415" Target="https://doi.org/10.1016/j.jsat.2021.108417" TargetMode="External" /><Relationship Type="http://schemas.openxmlformats.org/officeDocument/2006/relationships/hyperlink" Id="rId356" Target="https://doi.org/10.1016/j.jsat.2021.108710" TargetMode="External" /><Relationship Type="http://schemas.openxmlformats.org/officeDocument/2006/relationships/hyperlink" Id="rId403" Target="https://doi.org/10.1016/j.landig.2025.100916" TargetMode="External" /><Relationship Type="http://schemas.openxmlformats.org/officeDocument/2006/relationships/hyperlink" Id="rId339" Target="https://doi.org/10.1016/j.psc.2010.04.012" TargetMode="External" /><Relationship Type="http://schemas.openxmlformats.org/officeDocument/2006/relationships/hyperlink" Id="rId301" Target="https://doi.org/10.1023/A:1008987426876" TargetMode="External" /><Relationship Type="http://schemas.openxmlformats.org/officeDocument/2006/relationships/hyperlink" Id="rId364" Target="https://doi.org/10.1037/0003-066X.47.9.1102" TargetMode="External" /><Relationship Type="http://schemas.openxmlformats.org/officeDocument/2006/relationships/hyperlink" Id="rId422" Target="https://doi.org/10.1037/0003-066X.59.4.224" TargetMode="External" /><Relationship Type="http://schemas.openxmlformats.org/officeDocument/2006/relationships/hyperlink" Id="rId390" Target="https://doi.org/10.1037/0003-066X.60.4.340" TargetMode="External" /><Relationship Type="http://schemas.openxmlformats.org/officeDocument/2006/relationships/hyperlink" Id="rId252" Target="https://doi.org/10.1037/a0037157" TargetMode="External" /><Relationship Type="http://schemas.openxmlformats.org/officeDocument/2006/relationships/hyperlink" Id="rId256" Target="https://doi.org/10.1037/abn0000819" TargetMode="External" /><Relationship Type="http://schemas.openxmlformats.org/officeDocument/2006/relationships/hyperlink" Id="rId248" Target="https://doi.org/10.1037/adb0000292" TargetMode="External" /><Relationship Type="http://schemas.openxmlformats.org/officeDocument/2006/relationships/hyperlink" Id="rId373" Target="https://doi.org/10.1037/adb0000550" TargetMode="External" /><Relationship Type="http://schemas.openxmlformats.org/officeDocument/2006/relationships/hyperlink" Id="rId386" Target="https://doi.org/10.1037/adb0000666" TargetMode="External" /><Relationship Type="http://schemas.openxmlformats.org/officeDocument/2006/relationships/hyperlink" Id="rId263" Target="https://doi.org/10.1037/ccp0000026" TargetMode="External" /><Relationship Type="http://schemas.openxmlformats.org/officeDocument/2006/relationships/hyperlink" Id="rId430" Target="https://doi.org/10.1037/pas0000685" TargetMode="External" /><Relationship Type="http://schemas.openxmlformats.org/officeDocument/2006/relationships/hyperlink" Id="rId254" Target="https://doi.org/10.1037/pha0000210" TargetMode="External" /><Relationship Type="http://schemas.openxmlformats.org/officeDocument/2006/relationships/hyperlink" Id="rId358" Target="https://doi.org/10.1037/tps0000250" TargetMode="External" /><Relationship Type="http://schemas.openxmlformats.org/officeDocument/2006/relationships/hyperlink" Id="rId330" Target="https://doi.org/10.1038/s41380-018-0094-5" TargetMode="External" /><Relationship Type="http://schemas.openxmlformats.org/officeDocument/2006/relationships/hyperlink" Id="rId325" Target="https://doi.org/10.1080/00952990.2019.1694536" TargetMode="External" /><Relationship Type="http://schemas.openxmlformats.org/officeDocument/2006/relationships/hyperlink" Id="rId269" Target="https://doi.org/10.1080/10826084.2021.1899225" TargetMode="External" /><Relationship Type="http://schemas.openxmlformats.org/officeDocument/2006/relationships/hyperlink" Id="rId426" Target="https://doi.org/10.1080/14659891.2018.1523968" TargetMode="External" /><Relationship Type="http://schemas.openxmlformats.org/officeDocument/2006/relationships/hyperlink" Id="rId440" Target="https://doi.org/10.1080/17441692.2023.2277854" TargetMode="External" /><Relationship Type="http://schemas.openxmlformats.org/officeDocument/2006/relationships/hyperlink" Id="rId396" Target="https://doi.org/10.1080/19371918.2013.758975" TargetMode="External" /><Relationship Type="http://schemas.openxmlformats.org/officeDocument/2006/relationships/hyperlink" Id="rId409" Target="https://doi.org/10.1093/jamia/ocy052" TargetMode="External" /><Relationship Type="http://schemas.openxmlformats.org/officeDocument/2006/relationships/hyperlink" Id="rId237" Target="https://doi.org/10.1093/oxfordhb/9780190067991.013.9" TargetMode="External" /><Relationship Type="http://schemas.openxmlformats.org/officeDocument/2006/relationships/hyperlink" Id="rId294" Target="https://doi.org/10.1097/ADM.0000000000000312" TargetMode="External" /><Relationship Type="http://schemas.openxmlformats.org/officeDocument/2006/relationships/hyperlink" Id="rId332" Target="https://doi.org/10.1097/JTO.0b013e3181ec173d" TargetMode="External" /><Relationship Type="http://schemas.openxmlformats.org/officeDocument/2006/relationships/hyperlink" Id="rId384" Target="https://doi.org/10.1111/add.13479" TargetMode="External" /><Relationship Type="http://schemas.openxmlformats.org/officeDocument/2006/relationships/hyperlink" Id="rId219" Target="https://doi.org/10.1111/ajad.12784" TargetMode="External" /><Relationship Type="http://schemas.openxmlformats.org/officeDocument/2006/relationships/hyperlink" Id="rId407" Target="https://doi.org/10.1111/j.1530-0277.1984.tb05523.x" TargetMode="External" /><Relationship Type="http://schemas.openxmlformats.org/officeDocument/2006/relationships/hyperlink" Id="rId380" Target="https://doi.org/10.1111/j.1530-0277.2006.00263.x" TargetMode="External" /><Relationship Type="http://schemas.openxmlformats.org/officeDocument/2006/relationships/hyperlink" Id="rId327" Target="https://doi.org/10.1111/jrh.70076" TargetMode="External" /><Relationship Type="http://schemas.openxmlformats.org/officeDocument/2006/relationships/hyperlink" Id="rId231" Target="https://doi.org/10.1136/bmj-2023-078378" TargetMode="External" /><Relationship Type="http://schemas.openxmlformats.org/officeDocument/2006/relationships/hyperlink" Id="rId438" Target="https://doi.org/10.1145/1629890.1629897" TargetMode="External" /><Relationship Type="http://schemas.openxmlformats.org/officeDocument/2006/relationships/hyperlink" Id="rId297" Target="https://doi.org/10.1145/1867699.1867704" TargetMode="External" /><Relationship Type="http://schemas.openxmlformats.org/officeDocument/2006/relationships/hyperlink" Id="rId378" Target="https://doi.org/10.1146/annurev-clinpsy-021815-093351" TargetMode="External" /><Relationship Type="http://schemas.openxmlformats.org/officeDocument/2006/relationships/hyperlink" Id="rId349" Target="https://doi.org/10.1146/annurev-clinpsy-032816-044949" TargetMode="External" /><Relationship Type="http://schemas.openxmlformats.org/officeDocument/2006/relationships/hyperlink" Id="rId273"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1" Target="https://doi.org/10.1176/appi.ajp.2014.13081055" TargetMode="External" /><Relationship Type="http://schemas.openxmlformats.org/officeDocument/2006/relationships/hyperlink" Id="rId285" Target="https://doi.org/10.1176/appi.ajp.21090963" TargetMode="External" /><Relationship Type="http://schemas.openxmlformats.org/officeDocument/2006/relationships/hyperlink" Id="rId235" Target="https://doi.org/10.1176/ps.62.11.pss6211_1273" TargetMode="External" /><Relationship Type="http://schemas.openxmlformats.org/officeDocument/2006/relationships/hyperlink" Id="rId336" Target="https://doi.org/10.1177/00333549211041554" TargetMode="External" /><Relationship Type="http://schemas.openxmlformats.org/officeDocument/2006/relationships/hyperlink" Id="rId398" Target="https://doi.org/10.1177/0261927X09351676" TargetMode="External" /><Relationship Type="http://schemas.openxmlformats.org/officeDocument/2006/relationships/hyperlink" Id="rId370" Target="https://doi.org/10.1177/1073191114540320" TargetMode="External" /><Relationship Type="http://schemas.openxmlformats.org/officeDocument/2006/relationships/hyperlink" Id="rId428" Target="https://doi.org/10.1177/1073191116653829" TargetMode="External" /><Relationship Type="http://schemas.openxmlformats.org/officeDocument/2006/relationships/hyperlink" Id="rId444" Target="https://doi.org/10.1177/1077558712458541" TargetMode="External" /><Relationship Type="http://schemas.openxmlformats.org/officeDocument/2006/relationships/hyperlink" Id="rId388" Target="https://doi.org/10.1177/1178221820976988" TargetMode="External" /><Relationship Type="http://schemas.openxmlformats.org/officeDocument/2006/relationships/hyperlink" Id="rId400" Target="https://doi.org/10.1177/17456916221134490" TargetMode="External" /><Relationship Type="http://schemas.openxmlformats.org/officeDocument/2006/relationships/hyperlink" Id="rId320" Target="https://doi.org/10.1214/17-EJS1338SI" TargetMode="External" /><Relationship Type="http://schemas.openxmlformats.org/officeDocument/2006/relationships/hyperlink" Id="rId411" Target="https://doi.org/10.1377/hlthaff.20.6.64" TargetMode="External" /><Relationship Type="http://schemas.openxmlformats.org/officeDocument/2006/relationships/hyperlink" Id="rId375" Target="https://doi.org/10.1377/hlthaff.2011.0983" TargetMode="External" /><Relationship Type="http://schemas.openxmlformats.org/officeDocument/2006/relationships/hyperlink" Id="rId223" Target="https://doi.org/10.21231/GNT1-HW21" TargetMode="External" /><Relationship Type="http://schemas.openxmlformats.org/officeDocument/2006/relationships/hyperlink" Id="rId352"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32" Target="https://doi.org/10.2196/41833" TargetMode="External" /><Relationship Type="http://schemas.openxmlformats.org/officeDocument/2006/relationships/hyperlink" Id="rId366" Target="https://doi.org/10.2196/73265" TargetMode="External" /><Relationship Type="http://schemas.openxmlformats.org/officeDocument/2006/relationships/hyperlink" Id="rId434" Target="https://doi.org/10.2196/81697" TargetMode="External" /><Relationship Type="http://schemas.openxmlformats.org/officeDocument/2006/relationships/hyperlink" Id="rId288" Target="https://doi.org/10.2196/mental.9777" TargetMode="External" /><Relationship Type="http://schemas.openxmlformats.org/officeDocument/2006/relationships/hyperlink" Id="rId442" Target="https://doi.org/10.2196/mhealth.9117" TargetMode="External" /><Relationship Type="http://schemas.openxmlformats.org/officeDocument/2006/relationships/hyperlink" Id="rId436" Target="https://doi.org/10.31234/osf.io/cgsf7" TargetMode="External" /><Relationship Type="http://schemas.openxmlformats.org/officeDocument/2006/relationships/hyperlink" Id="rId343" Target="https://doi.org/10.35946/arcr.v41.1.01" TargetMode="External" /><Relationship Type="http://schemas.openxmlformats.org/officeDocument/2006/relationships/hyperlink" Id="rId246" Target="https://doi.org/10.48550/arXiv.1810.04805" TargetMode="External" /><Relationship Type="http://schemas.openxmlformats.org/officeDocument/2006/relationships/hyperlink" Id="rId261" Target="https://doi.org/10.5555/ajhb.2007.31.supp.S47" TargetMode="External" /><Relationship Type="http://schemas.openxmlformats.org/officeDocument/2006/relationships/hyperlink" Id="rId446" Target="https://doi.org/10.7326/M14-0295" TargetMode="External" /><Relationship Type="http://schemas.openxmlformats.org/officeDocument/2006/relationships/hyperlink" Id="rId303" Target="https://doi.org/10/gfsjzg" TargetMode="External" /><Relationship Type="http://schemas.openxmlformats.org/officeDocument/2006/relationships/hyperlink" Id="rId259"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1" Target="https://www.ncbi.nlm.nih.gov/pmc/articles/PMC2797101" TargetMode="External" /><Relationship Type="http://schemas.openxmlformats.org/officeDocument/2006/relationships/hyperlink" Id="rId419" Target="https://www.ncbi.nlm.nih.gov/pubmed/12199834" TargetMode="External" /><Relationship Type="http://schemas.openxmlformats.org/officeDocument/2006/relationships/hyperlink" Id="rId354" Target="https://www.ncbi.nlm.nih.gov/pubmed/20669516" TargetMode="External" /><Relationship Type="http://schemas.openxmlformats.org/officeDocument/2006/relationships/hyperlink" Id="rId394"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71" Target="https://doi.org/10.1001/jama.2022.2847" TargetMode="External" /><Relationship Type="http://schemas.openxmlformats.org/officeDocument/2006/relationships/hyperlink" Id="rId345" Target="https://doi.org/10.1001/jama.284.13.1689" TargetMode="External" /><Relationship Type="http://schemas.openxmlformats.org/officeDocument/2006/relationships/hyperlink" Id="rId308" Target="https://doi.org/10.1001/jamanetworkopen.2020.5852" TargetMode="External" /><Relationship Type="http://schemas.openxmlformats.org/officeDocument/2006/relationships/hyperlink" Id="rId382"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83" Target="https://doi.org/10.1001/jamapsychiatry.2013.4642" TargetMode="External" /><Relationship Type="http://schemas.openxmlformats.org/officeDocument/2006/relationships/hyperlink" Id="rId277" Target="https://doi.org/10.1001/jamapsychiatry.2015.0584" TargetMode="External" /><Relationship Type="http://schemas.openxmlformats.org/officeDocument/2006/relationships/hyperlink" Id="rId317" Target="https://doi.org/10.1007/978-1-4614-6849-3" TargetMode="External" /><Relationship Type="http://schemas.openxmlformats.org/officeDocument/2006/relationships/hyperlink" Id="rId233"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39" Target="https://doi.org/10.1007/s10862-017-9632-8" TargetMode="External" /><Relationship Type="http://schemas.openxmlformats.org/officeDocument/2006/relationships/hyperlink" Id="rId310"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68"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12" Target="https://doi.org/10.1016/j.amepre.2019.08.034" TargetMode="External" /><Relationship Type="http://schemas.openxmlformats.org/officeDocument/2006/relationships/hyperlink" Id="rId322" Target="https://doi.org/10.1016/j.amepre.2022.08.022" TargetMode="External" /><Relationship Type="http://schemas.openxmlformats.org/officeDocument/2006/relationships/hyperlink" Id="rId405" Target="https://doi.org/10.1016/j.artmed.2020.101987" TargetMode="External" /><Relationship Type="http://schemas.openxmlformats.org/officeDocument/2006/relationships/hyperlink" Id="rId265" Target="https://doi.org/10.1016/j.brat.2019.01.010" TargetMode="External" /><Relationship Type="http://schemas.openxmlformats.org/officeDocument/2006/relationships/hyperlink" Id="rId244" Target="https://doi.org/10.1016/j.brat.2019.103506" TargetMode="External" /><Relationship Type="http://schemas.openxmlformats.org/officeDocument/2006/relationships/hyperlink" Id="rId314" Target="https://doi.org/10.1016/j.cger.2014.04.008" TargetMode="External" /><Relationship Type="http://schemas.openxmlformats.org/officeDocument/2006/relationships/hyperlink" Id="rId250" Target="https://doi.org/10.1016/j.cmpb.2016.09.016" TargetMode="External" /><Relationship Type="http://schemas.openxmlformats.org/officeDocument/2006/relationships/hyperlink" Id="rId413" Target="https://doi.org/10.1016/j.cpr.2005.11.003" TargetMode="External" /><Relationship Type="http://schemas.openxmlformats.org/officeDocument/2006/relationships/hyperlink" Id="rId424" Target="https://doi.org/10.1016/j.cpr.2007.01.002" TargetMode="External" /><Relationship Type="http://schemas.openxmlformats.org/officeDocument/2006/relationships/hyperlink" Id="rId341" Target="https://doi.org/10.1016/j.cpr.2017.10.012" TargetMode="External" /><Relationship Type="http://schemas.openxmlformats.org/officeDocument/2006/relationships/hyperlink" Id="rId279" Target="https://doi.org/10.1016/j.drugalcdep.2006.05.012" TargetMode="External" /><Relationship Type="http://schemas.openxmlformats.org/officeDocument/2006/relationships/hyperlink" Id="rId281" Target="https://doi.org/10.1016/j.drugalcdep.2013.07.027" TargetMode="External" /><Relationship Type="http://schemas.openxmlformats.org/officeDocument/2006/relationships/hyperlink" Id="rId229" Target="https://doi.org/10.1016/j.drugalcdep.2014.10.004" TargetMode="External" /><Relationship Type="http://schemas.openxmlformats.org/officeDocument/2006/relationships/hyperlink" Id="rId306" Target="https://doi.org/10.1016/j.drugalcdep.2016.10.038" TargetMode="External" /><Relationship Type="http://schemas.openxmlformats.org/officeDocument/2006/relationships/hyperlink" Id="rId361" Target="https://doi.org/10.1016/j.drugalcdep.2019.05.017" TargetMode="External" /><Relationship Type="http://schemas.openxmlformats.org/officeDocument/2006/relationships/hyperlink" Id="rId267" Target="https://doi.org/10.1016/j.drugalcdep.2020.108350" TargetMode="External" /><Relationship Type="http://schemas.openxmlformats.org/officeDocument/2006/relationships/hyperlink" Id="rId347" Target="https://doi.org/10.1016/j.drugalcdep.2021.108706" TargetMode="External" /><Relationship Type="http://schemas.openxmlformats.org/officeDocument/2006/relationships/hyperlink" Id="rId217" Target="https://doi.org/10.1016/j.drugalcdep.2022.109362" TargetMode="External" /><Relationship Type="http://schemas.openxmlformats.org/officeDocument/2006/relationships/hyperlink" Id="rId292" Target="https://doi.org/10.1016/j.josat.2025.209685" TargetMode="External" /><Relationship Type="http://schemas.openxmlformats.org/officeDocument/2006/relationships/hyperlink" Id="rId227" Target="https://doi.org/10.1016/j.jsat.2013.08.004" TargetMode="External" /><Relationship Type="http://schemas.openxmlformats.org/officeDocument/2006/relationships/hyperlink" Id="rId417" Target="https://doi.org/10.1016/j.jsat.2016.12.010" TargetMode="External" /><Relationship Type="http://schemas.openxmlformats.org/officeDocument/2006/relationships/hyperlink" Id="rId415" Target="https://doi.org/10.1016/j.jsat.2021.108417" TargetMode="External" /><Relationship Type="http://schemas.openxmlformats.org/officeDocument/2006/relationships/hyperlink" Id="rId356" Target="https://doi.org/10.1016/j.jsat.2021.108710" TargetMode="External" /><Relationship Type="http://schemas.openxmlformats.org/officeDocument/2006/relationships/hyperlink" Id="rId403" Target="https://doi.org/10.1016/j.landig.2025.100916" TargetMode="External" /><Relationship Type="http://schemas.openxmlformats.org/officeDocument/2006/relationships/hyperlink" Id="rId339" Target="https://doi.org/10.1016/j.psc.2010.04.012" TargetMode="External" /><Relationship Type="http://schemas.openxmlformats.org/officeDocument/2006/relationships/hyperlink" Id="rId301" Target="https://doi.org/10.1023/A:1008987426876" TargetMode="External" /><Relationship Type="http://schemas.openxmlformats.org/officeDocument/2006/relationships/hyperlink" Id="rId364" Target="https://doi.org/10.1037/0003-066X.47.9.1102" TargetMode="External" /><Relationship Type="http://schemas.openxmlformats.org/officeDocument/2006/relationships/hyperlink" Id="rId422" Target="https://doi.org/10.1037/0003-066X.59.4.224" TargetMode="External" /><Relationship Type="http://schemas.openxmlformats.org/officeDocument/2006/relationships/hyperlink" Id="rId390" Target="https://doi.org/10.1037/0003-066X.60.4.340" TargetMode="External" /><Relationship Type="http://schemas.openxmlformats.org/officeDocument/2006/relationships/hyperlink" Id="rId252" Target="https://doi.org/10.1037/a0037157" TargetMode="External" /><Relationship Type="http://schemas.openxmlformats.org/officeDocument/2006/relationships/hyperlink" Id="rId256" Target="https://doi.org/10.1037/abn0000819" TargetMode="External" /><Relationship Type="http://schemas.openxmlformats.org/officeDocument/2006/relationships/hyperlink" Id="rId248" Target="https://doi.org/10.1037/adb0000292" TargetMode="External" /><Relationship Type="http://schemas.openxmlformats.org/officeDocument/2006/relationships/hyperlink" Id="rId373" Target="https://doi.org/10.1037/adb0000550" TargetMode="External" /><Relationship Type="http://schemas.openxmlformats.org/officeDocument/2006/relationships/hyperlink" Id="rId386" Target="https://doi.org/10.1037/adb0000666" TargetMode="External" /><Relationship Type="http://schemas.openxmlformats.org/officeDocument/2006/relationships/hyperlink" Id="rId263" Target="https://doi.org/10.1037/ccp0000026" TargetMode="External" /><Relationship Type="http://schemas.openxmlformats.org/officeDocument/2006/relationships/hyperlink" Id="rId430" Target="https://doi.org/10.1037/pas0000685" TargetMode="External" /><Relationship Type="http://schemas.openxmlformats.org/officeDocument/2006/relationships/hyperlink" Id="rId254" Target="https://doi.org/10.1037/pha0000210" TargetMode="External" /><Relationship Type="http://schemas.openxmlformats.org/officeDocument/2006/relationships/hyperlink" Id="rId358" Target="https://doi.org/10.1037/tps0000250" TargetMode="External" /><Relationship Type="http://schemas.openxmlformats.org/officeDocument/2006/relationships/hyperlink" Id="rId330" Target="https://doi.org/10.1038/s41380-018-0094-5" TargetMode="External" /><Relationship Type="http://schemas.openxmlformats.org/officeDocument/2006/relationships/hyperlink" Id="rId325" Target="https://doi.org/10.1080/00952990.2019.1694536" TargetMode="External" /><Relationship Type="http://schemas.openxmlformats.org/officeDocument/2006/relationships/hyperlink" Id="rId269" Target="https://doi.org/10.1080/10826084.2021.1899225" TargetMode="External" /><Relationship Type="http://schemas.openxmlformats.org/officeDocument/2006/relationships/hyperlink" Id="rId426" Target="https://doi.org/10.1080/14659891.2018.1523968" TargetMode="External" /><Relationship Type="http://schemas.openxmlformats.org/officeDocument/2006/relationships/hyperlink" Id="rId440" Target="https://doi.org/10.1080/17441692.2023.2277854" TargetMode="External" /><Relationship Type="http://schemas.openxmlformats.org/officeDocument/2006/relationships/hyperlink" Id="rId396" Target="https://doi.org/10.1080/19371918.2013.758975" TargetMode="External" /><Relationship Type="http://schemas.openxmlformats.org/officeDocument/2006/relationships/hyperlink" Id="rId409" Target="https://doi.org/10.1093/jamia/ocy052" TargetMode="External" /><Relationship Type="http://schemas.openxmlformats.org/officeDocument/2006/relationships/hyperlink" Id="rId237" Target="https://doi.org/10.1093/oxfordhb/9780190067991.013.9" TargetMode="External" /><Relationship Type="http://schemas.openxmlformats.org/officeDocument/2006/relationships/hyperlink" Id="rId294" Target="https://doi.org/10.1097/ADM.0000000000000312" TargetMode="External" /><Relationship Type="http://schemas.openxmlformats.org/officeDocument/2006/relationships/hyperlink" Id="rId332" Target="https://doi.org/10.1097/JTO.0b013e3181ec173d" TargetMode="External" /><Relationship Type="http://schemas.openxmlformats.org/officeDocument/2006/relationships/hyperlink" Id="rId384" Target="https://doi.org/10.1111/add.13479" TargetMode="External" /><Relationship Type="http://schemas.openxmlformats.org/officeDocument/2006/relationships/hyperlink" Id="rId219" Target="https://doi.org/10.1111/ajad.12784" TargetMode="External" /><Relationship Type="http://schemas.openxmlformats.org/officeDocument/2006/relationships/hyperlink" Id="rId407" Target="https://doi.org/10.1111/j.1530-0277.1984.tb05523.x" TargetMode="External" /><Relationship Type="http://schemas.openxmlformats.org/officeDocument/2006/relationships/hyperlink" Id="rId380" Target="https://doi.org/10.1111/j.1530-0277.2006.00263.x" TargetMode="External" /><Relationship Type="http://schemas.openxmlformats.org/officeDocument/2006/relationships/hyperlink" Id="rId327" Target="https://doi.org/10.1111/jrh.70076" TargetMode="External" /><Relationship Type="http://schemas.openxmlformats.org/officeDocument/2006/relationships/hyperlink" Id="rId231" Target="https://doi.org/10.1136/bmj-2023-078378" TargetMode="External" /><Relationship Type="http://schemas.openxmlformats.org/officeDocument/2006/relationships/hyperlink" Id="rId438" Target="https://doi.org/10.1145/1629890.1629897" TargetMode="External" /><Relationship Type="http://schemas.openxmlformats.org/officeDocument/2006/relationships/hyperlink" Id="rId297" Target="https://doi.org/10.1145/1867699.1867704" TargetMode="External" /><Relationship Type="http://schemas.openxmlformats.org/officeDocument/2006/relationships/hyperlink" Id="rId378" Target="https://doi.org/10.1146/annurev-clinpsy-021815-093351" TargetMode="External" /><Relationship Type="http://schemas.openxmlformats.org/officeDocument/2006/relationships/hyperlink" Id="rId349" Target="https://doi.org/10.1146/annurev-clinpsy-032816-044949" TargetMode="External" /><Relationship Type="http://schemas.openxmlformats.org/officeDocument/2006/relationships/hyperlink" Id="rId273"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1" Target="https://doi.org/10.1176/appi.ajp.2014.13081055" TargetMode="External" /><Relationship Type="http://schemas.openxmlformats.org/officeDocument/2006/relationships/hyperlink" Id="rId285" Target="https://doi.org/10.1176/appi.ajp.21090963" TargetMode="External" /><Relationship Type="http://schemas.openxmlformats.org/officeDocument/2006/relationships/hyperlink" Id="rId235" Target="https://doi.org/10.1176/ps.62.11.pss6211_1273" TargetMode="External" /><Relationship Type="http://schemas.openxmlformats.org/officeDocument/2006/relationships/hyperlink" Id="rId336" Target="https://doi.org/10.1177/00333549211041554" TargetMode="External" /><Relationship Type="http://schemas.openxmlformats.org/officeDocument/2006/relationships/hyperlink" Id="rId398" Target="https://doi.org/10.1177/0261927X09351676" TargetMode="External" /><Relationship Type="http://schemas.openxmlformats.org/officeDocument/2006/relationships/hyperlink" Id="rId370" Target="https://doi.org/10.1177/1073191114540320" TargetMode="External" /><Relationship Type="http://schemas.openxmlformats.org/officeDocument/2006/relationships/hyperlink" Id="rId428" Target="https://doi.org/10.1177/1073191116653829" TargetMode="External" /><Relationship Type="http://schemas.openxmlformats.org/officeDocument/2006/relationships/hyperlink" Id="rId444" Target="https://doi.org/10.1177/1077558712458541" TargetMode="External" /><Relationship Type="http://schemas.openxmlformats.org/officeDocument/2006/relationships/hyperlink" Id="rId388" Target="https://doi.org/10.1177/1178221820976988" TargetMode="External" /><Relationship Type="http://schemas.openxmlformats.org/officeDocument/2006/relationships/hyperlink" Id="rId400" Target="https://doi.org/10.1177/17456916221134490" TargetMode="External" /><Relationship Type="http://schemas.openxmlformats.org/officeDocument/2006/relationships/hyperlink" Id="rId320" Target="https://doi.org/10.1214/17-EJS1338SI" TargetMode="External" /><Relationship Type="http://schemas.openxmlformats.org/officeDocument/2006/relationships/hyperlink" Id="rId411" Target="https://doi.org/10.1377/hlthaff.20.6.64" TargetMode="External" /><Relationship Type="http://schemas.openxmlformats.org/officeDocument/2006/relationships/hyperlink" Id="rId375" Target="https://doi.org/10.1377/hlthaff.2011.0983" TargetMode="External" /><Relationship Type="http://schemas.openxmlformats.org/officeDocument/2006/relationships/hyperlink" Id="rId223" Target="https://doi.org/10.21231/GNT1-HW21" TargetMode="External" /><Relationship Type="http://schemas.openxmlformats.org/officeDocument/2006/relationships/hyperlink" Id="rId352"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32" Target="https://doi.org/10.2196/41833" TargetMode="External" /><Relationship Type="http://schemas.openxmlformats.org/officeDocument/2006/relationships/hyperlink" Id="rId366" Target="https://doi.org/10.2196/73265" TargetMode="External" /><Relationship Type="http://schemas.openxmlformats.org/officeDocument/2006/relationships/hyperlink" Id="rId434" Target="https://doi.org/10.2196/81697" TargetMode="External" /><Relationship Type="http://schemas.openxmlformats.org/officeDocument/2006/relationships/hyperlink" Id="rId288" Target="https://doi.org/10.2196/mental.9777" TargetMode="External" /><Relationship Type="http://schemas.openxmlformats.org/officeDocument/2006/relationships/hyperlink" Id="rId442" Target="https://doi.org/10.2196/mhealth.9117" TargetMode="External" /><Relationship Type="http://schemas.openxmlformats.org/officeDocument/2006/relationships/hyperlink" Id="rId436" Target="https://doi.org/10.31234/osf.io/cgsf7" TargetMode="External" /><Relationship Type="http://schemas.openxmlformats.org/officeDocument/2006/relationships/hyperlink" Id="rId343" Target="https://doi.org/10.35946/arcr.v41.1.01" TargetMode="External" /><Relationship Type="http://schemas.openxmlformats.org/officeDocument/2006/relationships/hyperlink" Id="rId246" Target="https://doi.org/10.48550/arXiv.1810.04805" TargetMode="External" /><Relationship Type="http://schemas.openxmlformats.org/officeDocument/2006/relationships/hyperlink" Id="rId261" Target="https://doi.org/10.5555/ajhb.2007.31.supp.S47" TargetMode="External" /><Relationship Type="http://schemas.openxmlformats.org/officeDocument/2006/relationships/hyperlink" Id="rId446" Target="https://doi.org/10.7326/M14-0295" TargetMode="External" /><Relationship Type="http://schemas.openxmlformats.org/officeDocument/2006/relationships/hyperlink" Id="rId303" Target="https://doi.org/10/gfsjzg" TargetMode="External" /><Relationship Type="http://schemas.openxmlformats.org/officeDocument/2006/relationships/hyperlink" Id="rId259"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1" Target="https://www.ncbi.nlm.nih.gov/pmc/articles/PMC2797101" TargetMode="External" /><Relationship Type="http://schemas.openxmlformats.org/officeDocument/2006/relationships/hyperlink" Id="rId419" Target="https://www.ncbi.nlm.nih.gov/pubmed/12199834" TargetMode="External" /><Relationship Type="http://schemas.openxmlformats.org/officeDocument/2006/relationships/hyperlink" Id="rId354" Target="https://www.ncbi.nlm.nih.gov/pubmed/20669516" TargetMode="External" /><Relationship Type="http://schemas.openxmlformats.org/officeDocument/2006/relationships/hyperlink" Id="rId394"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2026-03-30T20:36:23Z</dcterms:created>
  <dcterms:modified xsi:type="dcterms:W3CDTF">2026-03-30T20:36:23Z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r-hidden-classes">
    <vt:lpwstr>none</vt:lpwstr>
  </property>
  <property fmtid="{D5CDD505-2E9C-101B-9397-08002B2CF9AE}" pid="7" name="csl">
    <vt:lpwstr>https://raw.githubusercontent.com/citation-style-language/styles/master/apa.csl</vt:lpwstr>
  </property>
  <property fmtid="{D5CDD505-2E9C-101B-9397-08002B2CF9AE}" pid="8" name="date">
    <vt:lpwstr>2026-03-30</vt:lpwstr>
  </property>
  <property fmtid="{D5CDD505-2E9C-101B-9397-08002B2CF9AE}" pid="9" name="editor_options">
    <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Predicting Lapse Risk in Substance Use Disorders Using Machine Learning</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