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19.png" ContentType="image/png"/>
  <Override PartName="/word/media/rId72.jpg" ContentType="image/jpeg"/>
  <Override PartName="/word/media/rId13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37"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Start w:id="124"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2" w:name="fig-2-lag"/>
          <w:p>
            <w:pPr>
              <w:pStyle w:val="Compact"/>
              <w:jc w:val="center"/>
            </w:pPr>
            <w:r>
              <w:drawing>
                <wp:inline>
                  <wp:extent cx="5334000" cy="4572000"/>
                  <wp:effectExtent b="0" l="0" r="0" t="0"/>
                  <wp:docPr descr="" title="" id="120" name="Picture"/>
                  <a:graphic>
                    <a:graphicData uri="http://schemas.openxmlformats.org/drawingml/2006/picture">
                      <pic:pic>
                        <pic:nvPicPr>
                          <pic:cNvPr descr="index_files/figure-docx/notebooks-figures-fig-2-lag-output-1.png" id="121" name="Picture"/>
                          <pic:cNvPicPr>
                            <a:picLocks noChangeArrowheads="1" noChangeAspect="1"/>
                          </pic:cNvPicPr>
                        </pic:nvPicPr>
                        <pic:blipFill>
                          <a:blip r:embed="rId11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Make All Figures for Dissertation</w:t>
        </w:r>
      </w:hyperlink>
    </w:p>
    <w:bookmarkEnd w:id="124"/>
    <w:bookmarkStart w:id="127"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5"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5"/>
          <w:p/>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Tables for Dissertation</w:t>
        </w:r>
      </w:hyperlink>
    </w:p>
    <w:bookmarkEnd w:id="127"/>
    <w:bookmarkStart w:id="130"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8"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8"/>
          <w:p/>
        </w:tc>
      </w:tr>
    </w:tbl>
    <w:p>
      <w:pPr>
        <w:pStyle w:val="BodyText"/>
      </w:pPr>
      <w:r>
        <w:rPr>
          <w:vertAlign w:val="subscript"/>
        </w:rPr>
        <w:t xml:space="preserve">Source:</w:t>
      </w:r>
      <w:r>
        <w:rPr>
          <w:vertAlign w:val="subscript"/>
        </w:rPr>
        <w:t xml:space="preserve"> </w:t>
      </w:r>
      <w:hyperlink r:id="rId129">
        <w:r>
          <w:rPr>
            <w:rStyle w:val="Hyperlink"/>
            <w:vertAlign w:val="subscript"/>
          </w:rPr>
          <w:t xml:space="preserve">Make All Tables for Dissertation</w:t>
        </w:r>
      </w:hyperlink>
    </w:p>
    <w:bookmarkEnd w:id="130"/>
    <w:bookmarkStart w:id="136"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4" w:name="fig-3-lag"/>
          <w:p>
            <w:pPr>
              <w:pStyle w:val="Compact"/>
              <w:jc w:val="center"/>
            </w:pPr>
            <w:r>
              <w:drawing>
                <wp:inline>
                  <wp:extent cx="5334000" cy="3333750"/>
                  <wp:effectExtent b="0" l="0" r="0" t="0"/>
                  <wp:docPr descr="" title="" id="132" name="Picture"/>
                  <a:graphic>
                    <a:graphicData uri="http://schemas.openxmlformats.org/drawingml/2006/picture">
                      <pic:pic>
                        <pic:nvPicPr>
                          <pic:cNvPr descr="index_files/figure-docx/notebooks-figures-fig-3-lag-output-1.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4"/>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Make All Figures for Dissertation</w:t>
        </w:r>
      </w:hyperlink>
    </w:p>
    <w:bookmarkEnd w:id="136"/>
    <w:bookmarkEnd w:id="137"/>
    <w:bookmarkStart w:id="142" w:name="discussion-1"/>
    <w:p>
      <w:pPr>
        <w:pStyle w:val="Heading2"/>
      </w:pPr>
      <w:r>
        <w:t xml:space="preserve">3.4 Discussion</w:t>
      </w:r>
    </w:p>
    <w:bookmarkStart w:id="138"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8"/>
    <w:bookmarkStart w:id="139" w:name="model-fairness"/>
    <w:p>
      <w:pPr>
        <w:pStyle w:val="Heading3"/>
      </w:pPr>
      <w:r>
        <w:t xml:space="preserve">3.4.2 Model Fairness</w:t>
      </w:r>
    </w:p>
    <w:p>
      <w:pPr>
        <w:pStyle w:val="FirstParagraph"/>
      </w:pPr>
      <w:r>
        <w:t xml:space="preserve">In Chapter 2,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9"/>
    <w:bookmarkStart w:id="140"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(Wyant et al., 2025)</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0"/>
    <w:bookmarkStart w:id="141"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1"/>
    <w:bookmarkEnd w:id="142"/>
    <w:bookmarkEnd w:id="143"/>
    <w:bookmarkStart w:id="144" w:name="Xb01b715a71d3cc3f262d360703a81420bd8b11f"/>
    <w:p>
      <w:pPr>
        <w:pStyle w:val="Heading1"/>
      </w:pPr>
      <w:r>
        <w:t xml:space="preserve">4. Using sensing data to predict opioid lapse risk in a national sample of patients with opioid use disorder</w:t>
      </w:r>
    </w:p>
    <w:bookmarkEnd w:id="144"/>
    <w:bookmarkStart w:id="343" w:name="discussion-2"/>
    <w:p>
      <w:pPr>
        <w:pStyle w:val="Heading1"/>
      </w:pPr>
      <w:r>
        <w:t xml:space="preserve">5. Discussion</w:t>
      </w:r>
    </w:p>
    <w:bookmarkStart w:id="145" w:name="summary"/>
    <w:p>
      <w:pPr>
        <w:pStyle w:val="Heading2"/>
      </w:pPr>
      <w:r>
        <w:t xml:space="preserve">5.1 Summary</w:t>
      </w:r>
    </w:p>
    <w:p>
      <w:pPr>
        <w:pStyle w:val="FirstParagraph"/>
      </w:pPr>
      <w:r>
        <w:t xml:space="preserve">This series of studies sought to develop fair and temporally precise machine learning models for predicting lapses back to substance use that could be used in a recovery monitoring support system.</w:t>
      </w:r>
    </w:p>
    <w:p>
      <w:pPr>
        <w:pStyle w:val="BodyText"/>
      </w:pPr>
      <w:r>
        <w:t xml:space="preserve">Our models perferformed well across varying prediction window widths (one week, one day, and one hour), varying lag times between the prediction timepoint and the start of the prediction window (no lag, 1 day, 3 days, 1 week, and 2 weeks), and different substances (alcohol and opioid).</w:t>
      </w:r>
    </w:p>
    <w:p>
      <w:pPr>
        <w:pStyle w:val="BodyText"/>
      </w:pPr>
      <w:r>
        <w:t xml:space="preserve">EMA remains to be a feasible and predictive signal even when measured over a year. We found geolocation data (via our sensing method) did not add unique predictive value. However, geolocation features did emerge as important features in the model, thus expanding the range of risk factors that can be intervened on.</w:t>
      </w:r>
    </w:p>
    <w:p>
      <w:pPr>
        <w:pStyle w:val="BodyText"/>
      </w:pPr>
      <w:r>
        <w:t xml:space="preserve">Models performed fairly when demographic groups were sufficiently represented in the training data.</w:t>
      </w:r>
    </w:p>
    <w:p>
      <w:pPr>
        <w:pStyle w:val="BodyText"/>
      </w:pPr>
      <w:r>
        <w:t xml:space="preserve">Past use, craving, and abstinence self-efficacy were among the top important features for both alcohol and opioid lapse prediction models.</w:t>
      </w:r>
    </w:p>
    <w:p>
      <w:pPr>
        <w:pStyle w:val="BodyText"/>
      </w:pPr>
      <w:r>
        <w:t xml:space="preserve">Day of prediction window was an important feature for predicting lapses in AUD, but not in OUD. This may be due to differences in the temporal patterns of use for these substances. For example, alcohol use may be more likely to occur on weekends, while opioid use may not have such a strong temporal pattern.</w:t>
      </w:r>
    </w:p>
    <w:p>
      <w:pPr>
        <w:pStyle w:val="BodyText"/>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bookmarkEnd w:id="145"/>
    <w:bookmarkStart w:id="146" w:name="limitations"/>
    <w:p>
      <w:pPr>
        <w:pStyle w:val="Heading2"/>
      </w:pPr>
      <w:r>
        <w:t xml:space="preserve">5.2 Limitations</w:t>
      </w:r>
    </w:p>
    <w:p>
      <w:pPr>
        <w:numPr>
          <w:ilvl w:val="0"/>
          <w:numId w:val="1006"/>
        </w:numPr>
      </w:pPr>
      <w:r>
        <w:t xml:space="preserve">Abstinence only samples</w:t>
      </w:r>
    </w:p>
    <w:p>
      <w:pPr>
        <w:numPr>
          <w:ilvl w:val="0"/>
          <w:numId w:val="1006"/>
        </w:numPr>
      </w:pPr>
      <w:r>
        <w:t xml:space="preserve">Diversity of training data could be improved</w:t>
      </w:r>
    </w:p>
    <w:p>
      <w:pPr>
        <w:numPr>
          <w:ilvl w:val="0"/>
          <w:numId w:val="1006"/>
        </w:numPr>
      </w:pPr>
      <w:r>
        <w:t xml:space="preserve">idiographic models/state space models</w:t>
      </w:r>
    </w:p>
    <w:p>
      <w:pPr>
        <w:numPr>
          <w:ilvl w:val="0"/>
          <w:numId w:val="1006"/>
        </w:numPr>
      </w:pPr>
      <w:r>
        <w:t xml:space="preserve">Expand risk factors(started to look at geolocation features - but sensing method could be improved, other potential sensing methods?) -</w:t>
      </w:r>
    </w:p>
    <w:bookmarkEnd w:id="146"/>
    <w:bookmarkStart w:id="147" w:name="recovery-monitoring-support-system"/>
    <w:p>
      <w:pPr>
        <w:pStyle w:val="Heading2"/>
      </w:pPr>
      <w:r>
        <w:t xml:space="preserve">5.3 Recovery Monitoring Support System</w:t>
      </w:r>
    </w:p>
    <w:p>
      <w:pPr>
        <w:numPr>
          <w:ilvl w:val="0"/>
          <w:numId w:val="1007"/>
        </w:numPr>
      </w:pPr>
      <w:r>
        <w:t xml:space="preserve">Where this puts us in terms of feasibility (people provide data for up to 1 year and data yields accurate predictions of next day alcohol and opioid use)</w:t>
      </w:r>
    </w:p>
    <w:p>
      <w:pPr>
        <w:numPr>
          <w:ilvl w:val="0"/>
          <w:numId w:val="1007"/>
        </w:numPr>
      </w:pPr>
      <w:r>
        <w:t xml:space="preserve">Optimize the delivery of risk-relevant feedback</w:t>
      </w:r>
    </w:p>
    <w:p>
      <w:pPr>
        <w:numPr>
          <w:ilvl w:val="0"/>
          <w:numId w:val="1007"/>
        </w:numPr>
      </w:pPr>
      <w:r>
        <w:t xml:space="preserve">Discuss treatment matching to top featutres</w:t>
      </w:r>
    </w:p>
    <w:p>
      <w:pPr>
        <w:numPr>
          <w:ilvl w:val="0"/>
          <w:numId w:val="1007"/>
        </w:numPr>
      </w:pPr>
      <w:r>
        <w:t xml:space="preserve">other ways to personalize, recommendation based on Shapley and risk probability?</w:t>
      </w:r>
    </w:p>
    <w:bookmarkEnd w:id="147"/>
    <w:bookmarkStart w:id="148" w:name="considerations-for-real-world-deployment"/>
    <w:p>
      <w:pPr>
        <w:pStyle w:val="Heading2"/>
      </w:pPr>
      <w:r>
        <w:t xml:space="preserve">5.4 Considerations for Real World Deployment</w:t>
      </w:r>
    </w:p>
    <w:p>
      <w:pPr>
        <w:pStyle w:val="Compact"/>
        <w:numPr>
          <w:ilvl w:val="0"/>
          <w:numId w:val="1008"/>
        </w:numPr>
      </w:pPr>
      <w:r>
        <w:t xml:space="preserve">re-evaluating for performance drift, updating with data from target sample,</w:t>
      </w:r>
    </w:p>
    <w:bookmarkEnd w:id="148"/>
    <w:bookmarkStart w:id="149" w:name="additional-future-directions"/>
    <w:p>
      <w:pPr>
        <w:pStyle w:val="Heading2"/>
      </w:pPr>
      <w:r>
        <w:t xml:space="preserve">5.5 Additional Future Directions</w:t>
      </w:r>
    </w:p>
    <w:p>
      <w:pPr>
        <w:pStyle w:val="Compact"/>
        <w:numPr>
          <w:ilvl w:val="0"/>
          <w:numId w:val="1009"/>
        </w:numPr>
      </w:pPr>
      <w:r>
        <w:t xml:space="preserve">return to continuum of care.</w:t>
      </w:r>
    </w:p>
    <w:p>
      <w:pPr>
        <w:pStyle w:val="Compact"/>
        <w:numPr>
          <w:ilvl w:val="0"/>
          <w:numId w:val="1009"/>
        </w:numPr>
      </w:pPr>
      <w:r>
        <w:t xml:space="preserve">Still have structural issues for getting access to treatment.</w:t>
      </w:r>
    </w:p>
    <w:p>
      <w:pPr>
        <w:pStyle w:val="Compact"/>
        <w:numPr>
          <w:ilvl w:val="0"/>
          <w:numId w:val="1009"/>
        </w:numPr>
      </w:pPr>
      <w:r>
        <w:t xml:space="preserve">Hint at ai being helpful in these areas as well</w:t>
      </w:r>
    </w:p>
    <w:p>
      <w:pPr>
        <w:pStyle w:val="Compact"/>
        <w:numPr>
          <w:ilvl w:val="0"/>
          <w:numId w:val="1009"/>
        </w:numPr>
      </w:pPr>
      <w:r>
        <w:t xml:space="preserve">Right now we’re using our model outputs us inputs into an LLM But, we could imagine in the near future using them as inputs into agentic AI systems that could automatically deliver personalized recommendations or even directly engage with individuals to help them implement recommendations and facilitate connections to therapists and other care providers when risk levels are high (triage).</w:t>
      </w:r>
    </w:p>
    <w:bookmarkEnd w:id="149"/>
    <w:bookmarkStart w:id="342" w:name="conclusions"/>
    <w:p>
      <w:pPr>
        <w:pStyle w:val="Heading2"/>
      </w:pPr>
      <w:r>
        <w:t xml:space="preserve">5.6 Conclusions</w:t>
      </w:r>
    </w:p>
    <w:bookmarkStart w:id="341" w:name="refs"/>
    <w:bookmarkStart w:id="151"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50">
        <w:r>
          <w:rPr>
            <w:rStyle w:val="Hyperlink"/>
          </w:rPr>
          <w:t xml:space="preserve">https://doi.org/10.1007/s40429-023-00492-5</w:t>
        </w:r>
      </w:hyperlink>
    </w:p>
    <w:bookmarkEnd w:id="151"/>
    <w:bookmarkStart w:id="152"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52"/>
    <w:bookmarkStart w:id="154"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53">
        <w:r>
          <w:rPr>
            <w:rStyle w:val="Hyperlink"/>
          </w:rPr>
          <w:t xml:space="preserve">https://doi.org/10.2196/39862</w:t>
        </w:r>
      </w:hyperlink>
    </w:p>
    <w:bookmarkEnd w:id="154"/>
    <w:bookmarkStart w:id="156"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55">
        <w:r>
          <w:rPr>
            <w:rStyle w:val="Hyperlink"/>
          </w:rPr>
          <w:t xml:space="preserve">https://doi.org/10.1016/j.addbeh.2017.11.039</w:t>
        </w:r>
      </w:hyperlink>
    </w:p>
    <w:bookmarkEnd w:id="156"/>
    <w:bookmarkStart w:id="15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7">
        <w:r>
          <w:rPr>
            <w:rStyle w:val="Hyperlink"/>
          </w:rPr>
          <w:t xml:space="preserve">https://doi.org/10.1007/s10488-016-0718-5</w:t>
        </w:r>
      </w:hyperlink>
    </w:p>
    <w:bookmarkEnd w:id="158"/>
    <w:bookmarkStart w:id="15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59"/>
    <w:bookmarkStart w:id="16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60">
        <w:r>
          <w:rPr>
            <w:rStyle w:val="Hyperlink"/>
          </w:rPr>
          <w:t xml:space="preserve">https://doi.org/10.1001/jamapsychiatry.2013.4546</w:t>
        </w:r>
      </w:hyperlink>
    </w:p>
    <w:bookmarkEnd w:id="161"/>
    <w:bookmarkStart w:id="16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62">
        <w:r>
          <w:rPr>
            <w:rStyle w:val="Hyperlink"/>
          </w:rPr>
          <w:t xml:space="preserve">https://doi.org/10.1146/annurev.clinpsy.3.022806.091455</w:t>
        </w:r>
      </w:hyperlink>
    </w:p>
    <w:bookmarkEnd w:id="163"/>
    <w:bookmarkStart w:id="16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64">
        <w:r>
          <w:rPr>
            <w:rStyle w:val="Hyperlink"/>
          </w:rPr>
          <w:t xml:space="preserve">https://doi.org/10.1016/j.drugalcdep.2022.109362</w:t>
        </w:r>
      </w:hyperlink>
    </w:p>
    <w:bookmarkEnd w:id="165"/>
    <w:bookmarkStart w:id="16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6">
        <w:r>
          <w:rPr>
            <w:rStyle w:val="Hyperlink"/>
          </w:rPr>
          <w:t xml:space="preserve">https://doi.org/10.1111/ajad.12784</w:t>
        </w:r>
      </w:hyperlink>
    </w:p>
    <w:bookmarkEnd w:id="167"/>
    <w:bookmarkStart w:id="16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8">
        <w:r>
          <w:rPr>
            <w:rStyle w:val="Hyperlink"/>
          </w:rPr>
          <w:t xml:space="preserve">https://doi.org/10.1176/appi.ajp.2014.13081055</w:t>
        </w:r>
      </w:hyperlink>
    </w:p>
    <w:bookmarkEnd w:id="169"/>
    <w:bookmarkStart w:id="1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70">
        <w:r>
          <w:rPr>
            <w:rStyle w:val="Hyperlink"/>
          </w:rPr>
          <w:t xml:space="preserve">https://doi.org/10.21231/GNT1-HW21</w:t>
        </w:r>
      </w:hyperlink>
    </w:p>
    <w:bookmarkEnd w:id="171"/>
    <w:bookmarkStart w:id="17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72"/>
    <w:bookmarkStart w:id="17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73">
        <w:r>
          <w:rPr>
            <w:rStyle w:val="Hyperlink"/>
          </w:rPr>
          <w:t xml:space="preserve">https://doi.org/10.1016/j.jsat.2013.08.004</w:t>
        </w:r>
      </w:hyperlink>
    </w:p>
    <w:bookmarkEnd w:id="174"/>
    <w:bookmarkStart w:id="17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75">
        <w:r>
          <w:rPr>
            <w:rStyle w:val="Hyperlink"/>
          </w:rPr>
          <w:t xml:space="preserve">https://doi.org/10.1016/j.drugalcdep.2014.10.004</w:t>
        </w:r>
      </w:hyperlink>
    </w:p>
    <w:bookmarkEnd w:id="176"/>
    <w:bookmarkStart w:id="17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7">
        <w:r>
          <w:rPr>
            <w:rStyle w:val="Hyperlink"/>
          </w:rPr>
          <w:t xml:space="preserve">https://doi.org/10.1007/978-3-319-72206-1</w:t>
        </w:r>
      </w:hyperlink>
    </w:p>
    <w:bookmarkEnd w:id="178"/>
    <w:bookmarkStart w:id="18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79">
        <w:r>
          <w:rPr>
            <w:rStyle w:val="Hyperlink"/>
          </w:rPr>
          <w:t xml:space="preserve">https://doi.org/10.1176/ps.62.11.pss6211_1273</w:t>
        </w:r>
      </w:hyperlink>
    </w:p>
    <w:bookmarkEnd w:id="180"/>
    <w:bookmarkStart w:id="18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81">
        <w:r>
          <w:rPr>
            <w:rStyle w:val="Hyperlink"/>
          </w:rPr>
          <w:t xml:space="preserve">https://doi.org/10.1093/oxfordhb/9780190067991.013.9</w:t>
        </w:r>
      </w:hyperlink>
    </w:p>
    <w:bookmarkEnd w:id="182"/>
    <w:bookmarkStart w:id="184" w:name="ref-dennisManagingAddictionChronic2007"/>
    <w:p>
      <w:pPr>
        <w:pStyle w:val="Bibliography"/>
      </w:pPr>
      <w:r>
        <w:t xml:space="preserve">Dennis, M., &amp; Scott, C. K. (2007).</w:t>
      </w:r>
      <w:r>
        <w:t xml:space="preserve"> </w:t>
      </w:r>
      <w:hyperlink r:id="rId18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84"/>
    <w:bookmarkStart w:id="185"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85"/>
    <w:bookmarkStart w:id="187"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86">
        <w:r>
          <w:rPr>
            <w:rStyle w:val="Hyperlink"/>
          </w:rPr>
          <w:t xml:space="preserve">https://doi.org/10.1016/j.brat.2019.103506</w:t>
        </w:r>
      </w:hyperlink>
    </w:p>
    <w:bookmarkEnd w:id="187"/>
    <w:bookmarkStart w:id="18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88">
        <w:r>
          <w:rPr>
            <w:rStyle w:val="Hyperlink"/>
          </w:rPr>
          <w:t xml:space="preserve">https://doi.org/10.1037/adb0000292</w:t>
        </w:r>
      </w:hyperlink>
    </w:p>
    <w:bookmarkEnd w:id="189"/>
    <w:bookmarkStart w:id="19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90">
        <w:r>
          <w:rPr>
            <w:rStyle w:val="Hyperlink"/>
          </w:rPr>
          <w:t xml:space="preserve">https://doi.org/10.1016/j.cmpb.2016.09.016</w:t>
        </w:r>
      </w:hyperlink>
    </w:p>
    <w:bookmarkEnd w:id="191"/>
    <w:bookmarkStart w:id="19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92">
        <w:r>
          <w:rPr>
            <w:rStyle w:val="Hyperlink"/>
          </w:rPr>
          <w:t xml:space="preserve">https://doi.org/10.1037/a0037157</w:t>
        </w:r>
      </w:hyperlink>
    </w:p>
    <w:bookmarkEnd w:id="193"/>
    <w:bookmarkStart w:id="19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194">
        <w:r>
          <w:rPr>
            <w:rStyle w:val="Hyperlink"/>
          </w:rPr>
          <w:t xml:space="preserve">https://doi.org/10.1037/pha0000210</w:t>
        </w:r>
      </w:hyperlink>
    </w:p>
    <w:bookmarkEnd w:id="195"/>
    <w:bookmarkStart w:id="19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196">
        <w:r>
          <w:rPr>
            <w:rStyle w:val="Hyperlink"/>
          </w:rPr>
          <w:t xml:space="preserve">https://doi.org/10.1037/abn0000819</w:t>
        </w:r>
      </w:hyperlink>
    </w:p>
    <w:bookmarkEnd w:id="197"/>
    <w:bookmarkStart w:id="199"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198">
        <w:r>
          <w:rPr>
            <w:rStyle w:val="Hyperlink"/>
          </w:rPr>
          <w:t xml:space="preserve">https://doi.org/10/ghqvcw</w:t>
        </w:r>
      </w:hyperlink>
    </w:p>
    <w:bookmarkEnd w:id="199"/>
    <w:bookmarkStart w:id="201"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00">
        <w:r>
          <w:rPr>
            <w:rStyle w:val="Hyperlink"/>
          </w:rPr>
          <w:t xml:space="preserve">https://doi.org/10.1016/j.brat.2019.01.010</w:t>
        </w:r>
      </w:hyperlink>
    </w:p>
    <w:bookmarkEnd w:id="201"/>
    <w:bookmarkStart w:id="20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02">
        <w:r>
          <w:rPr>
            <w:rStyle w:val="Hyperlink"/>
          </w:rPr>
          <w:t xml:space="preserve">https://doi.org/10.1016/j.drugalcdep.2020.108350</w:t>
        </w:r>
      </w:hyperlink>
    </w:p>
    <w:bookmarkEnd w:id="203"/>
    <w:bookmarkStart w:id="20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04">
        <w:r>
          <w:rPr>
            <w:rStyle w:val="Hyperlink"/>
          </w:rPr>
          <w:t xml:space="preserve">https://doi.org/10.1080/10826084.2021.1899225</w:t>
        </w:r>
      </w:hyperlink>
    </w:p>
    <w:bookmarkEnd w:id="205"/>
    <w:bookmarkStart w:id="207"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06">
        <w:r>
          <w:rPr>
            <w:rStyle w:val="Hyperlink"/>
          </w:rPr>
          <w:t xml:space="preserve">https://doi.org/10.1001/jama.2022.2847</w:t>
        </w:r>
      </w:hyperlink>
    </w:p>
    <w:bookmarkEnd w:id="207"/>
    <w:bookmarkStart w:id="209"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08">
        <w:r>
          <w:rPr>
            <w:rStyle w:val="Hyperlink"/>
          </w:rPr>
          <w:t xml:space="preserve">https://doi.org/10.1146/annurev-clinpsy-102419-125016</w:t>
        </w:r>
      </w:hyperlink>
    </w:p>
    <w:bookmarkEnd w:id="209"/>
    <w:bookmarkStart w:id="210"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10"/>
    <w:bookmarkStart w:id="21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11"/>
    <w:bookmarkStart w:id="213"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12">
        <w:r>
          <w:rPr>
            <w:rStyle w:val="Hyperlink"/>
          </w:rPr>
          <w:t xml:space="preserve">https://doi.org/10.1001/jamapsychiatry.2015.0584</w:t>
        </w:r>
      </w:hyperlink>
    </w:p>
    <w:bookmarkEnd w:id="213"/>
    <w:bookmarkStart w:id="21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14">
        <w:r>
          <w:rPr>
            <w:rStyle w:val="Hyperlink"/>
          </w:rPr>
          <w:t xml:space="preserve">https://doi.org/10.1016/j.drugalcdep.2006.05.012</w:t>
        </w:r>
      </w:hyperlink>
    </w:p>
    <w:bookmarkEnd w:id="215"/>
    <w:bookmarkStart w:id="21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16">
        <w:r>
          <w:rPr>
            <w:rStyle w:val="Hyperlink"/>
          </w:rPr>
          <w:t xml:space="preserve">https://doi.org/10.1016/j.drugalcdep.2013.07.027</w:t>
        </w:r>
      </w:hyperlink>
    </w:p>
    <w:bookmarkEnd w:id="217"/>
    <w:bookmarkStart w:id="21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18">
        <w:r>
          <w:rPr>
            <w:rStyle w:val="Hyperlink"/>
          </w:rPr>
          <w:t xml:space="preserve">https://doi.org/10.1001/jamapsychiatry.2013.4642</w:t>
        </w:r>
      </w:hyperlink>
    </w:p>
    <w:bookmarkEnd w:id="219"/>
    <w:bookmarkStart w:id="221"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20">
        <w:r>
          <w:rPr>
            <w:rStyle w:val="Hyperlink"/>
          </w:rPr>
          <w:t xml:space="preserve">https://doi.org/10.1176/appi.ajp.21090963</w:t>
        </w:r>
      </w:hyperlink>
    </w:p>
    <w:bookmarkEnd w:id="221"/>
    <w:bookmarkStart w:id="222"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22"/>
    <w:bookmarkStart w:id="224"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23">
        <w:r>
          <w:rPr>
            <w:rStyle w:val="Hyperlink"/>
          </w:rPr>
          <w:t xml:space="preserve">https://doi.org/10.2196/mental.9777</w:t>
        </w:r>
      </w:hyperlink>
    </w:p>
    <w:bookmarkEnd w:id="224"/>
    <w:bookmarkStart w:id="22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25"/>
    <w:bookmarkStart w:id="22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26">
        <w:r>
          <w:rPr>
            <w:rStyle w:val="Hyperlink"/>
          </w:rPr>
          <w:t xml:space="preserve">https://doi.org/10.1016/j.josat.2025.209685</w:t>
        </w:r>
      </w:hyperlink>
    </w:p>
    <w:bookmarkEnd w:id="227"/>
    <w:bookmarkStart w:id="228"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28"/>
    <w:bookmarkStart w:id="229"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29"/>
    <w:bookmarkStart w:id="230"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30"/>
    <w:bookmarkStart w:id="232"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31">
        <w:r>
          <w:rPr>
            <w:rStyle w:val="Hyperlink"/>
          </w:rPr>
          <w:t xml:space="preserve">https://doi.org/10.1023/A:1008987426876</w:t>
        </w:r>
      </w:hyperlink>
    </w:p>
    <w:bookmarkEnd w:id="232"/>
    <w:bookmarkStart w:id="23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33">
        <w:r>
          <w:rPr>
            <w:rStyle w:val="Hyperlink"/>
          </w:rPr>
          <w:t xml:space="preserve">https://doi.org/10/gfsjzg</w:t>
        </w:r>
      </w:hyperlink>
    </w:p>
    <w:bookmarkEnd w:id="234"/>
    <w:bookmarkStart w:id="235"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35"/>
    <w:bookmarkStart w:id="237"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36">
        <w:r>
          <w:rPr>
            <w:rStyle w:val="Hyperlink"/>
          </w:rPr>
          <w:t xml:space="preserve">https://doi.org/10.1016/j.drugalcdep.2016.10.038</w:t>
        </w:r>
      </w:hyperlink>
    </w:p>
    <w:bookmarkEnd w:id="237"/>
    <w:bookmarkStart w:id="23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38">
        <w:r>
          <w:rPr>
            <w:rStyle w:val="Hyperlink"/>
          </w:rPr>
          <w:t xml:space="preserve">https://doi.org/10.1001/jamanetworkopen.2020.5852</w:t>
        </w:r>
      </w:hyperlink>
    </w:p>
    <w:bookmarkEnd w:id="239"/>
    <w:bookmarkStart w:id="24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40">
        <w:r>
          <w:rPr>
            <w:rStyle w:val="Hyperlink"/>
          </w:rPr>
          <w:t xml:space="preserve">https://doi.org/10.1007/s11920-012-0296-5</w:t>
        </w:r>
      </w:hyperlink>
    </w:p>
    <w:bookmarkEnd w:id="241"/>
    <w:bookmarkStart w:id="24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42">
        <w:r>
          <w:rPr>
            <w:rStyle w:val="Hyperlink"/>
          </w:rPr>
          <w:t xml:space="preserve">https://doi.org/10.1016/j.amepre.2019.08.034</w:t>
        </w:r>
      </w:hyperlink>
    </w:p>
    <w:bookmarkEnd w:id="243"/>
    <w:bookmarkStart w:id="24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44">
        <w:r>
          <w:rPr>
            <w:rStyle w:val="Hyperlink"/>
          </w:rPr>
          <w:t xml:space="preserve">https://doi.org/10.1016/j.cger.2014.04.008</w:t>
        </w:r>
      </w:hyperlink>
    </w:p>
    <w:bookmarkEnd w:id="245"/>
    <w:bookmarkStart w:id="24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46"/>
    <w:bookmarkStart w:id="24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47">
        <w:r>
          <w:rPr>
            <w:rStyle w:val="Hyperlink"/>
          </w:rPr>
          <w:t xml:space="preserve">https://doi.org/10.1007/978-1-4614-6849-3</w:t>
        </w:r>
      </w:hyperlink>
    </w:p>
    <w:bookmarkEnd w:id="248"/>
    <w:bookmarkStart w:id="24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49"/>
    <w:bookmarkStart w:id="251"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50">
        <w:r>
          <w:rPr>
            <w:rStyle w:val="Hyperlink"/>
          </w:rPr>
          <w:t xml:space="preserve">https://doi.org/10.1214/17-EJS1338SI</w:t>
        </w:r>
      </w:hyperlink>
    </w:p>
    <w:bookmarkEnd w:id="251"/>
    <w:bookmarkStart w:id="252"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52"/>
    <w:bookmarkStart w:id="254"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53">
        <w:r>
          <w:rPr>
            <w:rStyle w:val="Hyperlink"/>
          </w:rPr>
          <w:t xml:space="preserve">https://doi.org/10.1080/00952990.2019.1694536</w:t>
        </w:r>
      </w:hyperlink>
    </w:p>
    <w:bookmarkEnd w:id="254"/>
    <w:bookmarkStart w:id="25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55"/>
    <w:bookmarkStart w:id="25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56">
        <w:r>
          <w:rPr>
            <w:rStyle w:val="Hyperlink"/>
          </w:rPr>
          <w:t xml:space="preserve">https://doi.org/10.1097/JTO.0b013e3181ec173d</w:t>
        </w:r>
      </w:hyperlink>
    </w:p>
    <w:bookmarkEnd w:id="257"/>
    <w:bookmarkStart w:id="25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58"/>
    <w:bookmarkStart w:id="25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59"/>
    <w:bookmarkStart w:id="260"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60"/>
    <w:bookmarkStart w:id="262"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61">
        <w:r>
          <w:rPr>
            <w:rStyle w:val="Hyperlink"/>
          </w:rPr>
          <w:t xml:space="preserve">https://doi.org/10.1016/j.cpr.2017.10.012</w:t>
        </w:r>
      </w:hyperlink>
    </w:p>
    <w:bookmarkEnd w:id="262"/>
    <w:bookmarkStart w:id="264"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63">
        <w:r>
          <w:rPr>
            <w:rStyle w:val="Hyperlink"/>
          </w:rPr>
          <w:t xml:space="preserve">https://doi.org/10.35946/arcr.v41.1.01</w:t>
        </w:r>
      </w:hyperlink>
    </w:p>
    <w:bookmarkEnd w:id="264"/>
    <w:bookmarkStart w:id="26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65">
        <w:r>
          <w:rPr>
            <w:rStyle w:val="Hyperlink"/>
          </w:rPr>
          <w:t xml:space="preserve">https://doi.org/10.1001/jama.284.13.1689</w:t>
        </w:r>
      </w:hyperlink>
    </w:p>
    <w:bookmarkEnd w:id="266"/>
    <w:bookmarkStart w:id="268"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67">
        <w:r>
          <w:rPr>
            <w:rStyle w:val="Hyperlink"/>
          </w:rPr>
          <w:t xml:space="preserve">https://doi.org/10.1016/j.drugalcdep.2021.108706</w:t>
        </w:r>
      </w:hyperlink>
    </w:p>
    <w:bookmarkEnd w:id="268"/>
    <w:bookmarkStart w:id="27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69">
        <w:r>
          <w:rPr>
            <w:rStyle w:val="Hyperlink"/>
          </w:rPr>
          <w:t xml:space="preserve">https://doi.org/10.1146/annurev-clinpsy-032816-044949</w:t>
        </w:r>
      </w:hyperlink>
    </w:p>
    <w:bookmarkEnd w:id="270"/>
    <w:bookmarkStart w:id="271"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71"/>
    <w:bookmarkStart w:id="27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72">
        <w:r>
          <w:rPr>
            <w:rStyle w:val="Hyperlink"/>
          </w:rPr>
          <w:t xml:space="preserve">https://doi.org/10.2196/29563</w:t>
        </w:r>
      </w:hyperlink>
    </w:p>
    <w:bookmarkEnd w:id="273"/>
    <w:bookmarkStart w:id="275" w:name="X8bb79cdd23e0a8d99e4f9b0c203aaa22c56a953"/>
    <w:p>
      <w:pPr>
        <w:pStyle w:val="Bibliography"/>
      </w:pPr>
      <w:r>
        <w:t xml:space="preserve">Office of the Surgeon General (US), Center for Mental Health Services (US), &amp; National Institute of Mental Health (US). (2001).</w:t>
      </w:r>
      <w:r>
        <w:t xml:space="preserve"> </w:t>
      </w:r>
      <w:hyperlink r:id="rId274">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75"/>
    <w:bookmarkStart w:id="27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76">
        <w:r>
          <w:rPr>
            <w:rStyle w:val="Hyperlink"/>
          </w:rPr>
          <w:t xml:space="preserve">https://doi.org/10.1016/j.jsat.2021.108710</w:t>
        </w:r>
      </w:hyperlink>
    </w:p>
    <w:bookmarkEnd w:id="277"/>
    <w:bookmarkStart w:id="27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78">
        <w:r>
          <w:rPr>
            <w:rStyle w:val="Hyperlink"/>
          </w:rPr>
          <w:t xml:space="preserve">https://doi.org/10.1037/tps0000250</w:t>
        </w:r>
      </w:hyperlink>
    </w:p>
    <w:bookmarkEnd w:id="279"/>
    <w:bookmarkStart w:id="28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80"/>
    <w:bookmarkStart w:id="28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81">
        <w:r>
          <w:rPr>
            <w:rStyle w:val="Hyperlink"/>
          </w:rPr>
          <w:t xml:space="preserve">https://doi.org/10.1016/j.drugalcdep.2019.05.017</w:t>
        </w:r>
      </w:hyperlink>
    </w:p>
    <w:bookmarkEnd w:id="282"/>
    <w:bookmarkStart w:id="284"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83">
        <w:r>
          <w:rPr>
            <w:rStyle w:val="Hyperlink"/>
          </w:rPr>
          <w:t xml:space="preserve">https://doi.org/10.1037/0003-066X.47.9.1102</w:t>
        </w:r>
      </w:hyperlink>
    </w:p>
    <w:bookmarkEnd w:id="284"/>
    <w:bookmarkStart w:id="286"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285">
        <w:r>
          <w:rPr>
            <w:rStyle w:val="Hyperlink"/>
          </w:rPr>
          <w:t xml:space="preserve">https://doi.org/10.2196/73265</w:t>
        </w:r>
      </w:hyperlink>
    </w:p>
    <w:bookmarkEnd w:id="286"/>
    <w:bookmarkStart w:id="287"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87"/>
    <w:bookmarkStart w:id="289"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88">
        <w:r>
          <w:rPr>
            <w:rStyle w:val="Hyperlink"/>
          </w:rPr>
          <w:t xml:space="preserve">https://doi.org/10.1037/adb0000550</w:t>
        </w:r>
      </w:hyperlink>
    </w:p>
    <w:bookmarkEnd w:id="289"/>
    <w:bookmarkStart w:id="291"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290">
        <w:r>
          <w:rPr>
            <w:rStyle w:val="Hyperlink"/>
          </w:rPr>
          <w:t xml:space="preserve">https://doi.org/10.1377/hlthaff.2011.0983</w:t>
        </w:r>
      </w:hyperlink>
    </w:p>
    <w:bookmarkEnd w:id="291"/>
    <w:bookmarkStart w:id="292"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2"/>
    <w:bookmarkStart w:id="294"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293">
        <w:r>
          <w:rPr>
            <w:rStyle w:val="Hyperlink"/>
          </w:rPr>
          <w:t xml:space="preserve">https://doi.org/10.1146/annurev-clinpsy-021815-093351</w:t>
        </w:r>
      </w:hyperlink>
    </w:p>
    <w:bookmarkEnd w:id="294"/>
    <w:bookmarkStart w:id="29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295">
        <w:r>
          <w:rPr>
            <w:rStyle w:val="Hyperlink"/>
          </w:rPr>
          <w:t xml:space="preserve">https://doi.org/10.1111/j.1530-0277.2006.00263.x</w:t>
        </w:r>
      </w:hyperlink>
    </w:p>
    <w:bookmarkEnd w:id="296"/>
    <w:bookmarkStart w:id="29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297">
        <w:r>
          <w:rPr>
            <w:rStyle w:val="Hyperlink"/>
          </w:rPr>
          <w:t xml:space="preserve">https://doi.org/10.1001/jamapsychiatry.2013.4450</w:t>
        </w:r>
      </w:hyperlink>
    </w:p>
    <w:bookmarkEnd w:id="298"/>
    <w:bookmarkStart w:id="30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299">
        <w:r>
          <w:rPr>
            <w:rStyle w:val="Hyperlink"/>
          </w:rPr>
          <w:t xml:space="preserve">https://doi.org/10.1111/add.13479</w:t>
        </w:r>
      </w:hyperlink>
    </w:p>
    <w:bookmarkEnd w:id="300"/>
    <w:bookmarkStart w:id="30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01">
        <w:r>
          <w:rPr>
            <w:rStyle w:val="Hyperlink"/>
          </w:rPr>
          <w:t xml:space="preserve">https://doi.org/10.1037/adb0000666</w:t>
        </w:r>
      </w:hyperlink>
    </w:p>
    <w:bookmarkEnd w:id="302"/>
    <w:bookmarkStart w:id="304"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3">
        <w:r>
          <w:rPr>
            <w:rStyle w:val="Hyperlink"/>
          </w:rPr>
          <w:t xml:space="preserve">https://doi.org/10.1177/1178221820976988</w:t>
        </w:r>
      </w:hyperlink>
    </w:p>
    <w:bookmarkEnd w:id="304"/>
    <w:bookmarkStart w:id="306"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05">
        <w:r>
          <w:rPr>
            <w:rStyle w:val="Hyperlink"/>
          </w:rPr>
          <w:t xml:space="preserve">https://doi.org/10.1037/0003-066X.60.4.340</w:t>
        </w:r>
      </w:hyperlink>
    </w:p>
    <w:bookmarkEnd w:id="306"/>
    <w:bookmarkStart w:id="307"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07"/>
    <w:bookmarkStart w:id="308"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08"/>
    <w:bookmarkStart w:id="310" w:name="Xb4363def9a086869984bb1996514c38c4a5108e"/>
    <w:p>
      <w:pPr>
        <w:pStyle w:val="Bibliography"/>
      </w:pPr>
      <w:r>
        <w:t xml:space="preserve">Substance Abuse and Mental Health Services Administration (US), &amp; Office of the Surgeon General (US). (2016).</w:t>
      </w:r>
      <w:r>
        <w:t xml:space="preserve"> </w:t>
      </w:r>
      <w:hyperlink r:id="rId309">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10"/>
    <w:bookmarkStart w:id="312"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11">
        <w:r>
          <w:rPr>
            <w:rStyle w:val="Hyperlink"/>
          </w:rPr>
          <w:t xml:space="preserve">https://doi.org/10.1080/19371918.2013.758975</w:t>
        </w:r>
      </w:hyperlink>
    </w:p>
    <w:bookmarkEnd w:id="312"/>
    <w:bookmarkStart w:id="31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3">
        <w:r>
          <w:rPr>
            <w:rStyle w:val="Hyperlink"/>
          </w:rPr>
          <w:t xml:space="preserve">https://doi.org/10.1177/17456916221134490</w:t>
        </w:r>
      </w:hyperlink>
    </w:p>
    <w:bookmarkEnd w:id="314"/>
    <w:bookmarkStart w:id="315" w:name="X02e5321a76132d9f7eccbf98ffb96255c7e2584"/>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15"/>
    <w:bookmarkStart w:id="317"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6">
        <w:r>
          <w:rPr>
            <w:rStyle w:val="Hyperlink"/>
          </w:rPr>
          <w:t xml:space="preserve">https://doi.org/10.1111/j.1530-0277.1984.tb05523.x</w:t>
        </w:r>
      </w:hyperlink>
    </w:p>
    <w:bookmarkEnd w:id="317"/>
    <w:bookmarkStart w:id="319"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18">
        <w:r>
          <w:rPr>
            <w:rStyle w:val="Hyperlink"/>
          </w:rPr>
          <w:t xml:space="preserve">https://doi.org/10.1093/jamia/ocy052</w:t>
        </w:r>
      </w:hyperlink>
    </w:p>
    <w:bookmarkEnd w:id="319"/>
    <w:bookmarkStart w:id="32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20">
        <w:r>
          <w:rPr>
            <w:rStyle w:val="Hyperlink"/>
          </w:rPr>
          <w:t xml:space="preserve">https://doi.org/10.1016/j.cpr.2005.11.003</w:t>
        </w:r>
      </w:hyperlink>
    </w:p>
    <w:bookmarkEnd w:id="321"/>
    <w:bookmarkStart w:id="32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22">
        <w:r>
          <w:rPr>
            <w:rStyle w:val="Hyperlink"/>
          </w:rPr>
          <w:t xml:space="preserve">https://doi.org/10.1016/j.jsat.2021.108417</w:t>
        </w:r>
      </w:hyperlink>
    </w:p>
    <w:bookmarkEnd w:id="323"/>
    <w:bookmarkStart w:id="325" w:name="X2d30c84041d97351f676569bf3de3da0c8a9d6d"/>
    <w:p>
      <w:pPr>
        <w:pStyle w:val="Bibliography"/>
      </w:pPr>
      <w:r>
        <w:t xml:space="preserve">WHO ASSIST Working Group. (2002).</w:t>
      </w:r>
      <w:r>
        <w:t xml:space="preserve"> </w:t>
      </w:r>
      <w:hyperlink r:id="rId3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5"/>
    <w:bookmarkStart w:id="326"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6"/>
    <w:bookmarkStart w:id="328"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7">
        <w:r>
          <w:rPr>
            <w:rStyle w:val="Hyperlink"/>
          </w:rPr>
          <w:t xml:space="preserve">https://doi.org/10.1037/0003-066X.59.4.224</w:t>
        </w:r>
      </w:hyperlink>
    </w:p>
    <w:bookmarkEnd w:id="328"/>
    <w:bookmarkStart w:id="330"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29">
        <w:r>
          <w:rPr>
            <w:rStyle w:val="Hyperlink"/>
          </w:rPr>
          <w:t xml:space="preserve">https://doi.org/10.1016/j.cpr.2007.01.002</w:t>
        </w:r>
      </w:hyperlink>
    </w:p>
    <w:bookmarkEnd w:id="330"/>
    <w:bookmarkStart w:id="33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31">
        <w:r>
          <w:rPr>
            <w:rStyle w:val="Hyperlink"/>
          </w:rPr>
          <w:t xml:space="preserve">https://doi.org/10.1080/14659891.2018.1523968</w:t>
        </w:r>
      </w:hyperlink>
    </w:p>
    <w:bookmarkEnd w:id="332"/>
    <w:bookmarkStart w:id="3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3">
        <w:r>
          <w:rPr>
            <w:rStyle w:val="Hyperlink"/>
          </w:rPr>
          <w:t xml:space="preserve">https://doi.org/10.1037/pas0000685</w:t>
        </w:r>
      </w:hyperlink>
    </w:p>
    <w:bookmarkEnd w:id="334"/>
    <w:bookmarkStart w:id="3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5">
        <w:r>
          <w:rPr>
            <w:rStyle w:val="Hyperlink"/>
          </w:rPr>
          <w:t xml:space="preserve">https://doi.org/10.2196/41833</w:t>
        </w:r>
      </w:hyperlink>
    </w:p>
    <w:bookmarkEnd w:id="336"/>
    <w:bookmarkStart w:id="3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37">
        <w:r>
          <w:rPr>
            <w:rStyle w:val="Hyperlink"/>
          </w:rPr>
          <w:t xml:space="preserve">https://doi.org/10.2196/81697</w:t>
        </w:r>
      </w:hyperlink>
    </w:p>
    <w:bookmarkEnd w:id="338"/>
    <w:bookmarkStart w:id="34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9">
        <w:r>
          <w:rPr>
            <w:rStyle w:val="Hyperlink"/>
          </w:rPr>
          <w:t xml:space="preserve">https://doi.org/10.2196/mhealth.9117</w:t>
        </w:r>
      </w:hyperlink>
    </w:p>
    <w:bookmarkEnd w:id="340"/>
    <w:bookmarkEnd w:id="341"/>
    <w:bookmarkEnd w:id="342"/>
    <w:bookmarkEnd w:id="3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19" Target="media/rId119.png" /><Relationship Type="http://schemas.openxmlformats.org/officeDocument/2006/relationships/image" Id="rId72" Target="media/rId72.jpg" /><Relationship Type="http://schemas.openxmlformats.org/officeDocument/2006/relationships/image" Id="rId131" Target="media/rId131.png" /><Relationship Type="http://schemas.openxmlformats.org/officeDocument/2006/relationships/image" Id="rId98" Target="media/rId98.png" /><Relationship Type="http://schemas.openxmlformats.org/officeDocument/2006/relationships/hyperlink" Id="rId206" Target="https://doi.org/10.1001/jama.2022.2847" TargetMode="External" /><Relationship Type="http://schemas.openxmlformats.org/officeDocument/2006/relationships/hyperlink" Id="rId265"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7"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20" Target="https://doi.org/10.1016/j.cpr.2005.11.003" TargetMode="External" /><Relationship Type="http://schemas.openxmlformats.org/officeDocument/2006/relationships/hyperlink" Id="rId329" Target="https://doi.org/10.1016/j.cpr.2007.01.002" TargetMode="External" /><Relationship Type="http://schemas.openxmlformats.org/officeDocument/2006/relationships/hyperlink" Id="rId261"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1"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7"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22" Target="https://doi.org/10.1016/j.jsat.2021.108417" TargetMode="External" /><Relationship Type="http://schemas.openxmlformats.org/officeDocument/2006/relationships/hyperlink" Id="rId276" Target="https://doi.org/10.1016/j.jsat.2021.108710" TargetMode="External" /><Relationship Type="http://schemas.openxmlformats.org/officeDocument/2006/relationships/hyperlink" Id="rId231" Target="https://doi.org/10.1023/A:1008987426876" TargetMode="External" /><Relationship Type="http://schemas.openxmlformats.org/officeDocument/2006/relationships/hyperlink" Id="rId283" Target="https://doi.org/10.1037/0003-066X.47.9.1102" TargetMode="External" /><Relationship Type="http://schemas.openxmlformats.org/officeDocument/2006/relationships/hyperlink" Id="rId327" Target="https://doi.org/10.1037/0003-066X.59.4.224" TargetMode="External" /><Relationship Type="http://schemas.openxmlformats.org/officeDocument/2006/relationships/hyperlink" Id="rId305"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88" Target="https://doi.org/10.1037/adb0000550" TargetMode="External" /><Relationship Type="http://schemas.openxmlformats.org/officeDocument/2006/relationships/hyperlink" Id="rId301" Target="https://doi.org/10.1037/adb0000666" TargetMode="External" /><Relationship Type="http://schemas.openxmlformats.org/officeDocument/2006/relationships/hyperlink" Id="rId333"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78"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31" Target="https://doi.org/10.1080/14659891.2018.1523968" TargetMode="External" /><Relationship Type="http://schemas.openxmlformats.org/officeDocument/2006/relationships/hyperlink" Id="rId311" Target="https://doi.org/10.1080/19371918.2013.758975" TargetMode="External" /><Relationship Type="http://schemas.openxmlformats.org/officeDocument/2006/relationships/hyperlink" Id="rId318"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299"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6" Target="https://doi.org/10.1111/j.1530-0277.1984.tb05523.x" TargetMode="External" /><Relationship Type="http://schemas.openxmlformats.org/officeDocument/2006/relationships/hyperlink" Id="rId295" Target="https://doi.org/10.1111/j.1530-0277.2006.00263.x" TargetMode="External" /><Relationship Type="http://schemas.openxmlformats.org/officeDocument/2006/relationships/hyperlink" Id="rId293" Target="https://doi.org/10.1146/annurev-clinpsy-021815-093351" TargetMode="External" /><Relationship Type="http://schemas.openxmlformats.org/officeDocument/2006/relationships/hyperlink" Id="rId269"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3" Target="https://doi.org/10.1177/1178221820976988" TargetMode="External" /><Relationship Type="http://schemas.openxmlformats.org/officeDocument/2006/relationships/hyperlink" Id="rId313"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90"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2"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5" Target="https://doi.org/10.2196/41833" TargetMode="External" /><Relationship Type="http://schemas.openxmlformats.org/officeDocument/2006/relationships/hyperlink" Id="rId285" Target="https://doi.org/10.2196/73265" TargetMode="External" /><Relationship Type="http://schemas.openxmlformats.org/officeDocument/2006/relationships/hyperlink" Id="rId337"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39" Target="https://doi.org/10.2196/mhealth.9117" TargetMode="External" /><Relationship Type="http://schemas.openxmlformats.org/officeDocument/2006/relationships/hyperlink" Id="rId263"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4" Target="https://www.ncbi.nlm.nih.gov/pubmed/12199834" TargetMode="External" /><Relationship Type="http://schemas.openxmlformats.org/officeDocument/2006/relationships/hyperlink" Id="rId274" Target="https://www.ncbi.nlm.nih.gov/pubmed/20669516" TargetMode="External" /><Relationship Type="http://schemas.openxmlformats.org/officeDocument/2006/relationships/hyperlink" Id="rId309"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06" Target="https://doi.org/10.1001/jama.2022.2847" TargetMode="External" /><Relationship Type="http://schemas.openxmlformats.org/officeDocument/2006/relationships/hyperlink" Id="rId265"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7"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20" Target="https://doi.org/10.1016/j.cpr.2005.11.003" TargetMode="External" /><Relationship Type="http://schemas.openxmlformats.org/officeDocument/2006/relationships/hyperlink" Id="rId329" Target="https://doi.org/10.1016/j.cpr.2007.01.002" TargetMode="External" /><Relationship Type="http://schemas.openxmlformats.org/officeDocument/2006/relationships/hyperlink" Id="rId261"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1"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7"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22" Target="https://doi.org/10.1016/j.jsat.2021.108417" TargetMode="External" /><Relationship Type="http://schemas.openxmlformats.org/officeDocument/2006/relationships/hyperlink" Id="rId276" Target="https://doi.org/10.1016/j.jsat.2021.108710" TargetMode="External" /><Relationship Type="http://schemas.openxmlformats.org/officeDocument/2006/relationships/hyperlink" Id="rId231" Target="https://doi.org/10.1023/A:1008987426876" TargetMode="External" /><Relationship Type="http://schemas.openxmlformats.org/officeDocument/2006/relationships/hyperlink" Id="rId283" Target="https://doi.org/10.1037/0003-066X.47.9.1102" TargetMode="External" /><Relationship Type="http://schemas.openxmlformats.org/officeDocument/2006/relationships/hyperlink" Id="rId327" Target="https://doi.org/10.1037/0003-066X.59.4.224" TargetMode="External" /><Relationship Type="http://schemas.openxmlformats.org/officeDocument/2006/relationships/hyperlink" Id="rId305"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88" Target="https://doi.org/10.1037/adb0000550" TargetMode="External" /><Relationship Type="http://schemas.openxmlformats.org/officeDocument/2006/relationships/hyperlink" Id="rId301" Target="https://doi.org/10.1037/adb0000666" TargetMode="External" /><Relationship Type="http://schemas.openxmlformats.org/officeDocument/2006/relationships/hyperlink" Id="rId333"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78"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31" Target="https://doi.org/10.1080/14659891.2018.1523968" TargetMode="External" /><Relationship Type="http://schemas.openxmlformats.org/officeDocument/2006/relationships/hyperlink" Id="rId311" Target="https://doi.org/10.1080/19371918.2013.758975" TargetMode="External" /><Relationship Type="http://schemas.openxmlformats.org/officeDocument/2006/relationships/hyperlink" Id="rId318"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299"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6" Target="https://doi.org/10.1111/j.1530-0277.1984.tb05523.x" TargetMode="External" /><Relationship Type="http://schemas.openxmlformats.org/officeDocument/2006/relationships/hyperlink" Id="rId295" Target="https://doi.org/10.1111/j.1530-0277.2006.00263.x" TargetMode="External" /><Relationship Type="http://schemas.openxmlformats.org/officeDocument/2006/relationships/hyperlink" Id="rId293" Target="https://doi.org/10.1146/annurev-clinpsy-021815-093351" TargetMode="External" /><Relationship Type="http://schemas.openxmlformats.org/officeDocument/2006/relationships/hyperlink" Id="rId269"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3" Target="https://doi.org/10.1177/1178221820976988" TargetMode="External" /><Relationship Type="http://schemas.openxmlformats.org/officeDocument/2006/relationships/hyperlink" Id="rId313"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90"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2"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5" Target="https://doi.org/10.2196/41833" TargetMode="External" /><Relationship Type="http://schemas.openxmlformats.org/officeDocument/2006/relationships/hyperlink" Id="rId285" Target="https://doi.org/10.2196/73265" TargetMode="External" /><Relationship Type="http://schemas.openxmlformats.org/officeDocument/2006/relationships/hyperlink" Id="rId337"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39" Target="https://doi.org/10.2196/mhealth.9117" TargetMode="External" /><Relationship Type="http://schemas.openxmlformats.org/officeDocument/2006/relationships/hyperlink" Id="rId263"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4" Target="https://www.ncbi.nlm.nih.gov/pubmed/12199834" TargetMode="External" /><Relationship Type="http://schemas.openxmlformats.org/officeDocument/2006/relationships/hyperlink" Id="rId274" Target="https://www.ncbi.nlm.nih.gov/pubmed/20669516" TargetMode="External" /><Relationship Type="http://schemas.openxmlformats.org/officeDocument/2006/relationships/hyperlink" Id="rId309"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2026-03-25T13:09:59Z</dcterms:created>
  <dcterms:modified xsi:type="dcterms:W3CDTF">2026-03-25T13:09:59Z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2026-03-25</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