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and urges may be more important for lapse risk during early recovery, whereas social isolation and negative affect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inherently accommodate interactions between this recovery feature and other predictors. We could then assess whether model performance differs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2026-03-31T00:57:13Z</dcterms:created>
  <dcterms:modified xsi:type="dcterms:W3CDTF">2026-03-31T00:57:13Z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