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jpg" ContentType="image/jpeg"/>
  <Override PartName="/word/media/rId65.jpg" ContentType="image/jpeg"/>
  <Override PartName="/word/media/rId120.png" ContentType="image/png"/>
  <Override PartName="/word/media/rId72.jpg" ContentType="image/jpeg"/>
  <Override PartName="/word/media/rId132.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Dissertation Proposal</w:t>
      </w:r>
    </w:p>
    <w:p>
      <w:pPr>
        <w:pStyle w:val="Author"/>
      </w:pPr>
      <w:r>
        <w:t xml:space="preserve">Kendra Wyant</w:t>
      </w:r>
    </w:p>
    <w:p>
      <w:pPr>
        <w:pStyle w:val="Date"/>
      </w:pPr>
      <w:r>
        <w:t xml:space="preserve">2026-03-16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6" w:name="introduction"/>
    <w:p>
      <w:pPr>
        <w:pStyle w:val="Heading1"/>
      </w:pPr>
      <w:r>
        <w:t xml:space="preserve">1. Introduction</w:t>
      </w:r>
    </w:p>
    <w:bookmarkStart w:id="21" w:name="substance-use-disorders"/>
    <w:p>
      <w:pPr>
        <w:pStyle w:val="Heading2"/>
      </w:pPr>
      <w:r>
        <w:t xml:space="preserve">1.1 Substance Use Disorders</w:t>
      </w:r>
    </w:p>
    <w:p>
      <w:pPr>
        <w:pStyle w:val="FirstParagraph"/>
      </w:pPr>
      <w:r>
        <w:t xml:space="preserve">In 2023, over 46 million U.S. adults had a substance use disorder (SUD) in the past year</w:t>
      </w:r>
      <w:r>
        <w:t xml:space="preserve"> </w:t>
      </w:r>
      <w:r>
        <w:t xml:space="preserve">(</w:t>
      </w:r>
      <w:r>
        <w:rPr>
          <w:b/>
          <w:bCs/>
        </w:rPr>
        <w:t xml:space="preserve">substanceabuseandmentalhealthservicesadministration2023NSDUHDetailed?</w:t>
      </w:r>
      <w:r>
        <w:t xml:space="preserve">)</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National Center for Statistics and Analysis,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a stark comparison to treatment initiation for other chronic diseases [</w:t>
      </w:r>
      <w:r>
        <w:t xml:space="preserve">(</w:t>
      </w:r>
      <w:r>
        <w:rPr>
          <w:b/>
          <w:bCs/>
        </w:rPr>
        <w:t xml:space="preserve">substanceabuseandmentalhealthservicesadministration2023NSDUHDetailed?</w:t>
      </w:r>
      <w:r>
        <w:t xml:space="preserve">)</w:t>
      </w:r>
      <w:r>
        <w:t xml:space="preserve">. Even among the minority who do initiate treatment, engagement is often brief and episodic. Relapse back to substance use is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rather a challenge inherent in chronic disease management without adequate continuing care.</w:t>
      </w:r>
    </w:p>
    <w:p>
      <w:pPr>
        <w:pStyle w:val="BodyText"/>
      </w:pPr>
      <w:r>
        <w:t xml:space="preserve">These patterns reflect structural limitations within the current treatment system. Several factors, including cost and insurance reimbursement issues, lack of collaborative provider teams, passive referral processes, geographic barriers to accessing services, patient dropout, and changes in the patient’s clinical needs over time, suggest our current treatment system for SUDs does not have the capacity for long-term clinician-delivered care</w:t>
      </w:r>
      <w:r>
        <w:t xml:space="preserve"> </w:t>
      </w:r>
      <w:r>
        <w:t xml:space="preserve">(Dennis &amp; Scott, 2007; McKay, 2021; Stanojlović &amp; Davidson, 2021; Tai &amp; Volkow, 2013)</w:t>
      </w:r>
      <w:r>
        <w:t xml:space="preserve">. Stigma surrounding SUD and historical views of substance use as a social or behavioral problem have contributed to the siloing of SUD care. Treatment typically occurs in specialized, community-based settings that are disconnected from primary care. This fragmented infrastructure results in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21"/>
    <w:bookmarkStart w:id="22"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additionally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w:t>
      </w:r>
      <w:r>
        <w:rPr>
          <w:b/>
          <w:bCs/>
        </w:rPr>
        <w:t xml:space="preserve">salonerBlacksHispanicsAre2013?</w:t>
      </w:r>
      <w:r>
        <w:t xml:space="preserve">)</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w:t>
      </w:r>
      <w:r>
        <w:rPr>
          <w:b/>
          <w:bCs/>
        </w:rPr>
        <w:t xml:space="preserve">freitagVariationsSubstanceUse2021?</w:t>
      </w:r>
      <w:r>
        <w:t xml:space="preserve">;</w:t>
      </w:r>
      <w:r>
        <w:t xml:space="preserve"> </w:t>
      </w:r>
      <w:r>
        <w:rPr>
          <w:b/>
          <w:bCs/>
        </w:rPr>
        <w:t xml:space="preserve">craneAlcoholUseDisorders2020?</w:t>
      </w:r>
      <w:r>
        <w:t xml:space="preserve">)</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(Krueger et al., 2020;</w:t>
      </w:r>
      <w:r>
        <w:t xml:space="preserve"> </w:t>
      </w:r>
      <w:r>
        <w:rPr>
          <w:b/>
          <w:bCs/>
        </w:rPr>
        <w:t xml:space="preserve">dyarSexualMinorityStress2023?</w:t>
      </w:r>
      <w:r>
        <w:t xml:space="preserve">)</w:t>
      </w:r>
      <w:r>
        <w:t xml:space="preserve">. These disparities intensify when sexual orientation intersects with other identities such as race or gender</w:t>
      </w:r>
      <w:r>
        <w:t xml:space="preserve"> </w:t>
      </w:r>
      <w:r>
        <w:t xml:space="preserve">(</w:t>
      </w:r>
      <w:r>
        <w:rPr>
          <w:b/>
          <w:bCs/>
        </w:rPr>
        <w:t xml:space="preserve">freitagVariationsSubstanceUse2021?</w:t>
      </w:r>
      <w:r>
        <w:t xml:space="preserve">;</w:t>
      </w:r>
      <w:r>
        <w:t xml:space="preserve"> </w:t>
      </w:r>
      <w:r>
        <w:rPr>
          <w:b/>
          <w:bCs/>
        </w:rPr>
        <w:t xml:space="preserve">kerridgePrevalenceSociodemographicCorrelates2017?</w:t>
      </w:r>
      <w:r>
        <w:t xml:space="preserve">)</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w:t>
      </w:r>
      <w:r>
        <w:rPr>
          <w:b/>
          <w:bCs/>
        </w:rPr>
        <w:t xml:space="preserve">lecookRacialEthnicDisparitiesSubstance2011?</w:t>
      </w:r>
      <w:r>
        <w:t xml:space="preserve">)</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w:t>
      </w:r>
      <w:r>
        <w:rPr>
          <w:b/>
          <w:bCs/>
        </w:rPr>
        <w:t xml:space="preserve">sigmonAccessTreatmentOpioid2014?</w:t>
      </w:r>
      <w:r>
        <w:t xml:space="preserve">)</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t>
      </w:r>
      <w:r>
        <w:rPr>
          <w:b/>
          <w:bCs/>
        </w:rPr>
        <w:t xml:space="preserve">woodLotPeopleCall2019?</w:t>
      </w:r>
      <w:r>
        <w:t xml:space="preserve">)</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22"/>
    <w:bookmarkStart w:id="23" w:name="relapse-prevention"/>
    <w:p>
      <w:pPr>
        <w:pStyle w:val="Heading2"/>
      </w:pPr>
      <w:r>
        <w:t xml:space="preserve">1.3 Relapse Prevention</w:t>
      </w:r>
    </w:p>
    <w:p>
      <w:pPr>
        <w:pStyle w:val="FirstParagraph"/>
      </w:pPr>
      <w:r>
        <w:t xml:space="preserve">Recovery from substance use disorders is a non-linear and dynamic process</w:t>
      </w:r>
      <w:r>
        <w:t xml:space="preserve"> </w:t>
      </w:r>
      <w:r>
        <w:t xml:space="preserve">(K. Witkiewitz &amp; Marlatt, 2004)</w:t>
      </w:r>
      <w:r>
        <w:t xml:space="preserve">. Lapses back to substance use are common and, on their own, do not necessarily constitute relapse (i.e., a full return to problematic use). Nevertheless, lapses must precede relapse and therefore can be viewed as early warning signs, making them clinically meaningful targets for intervention and prevention.</w:t>
      </w:r>
    </w:p>
    <w:p>
      <w:pPr>
        <w:pStyle w:val="BodyText"/>
      </w:pPr>
      <w:r>
        <w:t xml:space="preserve">An extant relapse prevention literature has identified a range of intrapersonal precursors to lapse and relapse. These include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These risk factors differ across individuals and within an individual over time. They interact with one another and with interpersonal and environmental situations to influence lapse risk</w:t>
      </w:r>
      <w:r>
        <w:t xml:space="preserve"> </w:t>
      </w:r>
      <w:r>
        <w:t xml:space="preserve">(K. Witkiewitz &amp; Marlatt, 2004;</w:t>
      </w:r>
      <w:r>
        <w:t xml:space="preserve"> </w:t>
      </w:r>
      <w:r>
        <w:rPr>
          <w:b/>
          <w:bCs/>
        </w:rPr>
        <w:t xml:space="preserve">stantonRelapsePreventionNeeds2005?</w:t>
      </w:r>
      <w:r>
        <w:t xml:space="preserve">)</w:t>
      </w:r>
      <w:r>
        <w:t xml:space="preserve">. For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bookmarkEnd w:id="23"/>
    <w:bookmarkStart w:id="24" w:name="recovery-monitoring-and-support-system"/>
    <w:p>
      <w:pPr>
        <w:pStyle w:val="Heading2"/>
      </w:pPr>
      <w:r>
        <w:t xml:space="preserve">1.4 Recovery Monitoring and Support System</w:t>
      </w:r>
    </w:p>
    <w:p>
      <w:pPr>
        <w:pStyle w:val="FirstParagraph"/>
      </w:pPr>
      <w:r>
        <w:t xml:space="preserve">An algorithm-guided recovery monitoring and support system could help individuals monitor their current and future risk of lapse and make adjustments in their activities and supports to meet their recovery goals after initial treatment. Such a tool could offer personalized, adaptive recommendations aligned with evidenced-based care and prompt individuals to engage with support at times of high risk. For example, individuals could receive daily messages about changes in their lapse risk and receive personalized recommendations based on top features contributing to their risk. Moreover, it would provide a scalable option for long-term monitoring and support to address the substantial unmet need for continuing care for SUDs.</w:t>
      </w:r>
    </w:p>
    <w:p>
      <w:pPr>
        <w:pStyle w:val="BodyText"/>
      </w:pPr>
      <w:r>
        <w:t xml:space="preserve">For such a system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Bae et al., 2018; S. W. Bae et al., 2023; Heinz et al., 2025; Soyster et al., 2022; Walters et al., 2021)</w:t>
      </w:r>
      <w:r>
        <w:t xml:space="preserve">. While these studies are promising, they are limited in their generalizability to a recovery monitoring and support system. First, the majority of these studies pedict substance use episodes in non-treatment seeking populations</w:t>
      </w:r>
      <w:r>
        <w:t xml:space="preserve"> </w:t>
      </w:r>
      <w:r>
        <w:t xml:space="preserve">(S. Bae et al., 2018; S. W. Bae et al., 2023;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24"/>
    <w:bookmarkStart w:id="25" w:name="specific-aims"/>
    <w:p>
      <w:pPr>
        <w:pStyle w:val="Heading2"/>
      </w:pPr>
      <w:r>
        <w:t xml:space="preserve">1.5 Specific Aims</w:t>
      </w:r>
    </w:p>
    <w:p>
      <w:pPr>
        <w:pStyle w:val="FirstParagraph"/>
      </w:pPr>
      <w:r>
        <w:t xml:space="preserve">This dissertation presents a series of studies aimed at addressing current limitations in the lapse prediction literature. Specifically, we designed three studies to develop fair and temporally precise machine learning models for predicting lapse risk for alcohol and opioid use that could be used in a recovery monitoring support system.</w:t>
      </w:r>
    </w:p>
    <w:p>
      <w:pPr>
        <w:pStyle w:val="BodyText"/>
      </w:pPr>
      <w:r>
        <w:t xml:space="preserve">To achieve this goal, we used two clinical samples of participants in early recovery from alcohol (Studies 1–2) and opioid use (Study 3) disorders with reported goals of abstinence. In Study 1 (Chapter 2), we developed three separate models that provide hour-by-hour probabilities of a future lapse back to alcohol use with increasing temporal precision: lapses in the next week, next day, and next hour. Model features were engineered from raw scores and longitudinal changes in responses to 4× daily EMAs. We used Shapley values to interpret how EMA features influenced lapse probability both across individuals and for specific lapse probability predictions.</w:t>
      </w:r>
    </w:p>
    <w:p>
      <w:pPr>
        <w:pStyle w:val="BodyText"/>
      </w:pPr>
      <w:r>
        <w:t xml:space="preserve">In Study 2 (Chapter 3), we demonstrated how the same 4× daily EMA data could be used to predict alcohol lapses occurring within a 24-hour window up to two weeks into the future. We examined several lags between the prediction time point and the start of the prediction window: 1 day, 3 days, 1 week, and 2 weeks. These models with lagged prediction windows provide insight into lapse risk with the added benefit of advanced warning, giving individuals extra time to make behavioral, social, or lifestyle changes. Study 2 also extended model evaluation to include fairness analyses by comparing model performance across subgroups with documented disparities in treatment access and outcomes.</w:t>
      </w:r>
    </w:p>
    <w:p>
      <w:pPr>
        <w:pStyle w:val="BodyText"/>
      </w:pPr>
      <w:r>
        <w:t xml:space="preserve">In Study 3 (Chapter 4), we extended lapse prediction to opioid use using a national sample of participants with opioid use disorder. This allowed us to evaluate whether lapse prediction algorithms generalize beyond alcohol to substances where use is illegal and lapses may be underreported. The dataset also included greater diversity in race/ethnicity, income, and geographic location (i.e., rural and urban settings), enabling evaluation of model fairness across a broader set of demographic groups. Model features were derived from both 1× daily EMA and passive geolocation sensing, capturing self-reported risk factors as well as behavioral patterns such as time spent in potentially high-risk locations and changes in routine. We also explored alternative methods for quantifying important features that could be communicated to individuals to explain lapse risk.</w:t>
      </w:r>
    </w:p>
    <w:bookmarkEnd w:id="25"/>
    <w:bookmarkEnd w:id="26"/>
    <w:bookmarkStart w:id="87" w:name="X19d88964df8049fca0e1b90b33796fd673ad16c"/>
    <w:p>
      <w:pPr>
        <w:pStyle w:val="Heading1"/>
      </w:pPr>
      <w:r>
        <w:t xml:space="preserve">2. Machine learning models for temporally precise lapse prediction in alcohol use disorder</w:t>
      </w:r>
    </w:p>
    <w:bookmarkStart w:id="30"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27"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project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27"/>
    <w:bookmarkStart w:id="28"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28"/>
    <w:bookmarkStart w:id="29"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(Fronk et al., 2020; for reviews, see Marlatt &amp; Gordon, 1985;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29"/>
    <w:bookmarkEnd w:id="30"/>
    <w:bookmarkStart w:id="49" w:name="method"/>
    <w:p>
      <w:pPr>
        <w:pStyle w:val="Heading2"/>
      </w:pPr>
      <w:r>
        <w:t xml:space="preserve">2.2 Method</w:t>
      </w:r>
    </w:p>
    <w:bookmarkStart w:id="32"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31">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32"/>
    <w:bookmarkStart w:id="33"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33"/>
    <w:bookmarkStart w:id="34"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34"/>
    <w:bookmarkStart w:id="38" w:name="measures"/>
    <w:p>
      <w:pPr>
        <w:pStyle w:val="Heading3"/>
      </w:pPr>
      <w:r>
        <w:t xml:space="preserve">2.2.4 Measures</w:t>
      </w:r>
    </w:p>
    <w:bookmarkStart w:id="35"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35"/>
    <w:bookmarkStart w:id="37"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rPr>
          <w:rStyle w:val="FootnoteReference"/>
        </w:rPr>
        <w:footnoteReference w:id="36"/>
      </w:r>
      <w:r>
        <w:t xml:space="preserve">.</w:t>
      </w:r>
    </w:p>
    <w:bookmarkEnd w:id="37"/>
    <w:bookmarkEnd w:id="38"/>
    <w:bookmarkStart w:id="48"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9"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39"/>
    <w:bookmarkStart w:id="40"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40"/>
    <w:bookmarkStart w:id="45" w:name="model-training-and-evaluation"/>
    <w:p>
      <w:pPr>
        <w:pStyle w:val="Heading4"/>
      </w:pPr>
      <w:r>
        <w:t xml:space="preserve">2.2.5.3 Model Training and Evaluation</w:t>
      </w:r>
    </w:p>
    <w:bookmarkStart w:id="42"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w:t>
      </w:r>
      <w:r>
        <w:rPr>
          <w:rStyle w:val="FootnoteReference"/>
        </w:rPr>
        <w:footnoteReference w:id="41"/>
      </w:r>
      <w:r>
        <w:t xml:space="preserve">.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42"/>
    <w:bookmarkStart w:id="43"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43"/>
    <w:bookmarkStart w:id="44"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44"/>
    <w:bookmarkEnd w:id="45"/>
    <w:bookmarkStart w:id="46"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46"/>
    <w:bookmarkStart w:id="47"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47"/>
    <w:bookmarkEnd w:id="48"/>
    <w:bookmarkEnd w:id="49"/>
    <w:bookmarkStart w:id="78" w:name="results"/>
    <w:p>
      <w:pPr>
        <w:pStyle w:val="Heading2"/>
      </w:pPr>
      <w:r>
        <w:t xml:space="preserve">2.3 Results</w:t>
      </w:r>
    </w:p>
    <w:bookmarkStart w:id="52"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1</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50" w:name="tbl-dem"/>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50"/>
          <w:p/>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Tables for Dissertation</w:t>
        </w:r>
      </w:hyperlink>
    </w:p>
    <w:bookmarkEnd w:id="52"/>
    <w:bookmarkStart w:id="53"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53"/>
    <w:bookmarkStart w:id="71" w:name="model-performance"/>
    <w:p>
      <w:pPr>
        <w:pStyle w:val="Heading3"/>
      </w:pPr>
      <w:r>
        <w:t xml:space="preserve">2.3.3 Model Performance</w:t>
      </w:r>
    </w:p>
    <w:bookmarkStart w:id="54"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54"/>
    <w:bookmarkStart w:id="60"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tbl>
      <w:tblPr>
        <w:tblStyle w:val="Table"/>
        <w:tblW w:type="pct" w:w="5000"/>
        <w:tblLayout w:type="fixed"/>
        <w:tblLook w:firstRow="0" w:lastRow="0" w:firstColumn="0" w:lastColumn="0" w:noHBand="0" w:noVBand="0" w:val="0000"/>
      </w:tblPr>
      <w:tblGrid>
        <w:gridCol w:w="7920"/>
      </w:tblGrid>
      <w:tr>
        <w:tc>
          <w:tcPr/>
          <w:bookmarkStart w:id="58" w:name="fig-1-ema"/>
          <w:p>
            <w:pPr>
              <w:pStyle w:val="Compact"/>
              <w:jc w:val="center"/>
            </w:pPr>
            <w:r>
              <w:drawing>
                <wp:inline>
                  <wp:extent cx="5334000" cy="3413760"/>
                  <wp:effectExtent b="0" l="0" r="0" t="0"/>
                  <wp:docPr descr="" title="" id="56" name="Picture"/>
                  <a:graphic>
                    <a:graphicData uri="http://schemas.openxmlformats.org/drawingml/2006/picture">
                      <pic:pic>
                        <pic:nvPicPr>
                          <pic:cNvPr descr="index_files/figure-docx/notebooks-figures-fig-1-ema-output-1.jpeg" id="57" name="Picture"/>
                          <pic:cNvPicPr>
                            <a:picLocks noChangeArrowheads="1" noChangeAspect="1"/>
                          </pic:cNvPicPr>
                        </pic:nvPicPr>
                        <pic:blipFill>
                          <a:blip r:embed="rId55"/>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Make All Figures for Dissertation</w:t>
        </w:r>
      </w:hyperlink>
    </w:p>
    <w:bookmarkEnd w:id="60"/>
    <w:bookmarkStart w:id="61"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61"/>
    <w:bookmarkStart w:id="62"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62"/>
    <w:bookmarkStart w:id="70"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63" w:name="tbl-perf-ema"/>
          <w:p>
            <w:pPr>
              <w:jc w:val="center"/>
            </w:pPr>
            <w:pPr>
              <w:jc w:val="star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tbl>
      <w:tblPr>
        <w:tblStyle w:val="Table"/>
        <w:tblW w:type="pct" w:w="5000"/>
        <w:tblLayout w:type="fixed"/>
        <w:tblLook w:firstRow="0" w:lastRow="0" w:firstColumn="0" w:lastColumn="0" w:noHBand="0" w:noVBand="0" w:val="0000"/>
      </w:tblPr>
      <w:tblGrid>
        <w:gridCol w:w="7920"/>
      </w:tblGrid>
      <w:tr>
        <w:tc>
          <w:tcPr/>
          <w:bookmarkStart w:id="68" w:name="fig-2-ema"/>
          <w:p>
            <w:pPr>
              <w:pStyle w:val="Compact"/>
              <w:jc w:val="center"/>
            </w:pPr>
            <w:r>
              <w:drawing>
                <wp:inline>
                  <wp:extent cx="5334000" cy="4445000"/>
                  <wp:effectExtent b="0" l="0" r="0" t="0"/>
                  <wp:docPr descr="" title="" id="66" name="Picture"/>
                  <a:graphic>
                    <a:graphicData uri="http://schemas.openxmlformats.org/drawingml/2006/picture">
                      <pic:pic>
                        <pic:nvPicPr>
                          <pic:cNvPr descr="index_files/figure-docx/notebooks-figures-fig-2-ema-output-1.jpeg" id="67" name="Picture"/>
                          <pic:cNvPicPr>
                            <a:picLocks noChangeArrowheads="1" noChangeAspect="1"/>
                          </pic:cNvPicPr>
                        </pic:nvPicPr>
                        <pic:blipFill>
                          <a:blip r:embed="rId6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All Figures for Dissertation</w:t>
        </w:r>
      </w:hyperlink>
    </w:p>
    <w:bookmarkEnd w:id="70"/>
    <w:bookmarkEnd w:id="71"/>
    <w:bookmarkStart w:id="77"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tbl>
      <w:tblPr>
        <w:tblStyle w:val="Table"/>
        <w:tblW w:type="pct" w:w="5000"/>
        <w:tblLayout w:type="fixed"/>
        <w:tblLook w:firstRow="0" w:lastRow="0" w:firstColumn="0" w:lastColumn="0" w:noHBand="0" w:noVBand="0" w:val="0000"/>
      </w:tblPr>
      <w:tblGrid>
        <w:gridCol w:w="7920"/>
      </w:tblGrid>
      <w:tr>
        <w:tc>
          <w:tcPr/>
          <w:bookmarkStart w:id="75" w:name="fig-3-ema"/>
          <w:p>
            <w:pPr>
              <w:pStyle w:val="Compact"/>
              <w:jc w:val="center"/>
            </w:pPr>
            <w:r>
              <w:drawing>
                <wp:inline>
                  <wp:extent cx="5334000" cy="4267200"/>
                  <wp:effectExtent b="0" l="0" r="0" t="0"/>
                  <wp:docPr descr="" title="" id="73" name="Picture"/>
                  <a:graphic>
                    <a:graphicData uri="http://schemas.openxmlformats.org/drawingml/2006/picture">
                      <pic:pic>
                        <pic:nvPicPr>
                          <pic:cNvPr descr="index_files/figure-docx/notebooks-figures-fig-3-ema-output-1.jpe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75"/>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Make All Figures for Dissertation</w:t>
        </w:r>
      </w:hyperlink>
    </w:p>
    <w:bookmarkEnd w:id="77"/>
    <w:bookmarkEnd w:id="78"/>
    <w:bookmarkStart w:id="86" w:name="discussion"/>
    <w:p>
      <w:pPr>
        <w:pStyle w:val="Heading2"/>
      </w:pPr>
      <w:r>
        <w:t xml:space="preserve">2.4 Discussion</w:t>
      </w:r>
    </w:p>
    <w:bookmarkStart w:id="79"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79"/>
    <w:bookmarkStart w:id="80"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80"/>
    <w:bookmarkStart w:id="83" w:name="Xf6ca54159972f4f7729ee08f27d71911bd3ae56"/>
    <w:p>
      <w:pPr>
        <w:pStyle w:val="Heading3"/>
      </w:pPr>
      <w:r>
        <w:t xml:space="preserve">2.4.3 Considerations for Clinical Implementation</w:t>
      </w:r>
    </w:p>
    <w:bookmarkStart w:id="81"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81"/>
    <w:bookmarkStart w:id="82"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82"/>
    <w:bookmarkEnd w:id="83"/>
    <w:bookmarkStart w:id="85"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w:t>
      </w:r>
      <w:r>
        <w:rPr>
          <w:rStyle w:val="FootnoteReference"/>
        </w:rPr>
        <w:footnoteReference w:id="84"/>
      </w:r>
      <w:r>
        <w:t xml:space="preserve">.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85"/>
    <w:bookmarkEnd w:id="86"/>
    <w:bookmarkEnd w:id="87"/>
    <w:bookmarkStart w:id="143" w:name="Xa9dab75cb028dec3684db25ff70acaea84b1b87"/>
    <w:p>
      <w:pPr>
        <w:pStyle w:val="Heading1"/>
      </w:pPr>
      <w:r>
        <w:t xml:space="preserve">3. Lagged predictions of next day alcohol lapse risk for personalized and adaptive continuing care support</w:t>
      </w:r>
    </w:p>
    <w:bookmarkStart w:id="88" w:name="introduction-2"/>
    <w:p>
      <w:pPr>
        <w:pStyle w:val="Heading2"/>
      </w:pPr>
      <w:r>
        <w:t xml:space="preserve">3.1 Introduction</w:t>
      </w:r>
    </w:p>
    <w:p>
      <w:pPr>
        <w:pStyle w:val="FirstParagraph"/>
      </w:pPr>
      <w:r>
        <w:t xml:space="preserve">Alcohol and other substance use disorders (SUDs) are serious chronic conditions, characterized by high relapse rates</w:t>
      </w:r>
      <w:r>
        <w:t xml:space="preserve">(Dennis &amp; Scott, 2007; McLellan et al., 2000)</w:t>
      </w:r>
      <w:r>
        <w:t xml:space="preserve">, substantial co-morbidity with other physical and mental health problems</w:t>
      </w:r>
      <w:r>
        <w:t xml:space="preserve">(Dennis &amp; Scott, 2007;</w:t>
      </w:r>
      <w:r>
        <w:t xml:space="preserve"> </w:t>
      </w:r>
      <w:r>
        <w:rPr>
          <w:b/>
          <w:bCs/>
        </w:rPr>
        <w:t xml:space="preserve">substanceabuseandmentalhealthservicesadministration2023NSDUHDetailed?</w:t>
      </w:r>
      <w:r>
        <w:t xml:space="preserve">)</w:t>
      </w:r>
      <w:r>
        <w:t xml:space="preserve">, and an increased risk of mortality</w:t>
      </w:r>
      <w:r>
        <w:t xml:space="preserve"> </w:t>
      </w:r>
      <w:r>
        <w:t xml:space="preserve">(Centers for Disease Control and Prevention (CDC), n.d.;</w:t>
      </w:r>
      <w:r>
        <w:t xml:space="preserve"> </w:t>
      </w:r>
      <w:r>
        <w:rPr>
          <w:b/>
          <w:bCs/>
        </w:rPr>
        <w:t xml:space="preserve">hedegaardDrugOverdoseDeaths?</w:t>
      </w:r>
      <w:r>
        <w:t xml:space="preserve">)</w:t>
      </w:r>
      <w:r>
        <w:t xml:space="preserve">. Too few individuals receive medications or clinician-delivered interventions to help them initially achieve abstinence and/or reduce harms associated with their use</w:t>
      </w:r>
      <w:r>
        <w:t xml:space="preserve"> </w:t>
      </w:r>
      <w:r>
        <w:t xml:space="preserve">(</w:t>
      </w:r>
      <w:r>
        <w:rPr>
          <w:b/>
          <w:bCs/>
        </w:rPr>
        <w:t xml:space="preserve">substanceabuseandmentalhealthservicesadministration2023NSDUHDetailed?</w:t>
      </w:r>
      <w:r>
        <w:t xml:space="preserve">)</w:t>
      </w:r>
      <w:r>
        <w:t xml:space="preserve">. Yet, this problem is even worse for subsequent continuing care during SUD recovery. Continuing care, including both risk monitoring and ongoing support, is the gold standard for managing chronic health conditions such as diabetes, asthma, and HIV. Yet, continuing care for SUDs is largely lacking despite ample evidence that SUDs are chronic, relapsing conditions</w:t>
      </w:r>
      <w:r>
        <w:t xml:space="preserve"> </w:t>
      </w:r>
      <w:r>
        <w:t xml:space="preserve">(Socías et al., 2016; Stanojlović &amp; Davidson, 2021;</w:t>
      </w:r>
      <w:r>
        <w:t xml:space="preserve"> </w:t>
      </w:r>
      <w:r>
        <w:rPr>
          <w:b/>
          <w:bCs/>
        </w:rPr>
        <w:t xml:space="preserve">substanceabuseandmentalhealthservicesadministration2023NSDUHDetailed?</w:t>
      </w:r>
      <w:r>
        <w:t xml:space="preserve">)</w:t>
      </w:r>
      <w:r>
        <w:t xml:space="preserve">.</w:t>
      </w:r>
    </w:p>
    <w:p>
      <w:pPr>
        <w:pStyle w:val="BodyText"/>
      </w:pPr>
      <w:r>
        <w:t xml:space="preserve">When available, an important focus of continuing care during SUD recovery is the prevention of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Therefore,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geolocation sensing) can provide the frequent, longitudinal measurement of proximal risk factors that is necessary for prediction of future lapses with high temporal precision. Ecological momentary assessment (EMA) may be particularly well-suited for lapse prediction because it can provide privileged access to the subjective experiences (e.g., craving, affect, stress, motivation, self-efficacy) that are targets for change in evidence 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w:t>
      </w:r>
      <w:r>
        <w:rPr>
          <w:b/>
          <w:bCs/>
        </w:rPr>
        <w:t xml:space="preserve">wyantMachineLearningModels2023?</w:t>
      </w:r>
      <w:r>
        <w:t xml:space="preserve">)</w:t>
      </w:r>
      <w:r>
        <w:t xml:space="preserve">. They can also accommodate non-linear and interactive relationships between features and lapse probability that are likely necessary for accurate prediction of lapse probability. And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 Bae et al., 2018; Soyster et al., 2022; Walters et al., 2021;</w:t>
      </w:r>
      <w:r>
        <w:t xml:space="preserve"> </w:t>
      </w:r>
      <w:r>
        <w:rPr>
          <w:b/>
          <w:bCs/>
        </w:rPr>
        <w:t xml:space="preserve">wyantMachineLearningModels2023?</w:t>
      </w:r>
      <w:r>
        <w:t xml:space="preserve">)</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 And perhaps most importantly,</w:t>
      </w:r>
      <w:r>
        <w:t xml:space="preserve"> </w:t>
      </w:r>
      <w:r>
        <w:t xml:space="preserve">(</w:t>
      </w:r>
      <w:r>
        <w:rPr>
          <w:b/>
          <w:bCs/>
        </w:rPr>
        <w:t xml:space="preserve">wyantMachineLearningModels2023?</w:t>
      </w:r>
      <w:r>
        <w:t xml:space="preserve">)</w:t>
      </w:r>
      <w:r>
        <w:t xml:space="preserve"> </w:t>
      </w:r>
      <w:r>
        <w:t xml:space="preserve">demonstrated that machine learning models using EMA can provide predictions with very high temporal precision at clinically implementable levels of performance. Specifically, they developed models that predict lapses in the immediate future (i.e., the next day and even the next hour) with area under the receiver operating characteristic curve of 0.91 and 0.93, respectively.</w:t>
      </w:r>
    </w:p>
    <w:p>
      <w:pPr>
        <w:pStyle w:val="BodyText"/>
      </w:pPr>
      <w:r>
        <w:t xml:space="preserve">(</w:t>
      </w:r>
      <w:r>
        <w:rPr>
          <w:b/>
          <w:bCs/>
        </w:rPr>
        <w:t xml:space="preserve">wyantMachineLearningModels2023?</w:t>
      </w:r>
      <w:r>
        <w:t xml:space="preserve">)</w:t>
      </w:r>
      <w:r>
        <w:t xml:space="preserve">’s next day lapse prediction model can provide personalized support recommendations to address immediate risks for possible lapses in that next day. Features derived from past EMAs can be updated in the early morning to yield the predicted lapse probability for an individual that day. Personalized supports that target the top features contributing to that prediction can be provided to assist them that day. For example, if predicted lapse probability is high due to recent frequent craving, they could be reminded about the benefits of urge surfing or distracting activities during brief periods when cravings arise. Conversely, guided relaxation techniques could be recommended if lapse probability was high due to recent past and anticipated stressors that day. Patients could also be assisted to implement any of these recommendations by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monitoring and personalized support system for patients in recovery from alcohol use disorder</w:t>
      </w:r>
      <w:r>
        <w:t xml:space="preserve"> </w:t>
      </w:r>
      <w:r>
        <w:t xml:space="preserve">(</w:t>
      </w:r>
      <w:r>
        <w:rPr>
          <w:b/>
          <w:bCs/>
        </w:rPr>
        <w:t xml:space="preserve">wyantOptimizingMessageComponentsinprep?</w:t>
      </w:r>
      <w:r>
        <w:t xml:space="preserve">)</w:t>
      </w:r>
      <w:r>
        <w:t xml:space="preserve">.</w:t>
      </w:r>
    </w:p>
    <w:p>
      <w:pPr>
        <w:pStyle w:val="BodyText"/>
      </w:pPr>
      <w:r>
        <w:t xml:space="preserve">Despite the promise offered by a monitoring and personalized support system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to help with many risks may require time to schedule. Similarly, work or family schedules may need to be adjusted to return to attending self-help meetings. If new recovery skills or therapeutic activities are needed to address emerging risks, sessions with a therapist may need to be booked to assist the patient to acquire these new skills. In all of these instances, patients would benefit from advanced warning about changes in their lapse probability and the associated risks that contribute to these changes. A smart monitoring and personalized support system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use with individuals.</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and sex at birth</w:t>
      </w:r>
      <w:r>
        <w:t xml:space="preserve"> </w:t>
      </w:r>
      <w:r>
        <w:t xml:space="preserve">(Greenfield et al., 2007; Kilaru et al., 2020)</w:t>
      </w:r>
      <w:r>
        <w:t xml:space="preserve">. Finally, we calculated Shapley values for feature categories defined by EMA items to better understand how these models make their prediction and how these features can be used to recommend personalized supports.</w:t>
      </w:r>
    </w:p>
    <w:bookmarkEnd w:id="88"/>
    <w:bookmarkStart w:id="117" w:name="methods"/>
    <w:p>
      <w:pPr>
        <w:pStyle w:val="Heading2"/>
      </w:pPr>
      <w:r>
        <w:t xml:space="preserve">3.2 Methods</w:t>
      </w:r>
    </w:p>
    <w:bookmarkStart w:id="91" w:name="transparency-and-openness-1"/>
    <w:p>
      <w:pPr>
        <w:pStyle w:val="Heading3"/>
      </w:pPr>
      <w:r>
        <w:t xml:space="preserve">3.2.1 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Finally, our data, questionnaires and other study materials are publicly available on our OSF page (</w:t>
      </w:r>
      <w:hyperlink r:id="rId89">
        <w:r>
          <w:rPr>
            <w:rStyle w:val="Hyperlink"/>
          </w:rPr>
          <w:t xml:space="preserve">https://osf.io/xta67/</w:t>
        </w:r>
      </w:hyperlink>
      <w:r>
        <w:t xml:space="preserve">), and our annotated analysis scripts and results are publicly available on our study website (</w:t>
      </w:r>
      <w:hyperlink r:id="rId90">
        <w:r>
          <w:rPr>
            <w:rStyle w:val="Hyperlink"/>
          </w:rPr>
          <w:t xml:space="preserve">https://jjcurtin.github.io/study_lag/</w:t>
        </w:r>
      </w:hyperlink>
      <w:r>
        <w:t xml:space="preserve">).</w:t>
      </w:r>
    </w:p>
    <w:bookmarkEnd w:id="91"/>
    <w:bookmarkStart w:id="93" w:name="participants-1"/>
    <w:p>
      <w:pPr>
        <w:pStyle w:val="Heading3"/>
      </w:pPr>
      <w:r>
        <w:t xml:space="preserve">3.2.2 Participants</w:t>
      </w:r>
    </w:p>
    <w:p>
      <w:pPr>
        <w:pStyle w:val="FirstParagraph"/>
      </w:pPr>
      <w:r>
        <w:t xml:space="preserve">We recruited participants in early recovery (1-8 weeks of abstinence) from moderate to severe alcohol use disorder in Madison, Wisconsin, US for a three month longitudinal study.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moderately severe alcohol use disorder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w:t>
      </w:r>
      <w:r>
        <w:rPr>
          <w:rStyle w:val="FootnoteReference"/>
        </w:rPr>
        <w:footnoteReference w:id="92"/>
      </w:r>
    </w:p>
    <w:p>
      <w:pPr>
        <w:pStyle w:val="BodyText"/>
      </w:pPr>
      <w:r>
        <w:t xml:space="preserve">One hundred ninety-two participants were eligible. Of these,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w:t>
      </w:r>
    </w:p>
    <w:bookmarkEnd w:id="93"/>
    <w:bookmarkStart w:id="94" w:name="procedure-1"/>
    <w:p>
      <w:pPr>
        <w:pStyle w:val="Heading3"/>
      </w:pPr>
      <w:r>
        <w:t xml:space="preserve">3.2.3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94"/>
    <w:bookmarkStart w:id="97" w:name="measures-1"/>
    <w:p>
      <w:pPr>
        <w:pStyle w:val="Heading3"/>
      </w:pPr>
      <w:r>
        <w:t xml:space="preserve">3.2.4 Measures</w:t>
      </w:r>
    </w:p>
    <w:bookmarkStart w:id="95" w:name="ecological-momentary-assessments-1"/>
    <w:p>
      <w:pPr>
        <w:pStyle w:val="Heading4"/>
      </w:pPr>
      <w:r>
        <w:t xml:space="preserve">3.2.4.1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95"/>
    <w:bookmarkStart w:id="96" w:name="individual-characteristics"/>
    <w:p>
      <w:pPr>
        <w:pStyle w:val="Heading4"/>
      </w:pPr>
      <w:r>
        <w:t xml:space="preserve">3.2.4.2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to characterize our sample. DSM-5 AUD symptom count and presence of psychological symptoms were also used to determine eligibility. Demographic information was included as features in our models. A subset of these variables (sex at birth, race, ethnicity, and income) were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can be found on our study’s OSF page.</w:t>
      </w:r>
    </w:p>
    <w:bookmarkEnd w:id="96"/>
    <w:bookmarkEnd w:id="97"/>
    <w:bookmarkStart w:id="116" w:name="data-analytic-strategy-1"/>
    <w:p>
      <w:pPr>
        <w:pStyle w:val="Heading3"/>
      </w:pPr>
      <w:r>
        <w:t xml:space="preserve">3.2.5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03" w:name="predictions"/>
    <w:p>
      <w:pPr>
        <w:pStyle w:val="Heading4"/>
      </w:pPr>
      <w:r>
        <w:t xml:space="preserve">3.2.5.1 Predictions</w:t>
      </w:r>
    </w:p>
    <w:p>
      <w:pPr>
        <w:pStyle w:val="FirstParagraph"/>
      </w:pPr>
      <w:r>
        <w:t xml:space="preserve">A</w:t>
      </w:r>
      <w:r>
        <w:t xml:space="preserve"> </w:t>
      </w:r>
      <w:r>
        <w:rPr>
          <w:i/>
          <w:iCs/>
        </w:rPr>
        <w:t xml:space="preserve">prediction timepoint</w:t>
      </w:r>
      <w:r>
        <w:t xml:space="preserve"> </w:t>
      </w:r>
      <w:r>
        <w:t xml:space="preserve">(</w:t>
      </w:r>
      <w:hyperlink w:anchor="fig-methods-lag">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s-lag">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 into the future.</w:t>
      </w:r>
    </w:p>
    <w:p>
      <w:pPr>
        <w:pStyle w:val="BodyText"/>
      </w:pPr>
      <w:r>
        <w:t xml:space="preserve">Given this structure, our models provided hour-by-hour predicted probabilities of an alcohol lapse in a future 24 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 hour periods staring at midnight that day, or similar 24 hour periods starting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101" w:name="fig-methods-lag"/>
          <w:p>
            <w:pPr>
              <w:pStyle w:val="Compact"/>
              <w:jc w:val="center"/>
            </w:pPr>
            <w:r>
              <w:drawing>
                <wp:inline>
                  <wp:extent cx="5334000" cy="4240840"/>
                  <wp:effectExtent b="0" l="0" r="0" t="0"/>
                  <wp:docPr descr="" title="" id="99" name="Picture"/>
                  <a:graphic>
                    <a:graphicData uri="http://schemas.openxmlformats.org/drawingml/2006/picture">
                      <pic:pic>
                        <pic:nvPicPr>
                          <pic:cNvPr descr="index_files/figure-docx/notebooks-figures-fig-methods-lag-output-1.png" id="100" name="Picture"/>
                          <pic:cNvPicPr>
                            <a:picLocks noChangeArrowheads="1" noChangeAspect="1"/>
                          </pic:cNvPicPr>
                        </pic:nvPicPr>
                        <pic:blipFill>
                          <a:blip r:embed="rId98"/>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Make All Figures for Dissertation</w:t>
        </w:r>
      </w:hyperlink>
    </w:p>
    <w:bookmarkEnd w:id="103"/>
    <w:bookmarkStart w:id="105" w:name="labels"/>
    <w:p>
      <w:pPr>
        <w:pStyle w:val="Heading4"/>
      </w:pPr>
      <w:r>
        <w:t xml:space="preserve">3.2.5.2 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r>
        <w:t xml:space="preserve"> </w:t>
      </w:r>
      <w:r>
        <w:rPr>
          <w:rStyle w:val="FootnoteReference"/>
        </w:rPr>
        <w:footnoteReference w:id="104"/>
      </w:r>
    </w:p>
    <w:p>
      <w:pPr>
        <w:pStyle w:val="BodyText"/>
      </w:pPr>
      <w:r>
        <w:t xml:space="preserve">We ended up with a total of 274,179 labels for our baseline (no lag) model, 270,911 labels for our 1-day lagged model, 264,362 labels for our 3-day lagged model, 251,458 labels for our 1-week lagged model, and 228,420 labels for our 2-week lagged model.</w:t>
      </w:r>
    </w:p>
    <w:bookmarkEnd w:id="105"/>
    <w:bookmarkStart w:id="106" w:name="feature-engineering-1"/>
    <w:p>
      <w:pPr>
        <w:pStyle w:val="Heading4"/>
      </w:pPr>
      <w:r>
        <w:t xml:space="preserve">3.2.5.3 Feature Engineering</w:t>
      </w:r>
    </w:p>
    <w:p>
      <w:pPr>
        <w:pStyle w:val="FirstParagraph"/>
      </w:pPr>
      <w:r>
        <w:t xml:space="preserve">Features were calculated using only data collected in feature scoring epochs before each prediction timepoint to ensure our models were making true future predictions. For our no lag models the prediction timepoint was at the start of prediction window, so all data prior to the start of the prediction window was included. For our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for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not White), marital status (married vs. not married vs. other), education (high school or less vs. some college vs. college degree), and employment (employed vs. unemployed).</w:t>
      </w:r>
    </w:p>
    <w:p>
      <w:pPr>
        <w:numPr>
          <w:ilvl w:val="0"/>
          <w:numId w:val="1005"/>
        </w:numPr>
      </w:pPr>
      <w:r>
        <w:rPr>
          <w:i/>
          <w:iCs/>
        </w:rPr>
        <w:t xml:space="preserve">Previous EMA responses</w:t>
      </w:r>
      <w:r>
        <w:t xml:space="preserve">: We created raw and change features using EMAs in varying feature scoring epochs (i.e., 12, 24, 48, 72, and 168 hours) before the prediction timepoint for all EMA items. Raw features included min, max, and median scores for each EMA item across all EMAs in each epoch for that participant. We calculated change features by subtracting each participant’s baseline mean score for each EMA item from their raw feature. These baseline mean scores were calculated using all of their EMAs collected from the start of their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106"/>
    <w:bookmarkStart w:id="115" w:name="model-training-and-evaluation-1"/>
    <w:p>
      <w:pPr>
        <w:pStyle w:val="Heading4"/>
      </w:pPr>
      <w:r>
        <w:t xml:space="preserve">3.2.5.4 Model Training and Evaluation</w:t>
      </w:r>
    </w:p>
    <w:bookmarkStart w:id="107" w:name="model-configurations"/>
    <w:p>
      <w:pPr>
        <w:pStyle w:val="Heading5"/>
      </w:pPr>
      <w:r>
        <w:t xml:space="preserve">3.2.5.4.1 Model Configurations</w:t>
      </w:r>
    </w:p>
    <w:p>
      <w:pPr>
        <w:pStyle w:val="FirstParagraph"/>
      </w:pPr>
      <w:r>
        <w:t xml:space="preserve">We trained and evaluated five separate classification models: one baseline (no lag) model and one model for 1 day, 3 day, 1 week, and 2 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5:1).</w:t>
      </w:r>
    </w:p>
    <w:bookmarkEnd w:id="107"/>
    <w:bookmarkStart w:id="108" w:name="cross-validation"/>
    <w:p>
      <w:pPr>
        <w:pStyle w:val="Heading5"/>
      </w:pPr>
      <w:r>
        <w:t xml:space="preserve">3.2.5.4.2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108"/>
    <w:bookmarkStart w:id="110" w:name="bayesian-model"/>
    <w:p>
      <w:pPr>
        <w:pStyle w:val="Heading5"/>
      </w:pPr>
      <w:r>
        <w:t xml:space="preserve">3.2.5.4.3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109"/>
      </w:r>
      <w:r>
        <w:t xml:space="preserve"> </w:t>
      </w:r>
      <w:r>
        <w:t xml:space="preserve">We set two random intercepts to account for our resampling method: one for the repeat, and another for the fold nested within repeat. We specified two sets of pre-registered contrasts for model comparisons. The first set compared each lagged model to the baseline no lag model (no lag vs. 1-day lag, no lag vs. 3-day lag, no lag vs. 1-week lag, no lag vs. 2-week lag). The second set compared adjacently lagged models (1-day lag vs. 3-day lag, 3-day lag vs. 1-week lag, 1-week lag vs. 2-week lag). auROCs were transformed using the logit function and regressed as a function of model contrast.</w:t>
      </w:r>
    </w:p>
    <w:p>
      <w:pPr>
        <w:pStyle w:val="BodyText"/>
      </w:pPr>
      <w:r>
        <w:t xml:space="preserve">From the Bayesian model we obtained the posterior distribution (transformed back from logit) and Bayeisan CIs for auROCs all five models. To evaluate our models’ overall performance we report the median posterior probability for auROC and Bayesian CIs. This represents our best estimate for the magnitude of the auROC parameter for each model. If the credible intervals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110"/>
    <w:bookmarkStart w:id="113" w:name="fairness-analyses"/>
    <w:p>
      <w:pPr>
        <w:pStyle w:val="Heading5"/>
      </w:pPr>
      <w:r>
        <w:t xml:space="preserve">3.2.5.4.4 Fairness Analyses</w:t>
      </w:r>
    </w:p>
    <w:p>
      <w:pPr>
        <w:pStyle w:val="FirstParagraph"/>
      </w:pPr>
      <w:r>
        <w:t xml:space="preserve">We calculated the median posterior probability and 95% Bayesian CI for auROC for each model separately by race/ethnicity (not White vs. non-Hispanic White), income (below poverty vs. above poverty</w:t>
      </w:r>
      <w:r>
        <w:rPr>
          <w:rStyle w:val="FootnoteReference"/>
        </w:rPr>
        <w:footnoteReference w:id="111"/>
      </w:r>
      <w:r>
        <w:t xml:space="preserve">), and sex at birth (female vs. male). We conducted Bayesian group comparisons to assess the likelihood that each model performs differently by group. We summarize the differences in posterior probabilities for auROC across models.</w:t>
      </w:r>
      <w:r>
        <w:rPr>
          <w:rStyle w:val="FootnoteReference"/>
        </w:rPr>
        <w:footnoteReference w:id="112"/>
      </w:r>
    </w:p>
    <w:bookmarkEnd w:id="113"/>
    <w:bookmarkStart w:id="114" w:name="feature-importance"/>
    <w:p>
      <w:pPr>
        <w:pStyle w:val="Heading5"/>
      </w:pPr>
      <w:r>
        <w:t xml:space="preserve">3.2.5.4.5 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&amp;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and the rate of past alcohol use.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114"/>
    <w:bookmarkEnd w:id="115"/>
    <w:bookmarkEnd w:id="116"/>
    <w:bookmarkEnd w:id="117"/>
    <w:bookmarkStart w:id="119" w:name="results-1"/>
    <w:p>
      <w:pPr>
        <w:pStyle w:val="Heading2"/>
      </w:pPr>
      <w:r>
        <w:t xml:space="preserve">3.3 Results</w:t>
      </w:r>
    </w:p>
    <w:bookmarkStart w:id="118" w:name="demographic-and-lapse-characteristics"/>
    <w:p>
      <w:pPr>
        <w:pStyle w:val="Heading3"/>
      </w:pPr>
      <w:r>
        <w:t xml:space="preserve">3.3.1 Demographic and Lapse Characteristics</w:t>
      </w:r>
    </w:p>
    <w:p>
      <w:pPr>
        <w:pStyle w:val="FirstParagraph"/>
      </w:pPr>
      <w:hyperlink w:anchor="tbl-dem">
        <w:r>
          <w:rPr>
            <w:rStyle w:val="Hyperlink"/>
          </w:rPr>
          <w:t xml:space="preserve">Table 1</w:t>
        </w:r>
      </w:hyperlink>
      <w:r>
        <w:t xml:space="preserve"> </w:t>
      </w:r>
      <w:r>
        <w:t xml:space="preserve">in Chapter 2 provides a detailed breakdown of the demographic and clinical characteristics of our sample (N = 151).</w:t>
      </w:r>
    </w:p>
    <w:bookmarkEnd w:id="118"/>
    <w:bookmarkEnd w:id="119"/>
    <w:bookmarkStart w:id="125" w:name="model-evaluation"/>
    <w:p>
      <w:pPr>
        <w:pStyle w:val="Heading2"/>
      </w:pPr>
      <w:r>
        <w:t xml:space="preserve">3.4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23" w:name="fig-2-lag"/>
          <w:p>
            <w:pPr>
              <w:pStyle w:val="Compact"/>
              <w:jc w:val="center"/>
            </w:pPr>
            <w:r>
              <w:drawing>
                <wp:inline>
                  <wp:extent cx="5334000" cy="4572000"/>
                  <wp:effectExtent b="0" l="0" r="0" t="0"/>
                  <wp:docPr descr="" title="" id="121" name="Picture"/>
                  <a:graphic>
                    <a:graphicData uri="http://schemas.openxmlformats.org/drawingml/2006/picture">
                      <pic:pic>
                        <pic:nvPicPr>
                          <pic:cNvPr descr="index_files/figure-docx/notebooks-figures-fig-2-lag-output-1.png" id="122" name="Picture"/>
                          <pic:cNvPicPr>
                            <a:picLocks noChangeArrowheads="1" noChangeAspect="1"/>
                          </pic:cNvPicPr>
                        </pic:nvPicPr>
                        <pic:blipFill>
                          <a:blip r:embed="rId120"/>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Posterior probability distributions for area under ROC curve (auROC) for each model (no lag, 1-day, 3-day, 1-week, and 2-week lag). Horizonatal lines depict 95% Bayesian credible intervals (CI) and vertical solid lines depict median posterior probability for auROC. Vertical dashed line represents expected performance from a random classifier (.5 auROC).</w:t>
            </w:r>
          </w:p>
          <w:bookmarkEnd w:id="123"/>
        </w:tc>
      </w:tr>
    </w:tbl>
    <w:p>
      <w:pPr>
        <w:pStyle w:val="BodyText"/>
      </w:pPr>
      <w:r>
        <w:rPr>
          <w:vertAlign w:val="subscript"/>
        </w:rPr>
        <w:t xml:space="preserve">Source:</w:t>
      </w:r>
      <w:r>
        <w:rPr>
          <w:vertAlign w:val="subscript"/>
        </w:rPr>
        <w:t xml:space="preserve"> </w:t>
      </w:r>
      <w:hyperlink r:id="rId124">
        <w:r>
          <w:rPr>
            <w:rStyle w:val="Hyperlink"/>
            <w:vertAlign w:val="subscript"/>
          </w:rPr>
          <w:t xml:space="preserve">Make All Figures for Dissertation</w:t>
        </w:r>
      </w:hyperlink>
    </w:p>
    <w:bookmarkEnd w:id="125"/>
    <w:bookmarkStart w:id="128" w:name="model-comparisons"/>
    <w:p>
      <w:pPr>
        <w:pStyle w:val="Heading2"/>
      </w:pPr>
      <w:r>
        <w:t xml:space="preserve">3.5 Model Comparisons</w:t>
      </w:r>
    </w:p>
    <w:p>
      <w:pPr>
        <w:pStyle w:val="FirstParagraph"/>
      </w:pPr>
      <w:hyperlink w:anchor="tbl-contrast-lag">
        <w:r>
          <w:rPr>
            <w:rStyle w:val="Hyperlink"/>
          </w:rPr>
          <w:t xml:space="preserve">Table 3</w:t>
        </w:r>
      </w:hyperlink>
      <w:r>
        <w:t xml:space="preserve"> </w:t>
      </w:r>
      <w:r>
        <w:t xml:space="preserve">presents the median difference in auROC, 95% Bayesian CI, and posterior probability that that the auROC difference was greater than 0 for all baseline and adjacent lag contrasts. Median auROC differences greater than 0 indicate the more immediate model, on average, out-performed the more lagged model (e.g., no lag - 1-day lag, 1-day lag - 3-day lag). There was strong evidence (probabilities &gt; .98) that the lagged models performed worse than the baseline (no lag) model, with average drops in auROC ranging from -0.06–0.02, and the previous adjacent lagged model, with average drops in auROC ranging from -0.02–0.01.</w:t>
      </w:r>
    </w:p>
    <w:tbl>
      <w:tblPr>
        <w:tblStyle w:val="Table"/>
        <w:tblW w:type="pct" w:w="5000"/>
        <w:tblLayout w:type="fixed"/>
        <w:tblLook w:firstRow="0" w:lastRow="0" w:firstColumn="0" w:lastColumn="0" w:noHBand="0" w:noVBand="0" w:val="0000"/>
      </w:tblPr>
      <w:tblGrid>
        <w:gridCol w:w="7920"/>
      </w:tblGrid>
      <w:tr>
        <w:tc>
          <w:tcPr/>
          <w:bookmarkStart w:id="126" w:name="tbl-contrast-lag"/>
          <w:p>
            <w:pPr>
              <w:jc w:val="center"/>
            </w:pPr>
            <w:pPr>
              <w:jc w:val="start"/>
              <w:spacing w:before="200"/>
              <w:pStyle w:val="ImageCaption"/>
            </w:pPr>
            <w:r>
              <w:t xml:space="preserve">Table 3: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p>
                  <w:pPr>
                    <w:pStyle w:val="Compact"/>
                    <w:jc w:val="left"/>
                    <w:jc w:val="center"/>
                  </w:pPr>
                  <w:r>
                    <w:t xml:space="preserve">No lag vs. 1 day</w:t>
                  </w:r>
                </w:p>
              </w:tc>
              <w:tc>
                <w:tcPr/>
                <w:p>
                  <w:pPr>
                    <w:pStyle w:val="Compact"/>
                    <w:jc w:val="left"/>
                    <w:jc w:val="center"/>
                  </w:pPr>
                  <w:r>
                    <w:t xml:space="preserve">0.02</w:t>
                  </w:r>
                </w:p>
              </w:tc>
              <w:tc>
                <w:tcPr/>
                <w:p>
                  <w:pPr>
                    <w:pStyle w:val="Compact"/>
                    <w:jc w:val="left"/>
                    <w:jc w:val="center"/>
                  </w:pPr>
                  <w:r>
                    <w:t xml:space="preserve">[0.013, 0.027]</w:t>
                  </w:r>
                </w:p>
              </w:tc>
              <w:tc>
                <w:tcPr/>
                <w:p>
                  <w:pPr>
                    <w:pStyle w:val="Compact"/>
                    <w:jc w:val="left"/>
                    <w:jc w:val="center"/>
                  </w:pPr>
                  <w:r>
                    <w:t xml:space="preserve">1</w:t>
                  </w:r>
                </w:p>
              </w:tc>
            </w:tr>
            <w:tr>
              <w:tc>
                <w:tcPr/>
                <w:p>
                  <w:pPr>
                    <w:pStyle w:val="Compact"/>
                    <w:jc w:val="left"/>
                    <w:jc w:val="center"/>
                  </w:pPr>
                  <w:r>
                    <w:t xml:space="preserve">No lag vs. 3 days</w:t>
                  </w:r>
                </w:p>
              </w:tc>
              <w:tc>
                <w:tcPr/>
                <w:p>
                  <w:pPr>
                    <w:pStyle w:val="Compact"/>
                    <w:jc w:val="left"/>
                    <w:jc w:val="center"/>
                  </w:pPr>
                  <w:r>
                    <w:t xml:space="preserve">0.032</w:t>
                  </w:r>
                </w:p>
              </w:tc>
              <w:tc>
                <w:tcPr/>
                <w:p>
                  <w:pPr>
                    <w:pStyle w:val="Compact"/>
                    <w:jc w:val="left"/>
                    <w:jc w:val="center"/>
                  </w:pPr>
                  <w:r>
                    <w:t xml:space="preserve">[0.025, 0.04]</w:t>
                  </w:r>
                </w:p>
              </w:tc>
              <w:tc>
                <w:tcPr/>
                <w:p>
                  <w:pPr>
                    <w:pStyle w:val="Compact"/>
                    <w:jc w:val="left"/>
                    <w:jc w:val="center"/>
                  </w:pPr>
                  <w:r>
                    <w:t xml:space="preserve">1</w:t>
                  </w:r>
                </w:p>
              </w:tc>
            </w:tr>
            <w:tr>
              <w:tc>
                <w:tcPr/>
                <w:p>
                  <w:pPr>
                    <w:pStyle w:val="Compact"/>
                    <w:jc w:val="left"/>
                    <w:jc w:val="center"/>
                  </w:pPr>
                  <w:r>
                    <w:t xml:space="preserve">No lag vs. 1 week</w:t>
                  </w:r>
                </w:p>
              </w:tc>
              <w:tc>
                <w:tcPr/>
                <w:p>
                  <w:pPr>
                    <w:pStyle w:val="Compact"/>
                    <w:jc w:val="left"/>
                    <w:jc w:val="center"/>
                  </w:pPr>
                  <w:r>
                    <w:t xml:space="preserve">0.043</w:t>
                  </w:r>
                </w:p>
              </w:tc>
              <w:tc>
                <w:tcPr/>
                <w:p>
                  <w:pPr>
                    <w:pStyle w:val="Compact"/>
                    <w:jc w:val="left"/>
                    <w:jc w:val="center"/>
                  </w:pPr>
                  <w:r>
                    <w:t xml:space="preserve">[0.035, 0.052]</w:t>
                  </w:r>
                </w:p>
              </w:tc>
              <w:tc>
                <w:tcPr/>
                <w:p>
                  <w:pPr>
                    <w:pStyle w:val="Compact"/>
                    <w:jc w:val="left"/>
                    <w:jc w:val="center"/>
                  </w:pPr>
                  <w:r>
                    <w:t xml:space="preserve">1</w:t>
                  </w:r>
                </w:p>
              </w:tc>
            </w:tr>
            <w:tr>
              <w:tc>
                <w:tcPr/>
                <w:p>
                  <w:pPr>
                    <w:pStyle w:val="Compact"/>
                    <w:jc w:val="left"/>
                    <w:jc w:val="center"/>
                  </w:pPr>
                  <w:r>
                    <w:t xml:space="preserve">No lag vs. 2 weeks</w:t>
                  </w:r>
                </w:p>
              </w:tc>
              <w:tc>
                <w:tcPr/>
                <w:p>
                  <w:pPr>
                    <w:pStyle w:val="Compact"/>
                    <w:jc w:val="left"/>
                    <w:jc w:val="center"/>
                  </w:pPr>
                  <w:r>
                    <w:t xml:space="preserve">0.063</w:t>
                  </w:r>
                </w:p>
              </w:tc>
              <w:tc>
                <w:tcPr/>
                <w:p>
                  <w:pPr>
                    <w:pStyle w:val="Compact"/>
                    <w:jc w:val="left"/>
                    <w:jc w:val="center"/>
                  </w:pPr>
                  <w:r>
                    <w:t xml:space="preserve">[0.053, 0.073]</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p>
                  <w:pPr>
                    <w:pStyle w:val="Compact"/>
                    <w:jc w:val="left"/>
                    <w:jc w:val="center"/>
                  </w:pPr>
                  <w:r>
                    <w:t xml:space="preserve">1 day vs. 3 days</w:t>
                  </w:r>
                </w:p>
              </w:tc>
              <w:tc>
                <w:tcPr/>
                <w:p>
                  <w:pPr>
                    <w:pStyle w:val="Compact"/>
                    <w:jc w:val="left"/>
                    <w:jc w:val="center"/>
                  </w:pPr>
                  <w:r>
                    <w:t xml:space="preserve">0.012</w:t>
                  </w:r>
                </w:p>
              </w:tc>
              <w:tc>
                <w:tcPr/>
                <w:p>
                  <w:pPr>
                    <w:pStyle w:val="Compact"/>
                    <w:jc w:val="left"/>
                    <w:jc w:val="center"/>
                  </w:pPr>
                  <w:r>
                    <w:t xml:space="preserve">[0.005, 0.02]</w:t>
                  </w:r>
                </w:p>
              </w:tc>
              <w:tc>
                <w:tcPr/>
                <w:p>
                  <w:pPr>
                    <w:pStyle w:val="Compact"/>
                    <w:jc w:val="left"/>
                    <w:jc w:val="center"/>
                  </w:pPr>
                  <w:r>
                    <w:t xml:space="preserve">0.999</w:t>
                  </w:r>
                </w:p>
              </w:tc>
            </w:tr>
            <w:tr>
              <w:tc>
                <w:tcPr/>
                <w:p>
                  <w:pPr>
                    <w:pStyle w:val="Compact"/>
                    <w:jc w:val="left"/>
                    <w:jc w:val="center"/>
                  </w:pPr>
                  <w:r>
                    <w:t xml:space="preserve">3 days vs. 1 week</w:t>
                  </w:r>
                </w:p>
              </w:tc>
              <w:tc>
                <w:tcPr/>
                <w:p>
                  <w:pPr>
                    <w:pStyle w:val="Compact"/>
                    <w:jc w:val="left"/>
                    <w:jc w:val="center"/>
                  </w:pPr>
                  <w:r>
                    <w:t xml:space="preserve">0.011</w:t>
                  </w:r>
                </w:p>
              </w:tc>
              <w:tc>
                <w:tcPr/>
                <w:p>
                  <w:pPr>
                    <w:pStyle w:val="Compact"/>
                    <w:jc w:val="left"/>
                    <w:jc w:val="center"/>
                  </w:pPr>
                  <w:r>
                    <w:t xml:space="preserve">[0.003, 0.018]</w:t>
                  </w:r>
                </w:p>
              </w:tc>
              <w:tc>
                <w:tcPr/>
                <w:p>
                  <w:pPr>
                    <w:pStyle w:val="Compact"/>
                    <w:jc w:val="left"/>
                    <w:jc w:val="center"/>
                  </w:pPr>
                  <w:r>
                    <w:t xml:space="preserve">0.989</w:t>
                  </w:r>
                </w:p>
              </w:tc>
            </w:tr>
            <w:tr>
              <w:tc>
                <w:tcPr/>
                <w:p>
                  <w:pPr>
                    <w:pStyle w:val="Compact"/>
                    <w:jc w:val="left"/>
                    <w:jc w:val="center"/>
                  </w:pPr>
                  <w:r>
                    <w:t xml:space="preserve">1 week vs. 2 weeks</w:t>
                  </w:r>
                </w:p>
              </w:tc>
              <w:tc>
                <w:tcPr/>
                <w:p>
                  <w:pPr>
                    <w:pStyle w:val="Compact"/>
                    <w:jc w:val="left"/>
                    <w:jc w:val="center"/>
                  </w:pPr>
                  <w:r>
                    <w:t xml:space="preserve">0.02</w:t>
                  </w:r>
                </w:p>
              </w:tc>
              <w:tc>
                <w:tcPr/>
                <w:p>
                  <w:pPr>
                    <w:pStyle w:val="Compact"/>
                    <w:jc w:val="left"/>
                    <w:jc w:val="center"/>
                  </w:pPr>
                  <w:r>
                    <w:t xml:space="preserve">[0.011, 0.029]</w:t>
                  </w:r>
                </w:p>
              </w:tc>
              <w:tc>
                <w:tcPr/>
                <w:p>
                  <w:pPr>
                    <w:pStyle w:val="Compact"/>
                    <w:jc w:val="left"/>
                    <w:jc w:val="center"/>
                  </w:pPr>
                  <w:r>
                    <w:t xml:space="preserve">1</w:t>
                  </w:r>
                </w:p>
              </w:tc>
            </w:tr>
          </w:tbl>
          <w:bookmarkEnd w:id="126"/>
          <w:p/>
        </w:tc>
      </w:tr>
    </w:tbl>
    <w:p>
      <w:pPr>
        <w:pStyle w:val="BodyText"/>
      </w:pPr>
      <w:r>
        <w:rPr>
          <w:vertAlign w:val="subscript"/>
        </w:rPr>
        <w:t xml:space="preserve">Source:</w:t>
      </w:r>
      <w:r>
        <w:rPr>
          <w:vertAlign w:val="subscript"/>
        </w:rPr>
        <w:t xml:space="preserve"> </w:t>
      </w:r>
      <w:hyperlink r:id="rId127">
        <w:r>
          <w:rPr>
            <w:rStyle w:val="Hyperlink"/>
            <w:vertAlign w:val="subscript"/>
          </w:rPr>
          <w:t xml:space="preserve">Make All Tables for Dissertation</w:t>
        </w:r>
      </w:hyperlink>
    </w:p>
    <w:bookmarkEnd w:id="128"/>
    <w:bookmarkStart w:id="131" w:name="fairness-analyses-1"/>
    <w:p>
      <w:pPr>
        <w:pStyle w:val="Heading2"/>
      </w:pPr>
      <w:r>
        <w:t xml:space="preserve">3.6 Fairness Analyses</w:t>
      </w:r>
    </w:p>
    <w:p>
      <w:pPr>
        <w:pStyle w:val="FirstParagraph"/>
      </w:pPr>
      <w:hyperlink w:anchor="tbl-fairness">
        <w:r>
          <w:rPr>
            <w:rStyle w:val="Hyperlink"/>
          </w:rPr>
          <w:t xml:space="preserve">Table 4</w:t>
        </w:r>
      </w:hyperlink>
      <w:r>
        <w:t xml:space="preserve"> </w:t>
      </w:r>
      <w:r>
        <w:t xml:space="preserve">presents the median difference in auROC, 95% Bayesian CI, and posterior probability that the auROC difference was greater than 0 for the three fairness contrasts: race/ethnicity (Non-Hispanic White;</w:t>
      </w:r>
      <w:r>
        <w:t xml:space="preserve"> </w:t>
      </w:r>
      <w:r>
        <w:rPr>
          <w:i/>
          <w:iCs/>
        </w:rPr>
        <w:t xml:space="preserve">N</w:t>
      </w:r>
      <w:r>
        <w:t xml:space="preserve"> </w:t>
      </w:r>
      <w:r>
        <w:t xml:space="preserve">= 131 vs. not White;</w:t>
      </w:r>
      <w:r>
        <w:t xml:space="preserve"> </w:t>
      </w:r>
      <w:r>
        <w:rPr>
          <w:i/>
          <w:iCs/>
        </w:rPr>
        <w:t xml:space="preserve">N</w:t>
      </w:r>
      <w:r>
        <w:t xml:space="preserve"> </w:t>
      </w:r>
      <w:r>
        <w:t xml:space="preserve">= 20), sex at birth (male;</w:t>
      </w:r>
      <w:r>
        <w:t xml:space="preserve"> </w:t>
      </w:r>
      <w:r>
        <w:rPr>
          <w:i/>
          <w:iCs/>
        </w:rPr>
        <w:t xml:space="preserve">N</w:t>
      </w:r>
      <w:r>
        <w:t xml:space="preserve"> </w:t>
      </w:r>
      <w:r>
        <w:t xml:space="preserve">= 77 vs. female;</w:t>
      </w:r>
      <w:r>
        <w:t xml:space="preserve"> </w:t>
      </w:r>
      <w:r>
        <w:rPr>
          <w:i/>
          <w:iCs/>
        </w:rPr>
        <w:t xml:space="preserve">N</w:t>
      </w:r>
      <w:r>
        <w:t xml:space="preserve"> </w:t>
      </w:r>
      <w:r>
        <w:t xml:space="preserve">= 74), and income (above poverty;</w:t>
      </w:r>
      <w:r>
        <w:t xml:space="preserve"> </w:t>
      </w:r>
      <w:r>
        <w:rPr>
          <w:i/>
          <w:iCs/>
        </w:rPr>
        <w:t xml:space="preserve">N</w:t>
      </w:r>
      <w:r>
        <w:t xml:space="preserve"> </w:t>
      </w:r>
      <w:r>
        <w:t xml:space="preserve">= 102 vs. below poverty;</w:t>
      </w:r>
      <w:r>
        <w:t xml:space="preserve"> </w:t>
      </w:r>
      <w:r>
        <w:rPr>
          <w:i/>
          <w:iCs/>
        </w:rPr>
        <w:t xml:space="preserve">N</w:t>
      </w:r>
      <w:r>
        <w:t xml:space="preserve"> </w:t>
      </w:r>
      <w:r>
        <w:t xml:space="preserve">= 49). Median auROC differences greater than 0 indicate the model, on average, performed better for the advantaged group (male, non-Hispanic White, and above poverty) compared to the non-advantaged group (female, not White, below poverty). In</w:t>
      </w:r>
      <w:r>
        <w:t xml:space="preserve"> </w:t>
      </w:r>
      <w:hyperlink w:anchor="tbl-fairness">
        <w:r>
          <w:rPr>
            <w:rStyle w:val="Hyperlink"/>
          </w:rPr>
          <w:t xml:space="preserve">Table 4</w:t>
        </w:r>
      </w:hyperlink>
      <w:r>
        <w:t xml:space="preserve"> </w:t>
      </w:r>
      <w:r>
        <w:t xml:space="preserve">we present fairness analyses for our baseline model (no lag) and for our longest lagged model (2-week lag), as this is likely the most clinically useful lagged model for providing advanced warning of lapse risk. There was strong evidence (probabilities &gt; .96) that our models performed better for the advantaged groups compared to the non-advantaged groups. On average, across all five models, there was a median decrease in auROC of NA (range NA-NA) for participants who were not White compared to non-Hispanic White participants. On average, across all five models, there was a median decrease in auROC of NA (range NA-NA) for female participants compared to male participants. On average, across all five models, there was a median decrease in auROC of NA (range NA-NA) for participants below the federal poverty line compared to participants above the federal poverty line.</w:t>
      </w:r>
    </w:p>
    <w:tbl>
      <w:tblPr>
        <w:tblStyle w:val="Table"/>
        <w:tblW w:type="pct" w:w="5000"/>
        <w:tblLayout w:type="fixed"/>
        <w:tblLook w:firstRow="0" w:lastRow="0" w:firstColumn="0" w:lastColumn="0" w:noHBand="0" w:noVBand="0" w:val="0000"/>
      </w:tblPr>
      <w:tblGrid>
        <w:gridCol w:w="7920"/>
      </w:tblGrid>
      <w:tr>
        <w:tc>
          <w:tcPr/>
          <w:bookmarkStart w:id="129" w:name="tbl-fairness"/>
          <w:p>
            <w:pPr>
              <w:jc w:val="center"/>
            </w:pPr>
            <w:pPr>
              <w:jc w:val="start"/>
              <w:spacing w:before="200"/>
              <w:pStyle w:val="ImageCaption"/>
            </w:pPr>
            <w:r>
              <w:t xml:space="preserve">Table 4: Median difference in auROC, 95% Bayesian credible interval (CI), and posterior probability that that the auROC difference was greater than 0 for all baseline and adjacent lag contrasts.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0.042</w:t>
                  </w:r>
                </w:p>
              </w:tc>
              <w:tc>
                <w:tcPr/>
                <w:p>
                  <w:pPr>
                    <w:pStyle w:val="Compact"/>
                    <w:jc w:val="left"/>
                    <w:jc w:val="center"/>
                  </w:pPr>
                  <w:r>
                    <w:t xml:space="preserve">[0.026, 0.058]</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0.211</w:t>
                  </w:r>
                </w:p>
              </w:tc>
              <w:tc>
                <w:tcPr/>
                <w:p>
                  <w:pPr>
                    <w:pStyle w:val="Compact"/>
                    <w:jc w:val="left"/>
                    <w:jc w:val="center"/>
                  </w:pPr>
                  <w:r>
                    <w:t xml:space="preserve">[0.052, 0.421]</w:t>
                  </w:r>
                </w:p>
              </w:tc>
              <w:tc>
                <w:tcPr/>
                <w:p>
                  <w:pPr>
                    <w:pStyle w:val="Compact"/>
                    <w:jc w:val="left"/>
                    <w:jc w:val="center"/>
                  </w:pPr>
                  <w:r>
                    <w:t xml:space="preserve">0.99</w:t>
                  </w:r>
                </w:p>
              </w:tc>
            </w:tr>
            <w:tr>
              <w:tc>
                <w:tcPr/>
                <w:p>
                  <w:pPr>
                    <w:pStyle w:val="Compact"/>
                    <w:jc w:val="left"/>
                    <w:jc w:val="center"/>
                  </w:pPr>
                  <w:r>
                    <w:t xml:space="preserve">above poverty vs. below poverty</w:t>
                  </w:r>
                </w:p>
              </w:tc>
              <w:tc>
                <w:tcPr/>
                <w:p>
                  <w:pPr>
                    <w:pStyle w:val="Compact"/>
                    <w:jc w:val="left"/>
                    <w:jc w:val="center"/>
                  </w:pPr>
                  <w:r>
                    <w:t xml:space="preserve">0.026</w:t>
                  </w:r>
                </w:p>
              </w:tc>
              <w:tc>
                <w:tcPr/>
                <w:p>
                  <w:pPr>
                    <w:pStyle w:val="Compact"/>
                    <w:jc w:val="left"/>
                    <w:jc w:val="center"/>
                  </w:pPr>
                  <w:r>
                    <w:t xml:space="preserve">[0.002, 0.051]</w:t>
                  </w:r>
                </w:p>
              </w:tc>
              <w:tc>
                <w:tcPr/>
                <w:p>
                  <w:pPr>
                    <w:pStyle w:val="Compact"/>
                    <w:jc w:val="left"/>
                    <w:jc w:val="center"/>
                  </w:pPr>
                  <w:r>
                    <w:t xml:space="preserve">0.964</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p>
                  <w:pPr>
                    <w:pStyle w:val="Compact"/>
                    <w:jc w:val="left"/>
                    <w:jc w:val="center"/>
                  </w:pPr>
                  <w:r>
                    <w:t xml:space="preserve">male vs. female</w:t>
                  </w:r>
                </w:p>
              </w:tc>
              <w:tc>
                <w:tcPr/>
                <w:p>
                  <w:pPr>
                    <w:pStyle w:val="Compact"/>
                    <w:jc w:val="left"/>
                    <w:jc w:val="center"/>
                  </w:pPr>
                  <w:r>
                    <w:t xml:space="preserve">0.098</w:t>
                  </w:r>
                </w:p>
              </w:tc>
              <w:tc>
                <w:tcPr/>
                <w:p>
                  <w:pPr>
                    <w:pStyle w:val="Compact"/>
                    <w:jc w:val="left"/>
                    <w:jc w:val="center"/>
                  </w:pPr>
                  <w:r>
                    <w:t xml:space="preserve">[0.077, 0.12]</w:t>
                  </w:r>
                </w:p>
              </w:tc>
              <w:tc>
                <w:tcPr/>
                <w:p>
                  <w:pPr>
                    <w:pStyle w:val="Compact"/>
                    <w:jc w:val="left"/>
                    <w:jc w:val="center"/>
                  </w:pPr>
                  <w:r>
                    <w:t xml:space="preserve">1</w:t>
                  </w:r>
                </w:p>
              </w:tc>
            </w:tr>
            <w:tr>
              <w:tc>
                <w:tcPr/>
                <w:p>
                  <w:pPr>
                    <w:pStyle w:val="Compact"/>
                    <w:jc w:val="left"/>
                    <w:jc w:val="center"/>
                  </w:pPr>
                  <w:r>
                    <w:t xml:space="preserve">non-Hispanic White vs. not White</w:t>
                  </w:r>
                </w:p>
              </w:tc>
              <w:tc>
                <w:tcPr/>
                <w:p>
                  <w:pPr>
                    <w:pStyle w:val="Compact"/>
                    <w:jc w:val="left"/>
                    <w:jc w:val="center"/>
                  </w:pPr>
                  <w:r>
                    <w:t xml:space="preserve">0.109</w:t>
                  </w:r>
                </w:p>
              </w:tc>
              <w:tc>
                <w:tcPr/>
                <w:p>
                  <w:pPr>
                    <w:pStyle w:val="Compact"/>
                    <w:jc w:val="left"/>
                    <w:jc w:val="center"/>
                  </w:pPr>
                  <w:r>
                    <w:t xml:space="preserve">[0.062, 0.159]</w:t>
                  </w:r>
                </w:p>
              </w:tc>
              <w:tc>
                <w:tcPr/>
                <w:p>
                  <w:pPr>
                    <w:pStyle w:val="Compact"/>
                    <w:jc w:val="left"/>
                    <w:jc w:val="center"/>
                  </w:pPr>
                  <w:r>
                    <w:t xml:space="preserve">1</w:t>
                  </w:r>
                </w:p>
              </w:tc>
            </w:tr>
            <w:tr>
              <w:tc>
                <w:tcPr/>
                <w:p>
                  <w:pPr>
                    <w:pStyle w:val="Compact"/>
                    <w:jc w:val="left"/>
                    <w:jc w:val="center"/>
                  </w:pPr>
                  <w:r>
                    <w:t xml:space="preserve">above poverty vs. below poverty</w:t>
                  </w:r>
                </w:p>
              </w:tc>
              <w:tc>
                <w:tcPr/>
                <w:p>
                  <w:pPr>
                    <w:pStyle w:val="Compact"/>
                    <w:jc w:val="left"/>
                    <w:jc w:val="center"/>
                  </w:pPr>
                  <w:r>
                    <w:t xml:space="preserve">0.058</w:t>
                  </w:r>
                </w:p>
              </w:tc>
              <w:tc>
                <w:tcPr/>
                <w:p>
                  <w:pPr>
                    <w:pStyle w:val="Compact"/>
                    <w:jc w:val="left"/>
                    <w:jc w:val="center"/>
                  </w:pPr>
                  <w:r>
                    <w:t xml:space="preserve">[0.025, 0.09]</w:t>
                  </w:r>
                </w:p>
              </w:tc>
              <w:tc>
                <w:tcPr/>
                <w:p>
                  <w:pPr>
                    <w:pStyle w:val="Compact"/>
                    <w:jc w:val="left"/>
                    <w:jc w:val="center"/>
                  </w:pPr>
                  <w:r>
                    <w:t xml:space="preserve">0.997</w:t>
                  </w:r>
                </w:p>
              </w:tc>
            </w:tr>
          </w:tbl>
          <w:bookmarkEnd w:id="129"/>
          <w:p/>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Make All Tables for Dissertation</w:t>
        </w:r>
      </w:hyperlink>
    </w:p>
    <w:bookmarkEnd w:id="131"/>
    <w:bookmarkStart w:id="137" w:name="feature-importance-1"/>
    <w:p>
      <w:pPr>
        <w:pStyle w:val="Heading2"/>
      </w:pPr>
      <w:r>
        <w:t xml:space="preserve">3.7 Feature Importance</w:t>
      </w:r>
    </w:p>
    <w:p>
      <w:pPr>
        <w:pStyle w:val="FirstParagraph"/>
      </w:pPr>
      <w:r>
        <w:t xml:space="preserve">Global feature importance is an indicator of how important a feature category was to the model’s predictions, on average (i.e., across all participants and all observations). The top three globally important feature categories (i.e., highest mean |Shapley value|) for all models were past use, future efficacy, and craving. This was also consistent across demographic groups. Panel A of</w:t>
      </w:r>
      <w:r>
        <w:t xml:space="preserve"> </w:t>
      </w:r>
      <w:hyperlink w:anchor="fig-3-lag">
        <w:r>
          <w:rPr>
            <w:rStyle w:val="Hyperlink"/>
          </w:rPr>
          <w:t xml:space="preserve">Figure 6</w:t>
        </w:r>
      </w:hyperlink>
      <w:r>
        <w:t xml:space="preserve"> </w:t>
      </w:r>
      <w:r>
        <w:t xml:space="preserve">shows the relative ranking of feature categories for the no lag and 2-week lag models.</w:t>
      </w:r>
    </w:p>
    <w:p>
      <w:pPr>
        <w:pStyle w:val="BodyText"/>
      </w:pPr>
      <w:r>
        <w:t xml:space="preserve">Local feature importance is an indicator of how important a feature category is at a specific prediction timepoint (i.e., for a single individual on a specific day). Local importance can be used to map feature categories onto clinical interventions and recommendations (e.g., What does this individual need right now?). Panel B of</w:t>
      </w:r>
      <w:r>
        <w:t xml:space="preserve"> </w:t>
      </w:r>
      <w:hyperlink w:anchor="fig-3-lag">
        <w:r>
          <w:rPr>
            <w:rStyle w:val="Hyperlink"/>
          </w:rPr>
          <w:t xml:space="preserve">Figure 6</w:t>
        </w:r>
      </w:hyperlink>
      <w:r>
        <w:t xml:space="preserve"> </w:t>
      </w:r>
      <w:r>
        <w:t xml:space="preserve">shows the range of local feature importance (minimum Shapley value and maximum Shapley value) for each EMA feature category for the no lag and 2-week lag models. This plot suggests that even feature categories with low global importance (e.g., past pleasant event) have a wide range of local importance values, suggesting that for some people at some moments in time these features are clinically important.</w:t>
      </w:r>
    </w:p>
    <w:tbl>
      <w:tblPr>
        <w:tblStyle w:val="Table"/>
        <w:tblW w:type="pct" w:w="5000"/>
        <w:tblLayout w:type="fixed"/>
        <w:tblLook w:firstRow="0" w:lastRow="0" w:firstColumn="0" w:lastColumn="0" w:noHBand="0" w:noVBand="0" w:val="0000"/>
      </w:tblPr>
      <w:tblGrid>
        <w:gridCol w:w="7920"/>
      </w:tblGrid>
      <w:tr>
        <w:tc>
          <w:tcPr/>
          <w:bookmarkStart w:id="135" w:name="fig-3-lag"/>
          <w:p>
            <w:pPr>
              <w:pStyle w:val="Compact"/>
              <w:jc w:val="center"/>
            </w:pPr>
            <w:r>
              <w:drawing>
                <wp:inline>
                  <wp:extent cx="5334000" cy="3333750"/>
                  <wp:effectExtent b="0" l="0" r="0" t="0"/>
                  <wp:docPr descr="" title="" id="133" name="Picture"/>
                  <a:graphic>
                    <a:graphicData uri="http://schemas.openxmlformats.org/drawingml/2006/picture">
                      <pic:pic>
                        <pic:nvPicPr>
                          <pic:cNvPr descr="index_files/figure-docx/notebooks-figures-fig-3-lag-output-1.png" id="134" name="Picture"/>
                          <pic:cNvPicPr>
                            <a:picLocks noChangeArrowheads="1" noChangeAspect="1"/>
                          </pic:cNvPicPr>
                        </pic:nvPicPr>
                        <pic:blipFill>
                          <a:blip r:embed="rId1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Panel A displays the global importance (mean |Shapley value|) for feature categories for the no lag and 2-week lag models. Feature categories are ordered by their aggregate global importance. The importance of each feature category for each model is displayed separately by color. Panels B displays the variation in local feature importance for the no lag and 2-week lag models. Lines start at minimum Shapley value and end at maximum Shapley value.</w:t>
            </w:r>
          </w:p>
          <w:bookmarkEnd w:id="135"/>
        </w:tc>
      </w:tr>
    </w:tbl>
    <w:p>
      <w:pPr>
        <w:pStyle w:val="BodyText"/>
      </w:pPr>
      <w:r>
        <w:rPr>
          <w:vertAlign w:val="subscript"/>
        </w:rPr>
        <w:t xml:space="preserve">Source:</w:t>
      </w:r>
      <w:r>
        <w:rPr>
          <w:vertAlign w:val="subscript"/>
        </w:rPr>
        <w:t xml:space="preserve"> </w:t>
      </w:r>
      <w:hyperlink r:id="rId136">
        <w:r>
          <w:rPr>
            <w:rStyle w:val="Hyperlink"/>
            <w:vertAlign w:val="subscript"/>
          </w:rPr>
          <w:t xml:space="preserve">Make All Figures for Dissertation</w:t>
        </w:r>
      </w:hyperlink>
    </w:p>
    <w:bookmarkEnd w:id="137"/>
    <w:bookmarkStart w:id="138" w:name="discussion-1"/>
    <w:p>
      <w:pPr>
        <w:pStyle w:val="Heading2"/>
      </w:pPr>
      <w:r>
        <w:t xml:space="preserve">3.8 Discussion</w:t>
      </w:r>
    </w:p>
    <w:bookmarkEnd w:id="138"/>
    <w:bookmarkStart w:id="139" w:name="model-performance-2"/>
    <w:p>
      <w:pPr>
        <w:pStyle w:val="Heading2"/>
      </w:pPr>
      <w:r>
        <w:t xml:space="preserve">3.9 Model Performance</w:t>
      </w:r>
    </w:p>
    <w:p>
      <w:pPr>
        <w:pStyle w:val="FirstParagraph"/>
      </w:pPr>
      <w:r>
        <w:t xml:space="preserve">Our models performed exceptionally well. Our no lag models had a .90 median posterior probability for auROC. This model predicts the probability of an immediate (i.e., within 24 hours) lapse back to alcohol use. Our 2-week lagged model, our most lagged model, had a .84 median posterior probability for auROC, suggesting lagged models can be used to shift a 24-hour prediction window up to weeks out.</w:t>
      </w:r>
    </w:p>
    <w:p>
      <w:pPr>
        <w:pStyle w:val="BodyText"/>
      </w:pPr>
      <w:r>
        <w:t xml:space="preserve">Across all models (no lag, 1 day, 3 days, 1 week, and 2 weeks) we saw model performance decrease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change day-by-day, if not more frequently. As lag time increases, features become less proximal to the start of the prediction window. Still, we wish to emphasize that our lowest auROC (.84) is still quite good, and the benefit of advanced notice (i.e., 2 weeks) likely outweighs the cost to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When looking at global feature importance, or how important a feature category was to the model’s predictions, on average across all participants and all observations, the relative ordering of important features remained somewhat consistent across both our no lag and 2-week lag models. Past use, future efficacy, and craving were the top three features for both models. However the magnitude of their importance varied by lag time. For the 2-week lagged models, these top features were overall less important for the model’s predictions compared to the no lag model. This is consistent with the 2-week lagged model’s lower performance, compared to the no lag model.</w:t>
      </w:r>
    </w:p>
    <w:p>
      <w:pPr>
        <w:pStyle w:val="BodyText"/>
      </w:pPr>
      <w:r>
        <w:t xml:space="preserve">When looking at local feature importance, or how important a feature category is for an individual prediction timepoint for a single individual on a specific day, we saw a wide variation in possible values for both the no lag and 2-week lag models. A wide range of possible values suggests that even feature categories with low global importance (e.g., past pleasant event) are important risk-relevant factors for some people on some days.</w:t>
      </w:r>
    </w:p>
    <w:p>
      <w:pPr>
        <w:pStyle w:val="BodyText"/>
      </w:pPr>
      <w:r>
        <w:t xml:space="preserve">We believe our lapse prediction models will be most effective when embedded in a recovery monitoring and support system designed to deliver adaptive and personalized continuing care. This system could send daily, weekly, or less frequent messages to patients with personalized feedback about their risk of lapse and provide support recommendations tailored to their current recovery needs. This study provides initial support that immediate and lagged prediction models can be built with high accuracy using EMA for recovery monitoring. Furthermore, the high variance in importance of features for individual predictions is well suited for making tailored recovery support recommendations.</w:t>
      </w:r>
    </w:p>
    <w:p>
      <w:pPr>
        <w:pStyle w:val="BodyText"/>
      </w:pPr>
      <w:r>
        <w:t xml:space="preserve">Our no lag models can be used to guide individuals to take immediate actionable steps to maintain their recovery goals and support them in implementing these steps (e.g., pointing them to a specific module in an app). For example, recommending an urge surfing activity when someone’s immediate risk is driven by strong craving, recommending a guided relaxation video when someone is reporting recent stressful events, or encouraging individuals to reflect on recent past successes or reasons for choosing abstinence or moderation when self-efficacy is low.</w:t>
      </w:r>
    </w:p>
    <w:p>
      <w:pPr>
        <w:pStyle w:val="BodyText"/>
      </w:pPr>
      <w:r>
        <w:t xml:space="preserve">The 2-week lagged model provides individuals with advanced warning of their lapse risk.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w:t>
      </w:r>
    </w:p>
    <w:bookmarkEnd w:id="139"/>
    <w:bookmarkStart w:id="140" w:name="model-fairness"/>
    <w:p>
      <w:pPr>
        <w:pStyle w:val="Heading2"/>
      </w:pPr>
      <w:r>
        <w:t xml:space="preserve">3.10 Model Fairness</w:t>
      </w:r>
    </w:p>
    <w:p>
      <w:pPr>
        <w:pStyle w:val="FirstParagraph"/>
      </w:pPr>
      <w:r>
        <w:t xml:space="preserve">In our previous study</w:t>
      </w:r>
      <w:r>
        <w:t xml:space="preserve"> </w:t>
      </w:r>
      <w:r>
        <w:t xml:space="preserve">(</w:t>
      </w:r>
      <w:r>
        <w:rPr>
          <w:b/>
          <w:bCs/>
        </w:rPr>
        <w:t xml:space="preserve">wyantMachineLearningModels2023?</w:t>
      </w:r>
      <w:r>
        <w:t xml:space="preserve">)</w:t>
      </w:r>
      <w:r>
        <w:t xml:space="preserve">, we failed to assess model fairness. In recent years, the machine learning field has begun to understand the critical importance of evaluating model fairness when algorithms are used to inform important decisions (e.g., healthcare services offered, eligibility for loans, early parole). Algorithms that perform favorably for only a single majority group could widen existing disparities in access to resources and important clinical outcomes</w:t>
      </w:r>
      <w:r>
        <w:t xml:space="preserve"> </w:t>
      </w:r>
      <w:r>
        <w:t xml:space="preserve">(Veinot et al., 2018)</w:t>
      </w:r>
      <w:r>
        <w:t xml:space="preserve">. Therefore, we are committed to continuing to improve our understanding of and methods for evaluating model fairness. In this study, we assessed model fairness by comparing model performance across important subgroups with known disparities in substance use treatment access and/or outcomes - race/ethnicity (not White vs. non-Hispanic White), income (below poverty vs. above poverty), and sex at birth (female vs. male).</w:t>
      </w:r>
    </w:p>
    <w:p>
      <w:pPr>
        <w:pStyle w:val="BodyText"/>
      </w:pPr>
      <w:r>
        <w:t xml:space="preserve">All models performed worse for people who were not White, and for people who had an income below the poverty line. The largest contributing factor is likely the lack of diversity in our training data. Our sample was majority non-Hispanic White (</w:t>
      </w:r>
      <w:r>
        <w:rPr>
          <w:i/>
          <w:iCs/>
        </w:rPr>
        <w:t xml:space="preserve">N</w:t>
      </w:r>
      <w:r>
        <w:t xml:space="preserve">=131, 87%) with an average income of $34,000. As a result, even with our coarse combination of race/ethnicity, the not White group was severely underrepresented relative to the non-Hispanic White group. Similarly, our below poverty group was underrepresented relative to the above poverty group.</w:t>
      </w:r>
    </w:p>
    <w:p>
      <w:pPr>
        <w:pStyle w:val="BodyText"/>
      </w:pPr>
      <w:r>
        <w:t xml:space="preserve">One obvious potential solution to this problem is to recruit a more representative sample. These data were collected from 2015-2017. Our group has since committed to making changes in recruitment strategies. We are currently working to collect data from a more diverse sample of individuals with alcohol use disorder to improve these models</w:t>
      </w:r>
      <w:r>
        <w:t xml:space="preserve"> </w:t>
      </w:r>
      <w:r>
        <w:t xml:space="preserve">(</w:t>
      </w:r>
      <w:r>
        <w:rPr>
          <w:b/>
          <w:bCs/>
        </w:rPr>
        <w:t xml:space="preserve">wyantOptimizingMessageComponentsinprep?</w:t>
      </w:r>
      <w:r>
        <w:t xml:space="preserve">)</w:t>
      </w:r>
      <w:r>
        <w:t xml:space="preserve">. In a separate project, we recruited a national sample of participants with opioid use disorder</w:t>
      </w:r>
      <w:r>
        <w:t xml:space="preserve"> </w:t>
      </w:r>
      <w:r>
        <w:t xml:space="preserve">(Moshontz et al., 2021)</w:t>
      </w:r>
      <w:r>
        <w:t xml:space="preserve">. In addition to achieving better representation in income and race/ethnicity, we also ensured diversity across geographic location (e.g., rural vs. urban) as this is likely another important factor in evaluating fairness.</w:t>
      </w:r>
    </w:p>
    <w:p>
      <w:pPr>
        <w:pStyle w:val="BodyText"/>
      </w:pPr>
      <w:r>
        <w:t xml:space="preserve">Computational solutions to mitigate these issues in the current data may also exist. We could explore upsampling non-advantaged group representation in the data (e.g., using synthetic minority oversampling technique). We also could adjust the penalty weights so that prediction errors for non-advantaged groups are weighted more heavily than prediction errors for majority groups. We could also consider using personalized modeling approaches that consider the characteristics and behaviors important to an individual rather than generalizing across a population. For example, state space models can capitalize on time series data by building individual models for each participant using their own data. Individual models may help mitigate issues of unfairness, as the model will weigh the individual’s own data more heavily than group level estimates. In other words, how does lapse risk evolve over time for a specific individual.</w:t>
      </w:r>
    </w:p>
    <w:p>
      <w:pPr>
        <w:pStyle w:val="BodyText"/>
      </w:pPr>
      <w:r>
        <w:t xml:space="preserve">The models also performed more poorly for women compared to men, despite the fact that they were well represented. This finding suggests representation in our data is not the only factor affecting model fairness. We chose our EMA items based on domain expertise and decades of relapse risk research. However, prior to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most substance abuse treatment research due to their childbearing potential</w:t>
      </w:r>
      <w:r>
        <w:t xml:space="preserve"> </w:t>
      </w:r>
      <w:r>
        <w:t xml:space="preserve">(Vannicelli &amp; Nash, 1984)</w:t>
      </w:r>
      <w:r>
        <w:t xml:space="preserve">. As a result, it is possible that these constructs more precisely describe relapse risk factors for men than for women. This could mean that more research is needed to identify relapse risk factors for women (e.g., interpersonal relationship problems</w:t>
      </w:r>
      <w:r>
        <w:t xml:space="preserve"> </w:t>
      </w:r>
      <w:r>
        <w:t xml:space="preserve">(</w:t>
      </w:r>
      <w:r>
        <w:rPr>
          <w:b/>
          <w:bCs/>
        </w:rPr>
        <w:t xml:space="preserve">walitzerGenderDifferencesAlcohol2006a?</w:t>
      </w:r>
      <w:r>
        <w:t xml:space="preserve">)</w:t>
      </w:r>
      <w:r>
        <w:t xml:space="preserve">, hormonal changes</w:t>
      </w:r>
      <w:r>
        <w:t xml:space="preserve"> </w:t>
      </w:r>
      <w:r>
        <w:t xml:space="preserve">(</w:t>
      </w:r>
      <w:r>
        <w:rPr>
          <w:b/>
          <w:bCs/>
        </w:rPr>
        <w:t xml:space="preserve">mchughSexGenderDifferences2018a?</w:t>
      </w:r>
      <w:r>
        <w:t xml:space="preserve">)</w:t>
      </w:r>
      <w:r>
        <w:t xml:space="preserve">), and other groups underrepresented in the literature more broadly.</w:t>
      </w:r>
    </w:p>
    <w:p>
      <w:pPr>
        <w:pStyle w:val="BodyText"/>
      </w:pPr>
      <w:r>
        <w:t xml:space="preserve">An alternative approach could be to use a data-driven (bottom-up) approach to identify patterns and characteristics predictive of lapse in specific groups. Compared to traditional, theory-driven (top-down) methods, data-driven features reduce potential bias in features by minimizing researcher involvement. For example, applying natural language processing to text message content could allow new categories of features to emerge. These categories may or may not align with existing theoretical concepts of lapse and relapse, but because they are generated from participants’ own words, they may serve as reliable indicators of lapse risk for certain individuals.</w:t>
      </w:r>
    </w:p>
    <w:p>
      <w:pPr>
        <w:pStyle w:val="BodyText"/>
      </w:pPr>
      <w:r>
        <w:t xml:space="preserve">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result in individuals under-reporting lapses and/or risk factors, contributing to the gap in model performance. We saw a comparable, or slightly higher, percentage of lapse reports for disadvantaged compared to advantaged groups: race/ethnicity (6%, not White vs. 8%, non-Hispanic White), income (12%, below poverty vs. 7%, above poverty), sex at birth (9%, female vs. 7%, male). However, comparable lapse labels (i.e., reported lapses) does not necessarily equate comparable reporting (i.e., proportion of true lapses reported).</w:t>
      </w:r>
    </w:p>
    <w:bookmarkEnd w:id="140"/>
    <w:bookmarkStart w:id="141" w:name="X5ad29cf6135702ebd29ccbd3207356419a7e287"/>
    <w:p>
      <w:pPr>
        <w:pStyle w:val="Heading2"/>
      </w:pPr>
      <w:r>
        <w:t xml:space="preserve">3.11 Additional Limitations and Future Directions</w:t>
      </w:r>
    </w:p>
    <w:p>
      <w:pPr>
        <w:pStyle w:val="FirstParagraph"/>
      </w:pPr>
      <w:r>
        <w:t xml:space="preserve">Despite building successful prediction models, it is still unclear the best way to provide risk and support information to people. For a recovery monitoring and support system to be successful, it is important that participants trust the system, engage with the system and find the system beneficial. In an ongoing grant, our group is working to optimize the delivery of daily support messages by examining whether the inclusion or exclusion of risk-relevant message components (e.g., lapse probability, lapse probability change, important features, and a risk-relevant recommendation) increase engagement in recovery tools and supports, trust in the machine learning model, and improve clinical outcomes</w:t>
      </w:r>
      <w:r>
        <w:t xml:space="preserve"> </w:t>
      </w:r>
      <w:r>
        <w:t xml:space="preserve">(</w:t>
      </w:r>
      <w:r>
        <w:rPr>
          <w:b/>
          <w:bCs/>
        </w:rPr>
        <w:t xml:space="preserve">wyantOptimizingMessageComponentsinprep?</w:t>
      </w:r>
      <w:r>
        <w:t xml:space="preserve">)</w:t>
      </w:r>
      <w:r>
        <w:t xml:space="preserve">.</w:t>
      </w:r>
    </w:p>
    <w:p>
      <w:pPr>
        <w:pStyle w:val="BodyText"/>
      </w:pPr>
      <w:r>
        <w:t xml:space="preserve">For a system using lagged models, we can imagine that even longer lags (i.e., more advanced warning) would be better still. In the present study, we were limited by how much time we could lag predictions. Participants only provided EMA for up to three months. Therefore, a lag time of two weeks between the prediction time point and start of the prediction window means data from 2 out of the 12 possible weeks is not being used. This loss of data could be one reason we saw a decrease in model performance with increased lag times.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w:t>
      </w:r>
    </w:p>
    <w:p>
      <w:pPr>
        <w:pStyle w:val="BodyText"/>
      </w:pPr>
      <w:r>
        <w:t xml:space="preserve">A recovery monitoring and support system will require new data to update model predictions. A model only using EMA could raise measurement burden concerns. Research suggests people can comply with effortful sensing methods (e.g., 4x daily EMA) while using substances</w:t>
      </w:r>
      <w:r>
        <w:t xml:space="preserve"> </w:t>
      </w:r>
      <w:r>
        <w:t xml:space="preserve">(Jones et al., 2019; Wyant et al., 2023)</w:t>
      </w:r>
      <w:r>
        <w:t xml:space="preserve">. However, it is likely that frequent daily surveys will eventually become too burdensome when considering long-term monitoring. We have begun to address this by building models with fewer EMAs (1x daily) and have found comparable performance</w:t>
      </w:r>
      <w:r>
        <w:t xml:space="preserve"> </w:t>
      </w:r>
      <w:r>
        <w:t xml:space="preserve">(</w:t>
      </w:r>
      <w:r>
        <w:rPr>
          <w:b/>
          <w:bCs/>
        </w:rPr>
        <w:t xml:space="preserve">pulickIdiographicLapsePredictionunderreview?</w:t>
      </w:r>
      <w:r>
        <w:t xml:space="preserve">)</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Additionally, we have begun to explore how we can supplement our models with data from other lower burden sensing methods. Geolocation is a passive sensing method that could compliment EMA well. First, it could provide insight into information not easily captured by self-report. For example, the amount of time spent in risky locations, or changes in routine that could indicate life stressors. Second, the near-continuous sampling of geolocation could offer risk-relevant information that would otherwise be missed in between the discrete sampling periods of EMA. Ultimately, passive sensing offers the opportunity to capture additional risk features that would be difficult to measure with self-report or would add additional burden by increasing the number of questions on the EMA.</w:t>
      </w:r>
    </w:p>
    <w:bookmarkEnd w:id="141"/>
    <w:bookmarkStart w:id="142" w:name="conclusion"/>
    <w:p>
      <w:pPr>
        <w:pStyle w:val="Heading2"/>
      </w:pPr>
      <w:r>
        <w:t xml:space="preserve">3.12 Conclusion</w:t>
      </w:r>
    </w:p>
    <w:p>
      <w:pPr>
        <w:pStyle w:val="FirstParagraph"/>
      </w:pPr>
      <w:r>
        <w:t xml:space="preserve">This study suggests it is possible to predict next day alcohol lapses up to two weeks into the future. This advanced notice could allow patients to implement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142"/>
    <w:bookmarkEnd w:id="143"/>
    <w:bookmarkStart w:id="162" w:name="Xb01b715a71d3cc3f262d360703a81420bd8b11f"/>
    <w:p>
      <w:pPr>
        <w:pStyle w:val="Heading1"/>
      </w:pPr>
      <w:r>
        <w:t xml:space="preserve">4. Using sensing data to predict opioid lapse risk in a national sample of patients with opioid use disorder</w:t>
      </w:r>
    </w:p>
    <w:bookmarkStart w:id="144" w:name="introduction-3"/>
    <w:p>
      <w:pPr>
        <w:pStyle w:val="Heading2"/>
      </w:pPr>
      <w:r>
        <w:t xml:space="preserve">4.1 Introduction</w:t>
      </w:r>
    </w:p>
    <w:p>
      <w:pPr>
        <w:pStyle w:val="FirstParagraph"/>
      </w:pPr>
      <w:r>
        <w:t xml:space="preserve">Studies show high agreement between recent (i.e., 1-4 days) self-report and biological markers (i.e., urine, saliva, hair) of drug use</w:t>
      </w:r>
      <w:r>
        <w:t xml:space="preserve"> </w:t>
      </w:r>
      <w:r>
        <w:t xml:space="preserve">(Bharat et al., 2023)</w:t>
      </w:r>
      <w:r>
        <w:t xml:space="preserve">. This suggests people may be willing to report illicit substance use behaviors.</w:t>
      </w:r>
    </w:p>
    <w:p>
      <w:pPr>
        <w:pStyle w:val="BodyText"/>
      </w:pPr>
      <w:r>
        <w:t xml:space="preserve">However, it is unclear if people in recovery from substance use disorders, other than alcohol, can sustain long-term adherence (e.g., one year or more) needed for a recovery monitoring support system that uses self-report data. Previous studies examining adherence to frequent self-report prompts among people with illicit substance use disorders have typically only prompted for 7-30 days</w:t>
      </w:r>
      <w:r>
        <w:t xml:space="preserve"> </w:t>
      </w:r>
      <w:r>
        <w:t xml:space="preserve">(Jones et al., 2019)</w:t>
      </w:r>
      <w:r>
        <w:t xml:space="preserve"> </w:t>
      </w:r>
      <w:r>
        <w:t xml:space="preserve">(except</w:t>
      </w:r>
      <w:r>
        <w:t xml:space="preserve"> </w:t>
      </w:r>
      <w:r>
        <w:t xml:space="preserve">Kennedy et al. (2013)</w:t>
      </w:r>
      <w:r>
        <w:t xml:space="preserve"> </w:t>
      </w:r>
      <w:r>
        <w:t xml:space="preserve">prompted for 175 days and found 75% adherence).</w:t>
      </w:r>
    </w:p>
    <w:p>
      <w:pPr>
        <w:pStyle w:val="BodyText"/>
      </w:pPr>
      <w:r>
        <w:t xml:space="preserve">It is also unclear whether people in recovery from illicit substance use disorders can, or are willing to, accurately report other risk information needed to develop accurate prediction models. For example, people with substance use disorders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their baseline perception of what constitutes a risky or stressful experience.</w:t>
      </w:r>
    </w:p>
    <w:p>
      <w:pPr>
        <w:pStyle w:val="BodyText"/>
      </w:pPr>
      <w:r>
        <w:t xml:space="preserve">Supplementing self-report data with passively sensed data (e.g., geolocation) could make up for imprecise reports of risk factors or be used for lapse prediction during periods of non-adherence to self-report surveys. Additionally, more data will produce more features that could allow for better personalization of support recommendations.</w:t>
      </w:r>
    </w:p>
    <w:p>
      <w:pPr>
        <w:pStyle w:val="BodyText"/>
      </w:pPr>
      <w:r>
        <w:t xml:space="preserve">This study will use daily surveys and sensed geolocation for up to one year from a national sample of people with opioid use disorder to predict immediate (i.e., in the next 24 hours) lapses back to opioid use.</w:t>
      </w:r>
    </w:p>
    <w:bookmarkEnd w:id="144"/>
    <w:bookmarkStart w:id="145" w:name="specific-aims-1"/>
    <w:p>
      <w:pPr>
        <w:pStyle w:val="Heading2"/>
      </w:pPr>
      <w:r>
        <w:t xml:space="preserve">4.2 Specific Aims</w:t>
      </w:r>
    </w:p>
    <w:p>
      <w:pPr>
        <w:pStyle w:val="FirstParagraph"/>
      </w:pPr>
      <w:r>
        <w:t xml:space="preserve">In this study, we will expand our previous modeling procedure to opioid use disorder and evaluate performance, fairness, and top features for predicting opioid lapse risk.</w:t>
      </w:r>
    </w:p>
    <w:p>
      <w:pPr>
        <w:pStyle w:val="BodyText"/>
      </w:pPr>
      <w:r>
        <w:t xml:space="preserve">Specifically, we will:</w:t>
      </w:r>
    </w:p>
    <w:p>
      <w:pPr>
        <w:pStyle w:val="BodyText"/>
      </w:pPr>
      <w:r>
        <w:rPr>
          <w:b/>
          <w:bCs/>
        </w:rPr>
        <w:t xml:space="preserve">1. Evaluate the performance (auROC) of a machine learning model that predicts opioid lapse risk from geolocation and daily surveys.</w:t>
      </w:r>
      <w:r>
        <w:t xml:space="preserve"> </w:t>
      </w:r>
      <w:r>
        <w:t xml:space="preserve">This aim will allow us to determine whether lapse prediction models can be generalized to other drugs beyond alcohol. Notably, a successful model will demonstrate that lapse prediction can be done with a drug where its use is illegal and people may be less willing to provide information about lapses and risk factors. It will also show the feasibility of using self-report data over long periods of reocvery (i.e., 12 months).</w:t>
      </w:r>
    </w:p>
    <w:p>
      <w:pPr>
        <w:pStyle w:val="BodyText"/>
      </w:pPr>
      <w:r>
        <w:rPr>
          <w:b/>
          <w:bCs/>
        </w:rPr>
        <w:t xml:space="preserve">2. Assess model fairness in performance across important subgroups with known disparities in substance use treatment access and/or outcomes - race/ethnicity (not White vs. non-Hispanic White), income (below $25,000 vs. above $25,000), sex at birth (female vs. male), and geographic location (rural vs. other).</w:t>
      </w:r>
      <w:r>
        <w:t xml:space="preserve"> </w:t>
      </w:r>
      <w:r>
        <w:t xml:space="preserve">These data offer more diversity with regard to race/ethnicity, income, and geographic location. This aim will allow us to determine if improving the quality of the training data with respect to diversity is sufficient to address issues of fairness.</w:t>
      </w:r>
    </w:p>
    <w:p>
      <w:pPr>
        <w:pStyle w:val="BodyText"/>
      </w:pPr>
      <w:r>
        <w:rPr>
          <w:b/>
          <w:bCs/>
        </w:rPr>
        <w:t xml:space="preserve">3. Describe the relative importance of features on model performance.</w:t>
      </w:r>
      <w:r>
        <w:t xml:space="preserve"> </w:t>
      </w:r>
      <w:r>
        <w:t xml:space="preserve">Model features will be derived from two complementary sensing methods: daily surveys and continuous geolocation data. Geolocation sensing, a passive sensing method, could compliment daily surveys well. It could provide insight into information difficult to measure with self-report (e.g., the amount of time spent in risky locations, or changes in routine that could indicate life stressors) or that would add additional burden by increasing the number of questions on the daily surveys. Furthermore, by adding more data sources gives us more features and that could mean better personalization of predictions and recommendations for more people. This aim will help determine whether a sufficient number of unique important features emerge from these data.</w:t>
      </w:r>
    </w:p>
    <w:bookmarkEnd w:id="145"/>
    <w:bookmarkStart w:id="161" w:name="sec-methods"/>
    <w:p>
      <w:pPr>
        <w:pStyle w:val="Heading2"/>
      </w:pPr>
      <w:r>
        <w:t xml:space="preserve">4.3 Methods</w:t>
      </w:r>
    </w:p>
    <w:bookmarkStart w:id="146" w:name="participants-2"/>
    <w:p>
      <w:pPr>
        <w:pStyle w:val="Heading3"/>
      </w:pPr>
      <w:r>
        <w:t xml:space="preserve">4.3.1 Participants</w:t>
      </w:r>
    </w:p>
    <w:p>
      <w:pPr>
        <w:pStyle w:val="FirstParagraph"/>
      </w:pPr>
      <w:r>
        <w:t xml:space="preserve">We recruited participants in early recovery from opioid use disorder. Participants were recruited through print and targeted digital advertisements (craigslist, reddit, Facebook) and partnerships with MOUD treatment centers. We required that participants:</w:t>
      </w:r>
    </w:p>
    <w:p>
      <w:pPr>
        <w:pStyle w:val="Compact"/>
        <w:numPr>
          <w:ilvl w:val="0"/>
          <w:numId w:val="1006"/>
        </w:numPr>
      </w:pPr>
      <w:r>
        <w:t xml:space="preserve">were age 18 or older,</w:t>
      </w:r>
    </w:p>
    <w:p>
      <w:pPr>
        <w:pStyle w:val="Compact"/>
        <w:numPr>
          <w:ilvl w:val="0"/>
          <w:numId w:val="1006"/>
        </w:numPr>
      </w:pPr>
      <w:r>
        <w:t xml:space="preserve">could write, speak, and read in English,</w:t>
      </w:r>
    </w:p>
    <w:p>
      <w:pPr>
        <w:pStyle w:val="Compact"/>
        <w:numPr>
          <w:ilvl w:val="0"/>
          <w:numId w:val="1006"/>
        </w:numPr>
      </w:pPr>
      <w:r>
        <w:t xml:space="preserve">enrolled in an MOUD treatment program (for at least one month but not longer than 12 months) and adherent (taken daily medication every day or nearly every day in past month) or enrolled in or recently completed an intensive outpatient treatment program for opioid use disorder,</w:t>
      </w:r>
    </w:p>
    <w:p>
      <w:pPr>
        <w:pStyle w:val="Compact"/>
        <w:numPr>
          <w:ilvl w:val="0"/>
          <w:numId w:val="1006"/>
        </w:numPr>
      </w:pPr>
      <w:r>
        <w:t xml:space="preserve">had a goal of abstinence from opioids,</w:t>
      </w:r>
    </w:p>
    <w:p>
      <w:pPr>
        <w:pStyle w:val="Compact"/>
        <w:numPr>
          <w:ilvl w:val="0"/>
          <w:numId w:val="1006"/>
        </w:numPr>
      </w:pPr>
      <w:r>
        <w:t xml:space="preserve">had an android smartphone that they were willing to use as their single phone for duration of the study, and</w:t>
      </w:r>
    </w:p>
    <w:p>
      <w:pPr>
        <w:pStyle w:val="Compact"/>
        <w:numPr>
          <w:ilvl w:val="0"/>
          <w:numId w:val="1006"/>
        </w:numPr>
      </w:pPr>
      <w:r>
        <w:t xml:space="preserve">had active cellular plan that they were willing to maintain for duration of the study.</w:t>
      </w:r>
    </w:p>
    <w:p>
      <w:pPr>
        <w:pStyle w:val="FirstParagraph"/>
      </w:pPr>
      <w:r>
        <w:t xml:space="preserve">Participants were considered enrolled in the study if they were eligible, consented, and provided data for at least one month. A total of 336 participants enrolled in the study. We excluded data from one participant whose geolocation data showed they did not reside in the US. We also excluded 11 participants due to careless responding on the daily surveys and/or lapses reported nearly every day on study, suggesting they did not have a goal of abstinence. Our final sample consisted of 324 participants from 38 states across the US.</w:t>
      </w:r>
    </w:p>
    <w:p>
      <w:pPr>
        <w:pStyle w:val="BodyText"/>
      </w:pPr>
      <w:r>
        <w:t xml:space="preserve">The table below presents the demographic and clinical characteristics of the 324 participants in our analysis sample.</w:t>
      </w:r>
    </w:p>
    <w:tbl>
      <w:tblPr>
        <w:tblStyle w:val="Table"/>
        <w:tblW w:type="pct" w:w="5000"/>
        <w:tblLayout w:type="fixed"/>
        <w:tblLook w:firstRow="1" w:lastRow="0" w:firstColumn="0" w:lastColumn="0" w:noHBand="0" w:noVBand="0" w:val="0020"/>
      </w:tblPr>
      <w:tblGrid>
        <w:gridCol w:w="6245"/>
        <w:gridCol w:w="257"/>
        <w:gridCol w:w="321"/>
        <w:gridCol w:w="257"/>
        <w:gridCol w:w="321"/>
        <w:gridCol w:w="515"/>
      </w:tblGrid>
      <w:tr>
        <w:trPr>
          <w:tblHeader w:val="on"/>
        </w:trPr>
        <w:tc>
          <w:tcPr/>
          <w:p>
            <w:pPr>
              <w:pStyle w:val="Compact"/>
            </w:pPr>
          </w:p>
        </w:tc>
        <w:tc>
          <w:tcPr/>
          <w:p>
            <w:pPr>
              <w:pStyle w:val="Compact"/>
              <w:jc w:val="right"/>
            </w:pPr>
            <w:r>
              <w:t xml:space="preserve">N</w:t>
            </w:r>
          </w:p>
        </w:tc>
        <w:tc>
          <w:tcPr/>
          <w:p>
            <w:pPr>
              <w:pStyle w:val="Compact"/>
              <w:jc w:val="right"/>
            </w:pPr>
            <w:r>
              <w:t xml:space="preserve">%</w:t>
            </w:r>
          </w:p>
        </w:tc>
        <w:tc>
          <w:tcPr/>
          <w:p>
            <w:pPr>
              <w:pStyle w:val="Compact"/>
              <w:jc w:val="right"/>
            </w:pPr>
            <w:r>
              <w:t xml:space="preserve">M</w:t>
            </w:r>
          </w:p>
        </w:tc>
        <w:tc>
          <w:tcPr/>
          <w:p>
            <w:pPr>
              <w:pStyle w:val="Compact"/>
              <w:jc w:val="right"/>
            </w:pPr>
            <w:r>
              <w:t xml:space="preserve">SD</w:t>
            </w:r>
          </w:p>
        </w:tc>
        <w:tc>
          <w:tcPr/>
          <w:p>
            <w:pPr>
              <w:pStyle w:val="Compact"/>
              <w:jc w:val="left"/>
            </w:pPr>
            <w:r>
              <w:t xml:space="preserve">Range</w:t>
            </w:r>
          </w:p>
        </w:tc>
      </w:tr>
      <w:tr>
        <w:tc>
          <w:tcPr/>
          <w:p>
            <w:pPr>
              <w:pStyle w:val="Compact"/>
              <w:jc w:val="left"/>
            </w:pPr>
            <w:r>
              <w:t xml:space="preserve">Age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18-21</w:t>
            </w:r>
          </w:p>
        </w:tc>
        <w:tc>
          <w:tcPr/>
          <w:p>
            <w:pPr>
              <w:pStyle w:val="Compact"/>
              <w:jc w:val="right"/>
            </w:pPr>
            <w:r>
              <w:t xml:space="preserve">2</w:t>
            </w:r>
          </w:p>
        </w:tc>
        <w:tc>
          <w:tcPr/>
          <w:p>
            <w:pPr>
              <w:pStyle w:val="Compact"/>
              <w:jc w:val="right"/>
            </w:pPr>
            <w:r>
              <w:t xml:space="preserve">0.6</w:t>
            </w:r>
          </w:p>
        </w:tc>
        <w:tc>
          <w:tcPr/>
          <w:p>
            <w:pPr>
              <w:pStyle w:val="Compact"/>
            </w:pPr>
          </w:p>
        </w:tc>
        <w:tc>
          <w:tcPr/>
          <w:p>
            <w:pPr>
              <w:pStyle w:val="Compact"/>
            </w:pPr>
          </w:p>
        </w:tc>
        <w:tc>
          <w:tcPr/>
          <w:p>
            <w:pPr>
              <w:pStyle w:val="Compact"/>
            </w:pPr>
          </w:p>
        </w:tc>
      </w:tr>
      <w:tr>
        <w:tc>
          <w:tcPr/>
          <w:p>
            <w:pPr>
              <w:pStyle w:val="Compact"/>
              <w:jc w:val="left"/>
            </w:pPr>
            <w:r>
              <w:t xml:space="preserve">22-25</w:t>
            </w:r>
          </w:p>
        </w:tc>
        <w:tc>
          <w:tcPr/>
          <w:p>
            <w:pPr>
              <w:pStyle w:val="Compact"/>
              <w:jc w:val="right"/>
            </w:pPr>
            <w:r>
              <w:t xml:space="preserve">7</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26-35</w:t>
            </w:r>
          </w:p>
        </w:tc>
        <w:tc>
          <w:tcPr/>
          <w:p>
            <w:pPr>
              <w:pStyle w:val="Compact"/>
              <w:jc w:val="right"/>
            </w:pPr>
            <w:r>
              <w:t xml:space="preserve">120</w:t>
            </w:r>
          </w:p>
        </w:tc>
        <w:tc>
          <w:tcPr/>
          <w:p>
            <w:pPr>
              <w:pStyle w:val="Compact"/>
              <w:jc w:val="right"/>
            </w:pPr>
            <w:r>
              <w:t xml:space="preserve">37.0</w:t>
            </w:r>
          </w:p>
        </w:tc>
        <w:tc>
          <w:tcPr/>
          <w:p>
            <w:pPr>
              <w:pStyle w:val="Compact"/>
            </w:pPr>
          </w:p>
        </w:tc>
        <w:tc>
          <w:tcPr/>
          <w:p>
            <w:pPr>
              <w:pStyle w:val="Compact"/>
            </w:pPr>
          </w:p>
        </w:tc>
        <w:tc>
          <w:tcPr/>
          <w:p>
            <w:pPr>
              <w:pStyle w:val="Compact"/>
            </w:pPr>
          </w:p>
        </w:tc>
      </w:tr>
      <w:tr>
        <w:tc>
          <w:tcPr/>
          <w:p>
            <w:pPr>
              <w:pStyle w:val="Compact"/>
              <w:jc w:val="left"/>
            </w:pPr>
            <w:r>
              <w:t xml:space="preserve">36-45</w:t>
            </w:r>
          </w:p>
        </w:tc>
        <w:tc>
          <w:tcPr/>
          <w:p>
            <w:pPr>
              <w:pStyle w:val="Compact"/>
              <w:jc w:val="right"/>
            </w:pPr>
            <w:r>
              <w:t xml:space="preserve">115</w:t>
            </w:r>
          </w:p>
        </w:tc>
        <w:tc>
          <w:tcPr/>
          <w:p>
            <w:pPr>
              <w:pStyle w:val="Compact"/>
              <w:jc w:val="right"/>
            </w:pPr>
            <w:r>
              <w:t xml:space="preserve">35.5</w:t>
            </w:r>
          </w:p>
        </w:tc>
        <w:tc>
          <w:tcPr/>
          <w:p>
            <w:pPr>
              <w:pStyle w:val="Compact"/>
            </w:pPr>
          </w:p>
        </w:tc>
        <w:tc>
          <w:tcPr/>
          <w:p>
            <w:pPr>
              <w:pStyle w:val="Compact"/>
            </w:pPr>
          </w:p>
        </w:tc>
        <w:tc>
          <w:tcPr/>
          <w:p>
            <w:pPr>
              <w:pStyle w:val="Compact"/>
            </w:pPr>
          </w:p>
        </w:tc>
      </w:tr>
      <w:tr>
        <w:tc>
          <w:tcPr/>
          <w:p>
            <w:pPr>
              <w:pStyle w:val="Compact"/>
              <w:jc w:val="left"/>
            </w:pPr>
            <w:r>
              <w:t xml:space="preserve">46-55</w:t>
            </w:r>
          </w:p>
        </w:tc>
        <w:tc>
          <w:tcPr/>
          <w:p>
            <w:pPr>
              <w:pStyle w:val="Compact"/>
              <w:jc w:val="right"/>
            </w:pPr>
            <w:r>
              <w:t xml:space="preserve">62</w:t>
            </w:r>
          </w:p>
        </w:tc>
        <w:tc>
          <w:tcPr/>
          <w:p>
            <w:pPr>
              <w:pStyle w:val="Compact"/>
              <w:jc w:val="right"/>
            </w:pPr>
            <w:r>
              <w:t xml:space="preserve">19.1</w:t>
            </w:r>
          </w:p>
        </w:tc>
        <w:tc>
          <w:tcPr/>
          <w:p>
            <w:pPr>
              <w:pStyle w:val="Compact"/>
            </w:pPr>
          </w:p>
        </w:tc>
        <w:tc>
          <w:tcPr/>
          <w:p>
            <w:pPr>
              <w:pStyle w:val="Compact"/>
            </w:pPr>
          </w:p>
        </w:tc>
        <w:tc>
          <w:tcPr/>
          <w:p>
            <w:pPr>
              <w:pStyle w:val="Compact"/>
            </w:pPr>
          </w:p>
        </w:tc>
      </w:tr>
      <w:tr>
        <w:tc>
          <w:tcPr/>
          <w:p>
            <w:pPr>
              <w:pStyle w:val="Compact"/>
              <w:jc w:val="left"/>
            </w:pPr>
            <w:r>
              <w:t xml:space="preserve">56-65</w:t>
            </w:r>
          </w:p>
        </w:tc>
        <w:tc>
          <w:tcPr/>
          <w:p>
            <w:pPr>
              <w:pStyle w:val="Compact"/>
              <w:jc w:val="right"/>
            </w:pPr>
            <w:r>
              <w:t xml:space="preserve">14</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Over 65</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Gender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Man</w:t>
            </w:r>
          </w:p>
        </w:tc>
        <w:tc>
          <w:tcPr/>
          <w:p>
            <w:pPr>
              <w:pStyle w:val="Compact"/>
              <w:jc w:val="right"/>
            </w:pPr>
            <w:r>
              <w:t xml:space="preserve">175</w:t>
            </w:r>
          </w:p>
        </w:tc>
        <w:tc>
          <w:tcPr/>
          <w:p>
            <w:pPr>
              <w:pStyle w:val="Compact"/>
              <w:jc w:val="right"/>
            </w:pPr>
            <w:r>
              <w:t xml:space="preserve">54.0</w:t>
            </w:r>
          </w:p>
        </w:tc>
        <w:tc>
          <w:tcPr/>
          <w:p>
            <w:pPr>
              <w:pStyle w:val="Compact"/>
            </w:pPr>
          </w:p>
        </w:tc>
        <w:tc>
          <w:tcPr/>
          <w:p>
            <w:pPr>
              <w:pStyle w:val="Compact"/>
            </w:pPr>
          </w:p>
        </w:tc>
        <w:tc>
          <w:tcPr/>
          <w:p>
            <w:pPr>
              <w:pStyle w:val="Compact"/>
            </w:pPr>
          </w:p>
        </w:tc>
      </w:tr>
      <w:tr>
        <w:tc>
          <w:tcPr/>
          <w:p>
            <w:pPr>
              <w:pStyle w:val="Compact"/>
              <w:jc w:val="left"/>
            </w:pPr>
            <w:r>
              <w:t xml:space="preserve">Non-binary</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2</w:t>
            </w:r>
          </w:p>
        </w:tc>
        <w:tc>
          <w:tcPr/>
          <w:p>
            <w:pPr>
              <w:pStyle w:val="Compact"/>
              <w:jc w:val="right"/>
            </w:pPr>
            <w:r>
              <w:t xml:space="preserve">0.6</w:t>
            </w:r>
          </w:p>
        </w:tc>
        <w:tc>
          <w:tcPr/>
          <w:p>
            <w:pPr>
              <w:pStyle w:val="Compact"/>
            </w:pPr>
          </w:p>
        </w:tc>
        <w:tc>
          <w:tcPr/>
          <w:p>
            <w:pPr>
              <w:pStyle w:val="Compact"/>
            </w:pPr>
          </w:p>
        </w:tc>
        <w:tc>
          <w:tcPr/>
          <w:p>
            <w:pPr>
              <w:pStyle w:val="Compact"/>
            </w:pPr>
          </w:p>
        </w:tc>
      </w:tr>
      <w:tr>
        <w:tc>
          <w:tcPr/>
          <w:p>
            <w:pPr>
              <w:pStyle w:val="Compact"/>
              <w:jc w:val="left"/>
            </w:pPr>
            <w:r>
              <w:t xml:space="preserve">Prefer not to say</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Woman</w:t>
            </w:r>
          </w:p>
        </w:tc>
        <w:tc>
          <w:tcPr/>
          <w:p>
            <w:pPr>
              <w:pStyle w:val="Compact"/>
              <w:jc w:val="right"/>
            </w:pPr>
            <w:r>
              <w:t xml:space="preserve">142</w:t>
            </w:r>
          </w:p>
        </w:tc>
        <w:tc>
          <w:tcPr/>
          <w:p>
            <w:pPr>
              <w:pStyle w:val="Compact"/>
              <w:jc w:val="right"/>
            </w:pPr>
            <w:r>
              <w:t xml:space="preserve">43.8</w:t>
            </w:r>
          </w:p>
        </w:tc>
        <w:tc>
          <w:tcPr/>
          <w:p>
            <w:pPr>
              <w:pStyle w:val="Compact"/>
            </w:pPr>
          </w:p>
        </w:tc>
        <w:tc>
          <w:tcPr/>
          <w:p>
            <w:pPr>
              <w:pStyle w:val="Compact"/>
            </w:pPr>
          </w:p>
        </w:tc>
        <w:tc>
          <w:tcPr/>
          <w:p>
            <w:pPr>
              <w:pStyle w:val="Compact"/>
            </w:pPr>
          </w:p>
        </w:tc>
      </w:tr>
      <w:tr>
        <w:tc>
          <w:tcPr/>
          <w:p>
            <w:pPr>
              <w:pStyle w:val="Compact"/>
              <w:jc w:val="left"/>
            </w:pPr>
            <w:r>
              <w:t xml:space="preserve">Orientation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Bisexual</w:t>
            </w:r>
          </w:p>
        </w:tc>
        <w:tc>
          <w:tcPr/>
          <w:p>
            <w:pPr>
              <w:pStyle w:val="Compact"/>
              <w:jc w:val="right"/>
            </w:pPr>
            <w:r>
              <w:t xml:space="preserve">42</w:t>
            </w:r>
          </w:p>
        </w:tc>
        <w:tc>
          <w:tcPr/>
          <w:p>
            <w:pPr>
              <w:pStyle w:val="Compact"/>
              <w:jc w:val="right"/>
            </w:pPr>
            <w:r>
              <w:t xml:space="preserve">13.0</w:t>
            </w:r>
          </w:p>
        </w:tc>
        <w:tc>
          <w:tcPr/>
          <w:p>
            <w:pPr>
              <w:pStyle w:val="Compact"/>
            </w:pPr>
          </w:p>
        </w:tc>
        <w:tc>
          <w:tcPr/>
          <w:p>
            <w:pPr>
              <w:pStyle w:val="Compact"/>
            </w:pPr>
          </w:p>
        </w:tc>
        <w:tc>
          <w:tcPr/>
          <w:p>
            <w:pPr>
              <w:pStyle w:val="Compact"/>
            </w:pPr>
          </w:p>
        </w:tc>
      </w:tr>
      <w:tr>
        <w:tc>
          <w:tcPr/>
          <w:p>
            <w:pPr>
              <w:pStyle w:val="Compact"/>
              <w:jc w:val="left"/>
            </w:pPr>
            <w:r>
              <w:t xml:space="preserve">Lesbian or gay</w:t>
            </w:r>
          </w:p>
        </w:tc>
        <w:tc>
          <w:tcPr/>
          <w:p>
            <w:pPr>
              <w:pStyle w:val="Compact"/>
              <w:jc w:val="right"/>
            </w:pPr>
            <w:r>
              <w:t xml:space="preserve">17</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Not sure</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Straight, that is, not gay or lesbian</w:t>
            </w:r>
          </w:p>
        </w:tc>
        <w:tc>
          <w:tcPr/>
          <w:p>
            <w:pPr>
              <w:pStyle w:val="Compact"/>
              <w:jc w:val="right"/>
            </w:pPr>
            <w:r>
              <w:t xml:space="preserve">258</w:t>
            </w:r>
          </w:p>
        </w:tc>
        <w:tc>
          <w:tcPr/>
          <w:p>
            <w:pPr>
              <w:pStyle w:val="Compact"/>
              <w:jc w:val="right"/>
            </w:pPr>
            <w:r>
              <w:t xml:space="preserve">79.6</w:t>
            </w:r>
          </w:p>
        </w:tc>
        <w:tc>
          <w:tcPr/>
          <w:p>
            <w:pPr>
              <w:pStyle w:val="Compact"/>
            </w:pPr>
          </w:p>
        </w:tc>
        <w:tc>
          <w:tcPr/>
          <w:p>
            <w:pPr>
              <w:pStyle w:val="Compact"/>
            </w:pPr>
          </w:p>
        </w:tc>
        <w:tc>
          <w:tcPr/>
          <w:p>
            <w:pPr>
              <w:pStyle w:val="Compact"/>
            </w:pPr>
          </w:p>
        </w:tc>
      </w:tr>
      <w:tr>
        <w:tc>
          <w:tcPr/>
          <w:p>
            <w:pPr>
              <w:pStyle w:val="Compact"/>
              <w:jc w:val="left"/>
            </w:pPr>
            <w:r>
              <w:t xml:space="preserve">Race or Origin (Select all that apply)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American Indian or Alaska Native</w:t>
            </w:r>
          </w:p>
        </w:tc>
        <w:tc>
          <w:tcPr/>
          <w:p>
            <w:pPr>
              <w:pStyle w:val="Compact"/>
              <w:jc w:val="right"/>
            </w:pPr>
            <w:r>
              <w:t xml:space="preserve">19</w:t>
            </w:r>
          </w:p>
        </w:tc>
        <w:tc>
          <w:tcPr/>
          <w:p>
            <w:pPr>
              <w:pStyle w:val="Compact"/>
              <w:jc w:val="right"/>
            </w:pPr>
            <w:r>
              <w:t xml:space="preserve">5.9</w:t>
            </w:r>
          </w:p>
        </w:tc>
        <w:tc>
          <w:tcPr/>
          <w:p>
            <w:pPr>
              <w:pStyle w:val="Compact"/>
            </w:pPr>
          </w:p>
        </w:tc>
        <w:tc>
          <w:tcPr/>
          <w:p>
            <w:pPr>
              <w:pStyle w:val="Compact"/>
            </w:pPr>
          </w:p>
        </w:tc>
        <w:tc>
          <w:tcPr/>
          <w:p>
            <w:pPr>
              <w:pStyle w:val="Compact"/>
            </w:pPr>
          </w:p>
        </w:tc>
      </w:tr>
      <w:tr>
        <w:tc>
          <w:tcPr/>
          <w:p>
            <w:pPr>
              <w:pStyle w:val="Compact"/>
              <w:jc w:val="left"/>
            </w:pPr>
            <w:r>
              <w:t xml:space="preserve">Asian</w:t>
            </w:r>
          </w:p>
        </w:tc>
        <w:tc>
          <w:tcPr/>
          <w:p>
            <w:pPr>
              <w:pStyle w:val="Compact"/>
              <w:jc w:val="right"/>
            </w:pPr>
            <w:r>
              <w:t xml:space="preserve">5</w:t>
            </w:r>
          </w:p>
        </w:tc>
        <w:tc>
          <w:tcPr/>
          <w:p>
            <w:pPr>
              <w:pStyle w:val="Compact"/>
              <w:jc w:val="righ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Black or African American</w:t>
            </w:r>
          </w:p>
        </w:tc>
        <w:tc>
          <w:tcPr/>
          <w:p>
            <w:pPr>
              <w:pStyle w:val="Compact"/>
              <w:jc w:val="right"/>
            </w:pPr>
            <w:r>
              <w:t xml:space="preserve">53</w:t>
            </w:r>
          </w:p>
        </w:tc>
        <w:tc>
          <w:tcPr/>
          <w:p>
            <w:pPr>
              <w:pStyle w:val="Compact"/>
              <w:jc w:val="right"/>
            </w:pPr>
            <w:r>
              <w:t xml:space="preserve">16.4</w:t>
            </w:r>
          </w:p>
        </w:tc>
        <w:tc>
          <w:tcPr/>
          <w:p>
            <w:pPr>
              <w:pStyle w:val="Compact"/>
            </w:pPr>
          </w:p>
        </w:tc>
        <w:tc>
          <w:tcPr/>
          <w:p>
            <w:pPr>
              <w:pStyle w:val="Compact"/>
            </w:pPr>
          </w:p>
        </w:tc>
        <w:tc>
          <w:tcPr/>
          <w:p>
            <w:pPr>
              <w:pStyle w:val="Compact"/>
            </w:pPr>
          </w:p>
        </w:tc>
      </w:tr>
      <w:tr>
        <w:tc>
          <w:tcPr/>
          <w:p>
            <w:pPr>
              <w:pStyle w:val="Compact"/>
              <w:jc w:val="left"/>
            </w:pPr>
            <w:r>
              <w:t xml:space="preserve">Hispanic, Latino, or Spanish Origin</w:t>
            </w:r>
          </w:p>
        </w:tc>
        <w:tc>
          <w:tcPr/>
          <w:p>
            <w:pPr>
              <w:pStyle w:val="Compact"/>
              <w:jc w:val="right"/>
            </w:pPr>
            <w:r>
              <w:t xml:space="preserve">29</w:t>
            </w:r>
          </w:p>
        </w:tc>
        <w:tc>
          <w:tcPr/>
          <w:p>
            <w:pPr>
              <w:pStyle w:val="Compact"/>
              <w:jc w:val="right"/>
            </w:pPr>
            <w:r>
              <w:t xml:space="preserve">9.0</w:t>
            </w:r>
          </w:p>
        </w:tc>
        <w:tc>
          <w:tcPr/>
          <w:p>
            <w:pPr>
              <w:pStyle w:val="Compact"/>
            </w:pPr>
          </w:p>
        </w:tc>
        <w:tc>
          <w:tcPr/>
          <w:p>
            <w:pPr>
              <w:pStyle w:val="Compact"/>
            </w:pPr>
          </w:p>
        </w:tc>
        <w:tc>
          <w:tcPr/>
          <w:p>
            <w:pPr>
              <w:pStyle w:val="Compact"/>
            </w:pPr>
          </w:p>
        </w:tc>
      </w:tr>
      <w:tr>
        <w:tc>
          <w:tcPr/>
          <w:p>
            <w:pPr>
              <w:pStyle w:val="Compact"/>
              <w:jc w:val="left"/>
            </w:pPr>
            <w:r>
              <w:t xml:space="preserve">Native Hawaiian or Other Pacific Islander</w:t>
            </w:r>
          </w:p>
        </w:tc>
        <w:tc>
          <w:tcPr/>
          <w:p>
            <w:pPr>
              <w:pStyle w:val="Compact"/>
              <w:jc w:val="right"/>
            </w:pPr>
            <w:r>
              <w:t xml:space="preserve">3</w:t>
            </w:r>
          </w:p>
        </w:tc>
        <w:tc>
          <w:tcPr/>
          <w:p>
            <w:pPr>
              <w:pStyle w:val="Compact"/>
              <w:jc w:val="right"/>
            </w:pPr>
            <w:r>
              <w:t xml:space="preserve">0.9</w:t>
            </w:r>
          </w:p>
        </w:tc>
        <w:tc>
          <w:tcPr/>
          <w:p>
            <w:pPr>
              <w:pStyle w:val="Compact"/>
            </w:pPr>
          </w:p>
        </w:tc>
        <w:tc>
          <w:tcPr/>
          <w:p>
            <w:pPr>
              <w:pStyle w:val="Compact"/>
            </w:pPr>
          </w:p>
        </w:tc>
        <w:tc>
          <w:tcPr/>
          <w:p>
            <w:pPr>
              <w:pStyle w:val="Compact"/>
            </w:pPr>
          </w:p>
        </w:tc>
      </w:tr>
      <w:tr>
        <w:tc>
          <w:tcPr/>
          <w:p>
            <w:pPr>
              <w:pStyle w:val="Compact"/>
              <w:jc w:val="left"/>
            </w:pPr>
            <w:r>
              <w:t xml:space="preserve">Not Listed Above</w:t>
            </w:r>
          </w:p>
        </w:tc>
        <w:tc>
          <w:tcPr/>
          <w:p>
            <w:pPr>
              <w:pStyle w:val="Compact"/>
              <w:jc w:val="right"/>
            </w:pPr>
            <w:r>
              <w:t xml:space="preserve">5</w:t>
            </w:r>
          </w:p>
        </w:tc>
        <w:tc>
          <w:tcPr/>
          <w:p>
            <w:pPr>
              <w:pStyle w:val="Compact"/>
              <w:jc w:val="righ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White or Caucasian</w:t>
            </w:r>
          </w:p>
        </w:tc>
        <w:tc>
          <w:tcPr/>
          <w:p>
            <w:pPr>
              <w:pStyle w:val="Compact"/>
              <w:jc w:val="right"/>
            </w:pPr>
            <w:r>
              <w:t xml:space="preserve">251</w:t>
            </w:r>
          </w:p>
        </w:tc>
        <w:tc>
          <w:tcPr/>
          <w:p>
            <w:pPr>
              <w:pStyle w:val="Compact"/>
              <w:jc w:val="right"/>
            </w:pPr>
            <w:r>
              <w:t xml:space="preserve">77.5</w:t>
            </w:r>
          </w:p>
        </w:tc>
        <w:tc>
          <w:tcPr/>
          <w:p>
            <w:pPr>
              <w:pStyle w:val="Compact"/>
            </w:pPr>
          </w:p>
        </w:tc>
        <w:tc>
          <w:tcPr/>
          <w:p>
            <w:pPr>
              <w:pStyle w:val="Compact"/>
            </w:pPr>
          </w:p>
        </w:tc>
        <w:tc>
          <w:tcPr/>
          <w:p>
            <w:pPr>
              <w:pStyle w:val="Compact"/>
            </w:pPr>
          </w:p>
        </w:tc>
      </w:tr>
      <w:tr>
        <w:tc>
          <w:tcPr/>
          <w:p>
            <w:pPr>
              <w:pStyle w:val="Compact"/>
              <w:jc w:val="left"/>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8th grade or less</w:t>
            </w:r>
          </w:p>
        </w:tc>
        <w:tc>
          <w:tcPr/>
          <w:p>
            <w:pPr>
              <w:pStyle w:val="Compact"/>
              <w:jc w:val="right"/>
            </w:pPr>
            <w:r>
              <w:t xml:space="preserve">6</w:t>
            </w:r>
          </w:p>
        </w:tc>
        <w:tc>
          <w:tcPr/>
          <w:p>
            <w:pPr>
              <w:pStyle w:val="Compact"/>
              <w:jc w:val="right"/>
            </w:pPr>
            <w:r>
              <w:t xml:space="preserve">1.9</w:t>
            </w:r>
          </w:p>
        </w:tc>
        <w:tc>
          <w:tcPr/>
          <w:p>
            <w:pPr>
              <w:pStyle w:val="Compact"/>
            </w:pPr>
          </w:p>
        </w:tc>
        <w:tc>
          <w:tcPr/>
          <w:p>
            <w:pPr>
              <w:pStyle w:val="Compact"/>
            </w:pPr>
          </w:p>
        </w:tc>
        <w:tc>
          <w:tcPr/>
          <w:p>
            <w:pPr>
              <w:pStyle w:val="Compact"/>
            </w:pPr>
          </w:p>
        </w:tc>
      </w:tr>
      <w:tr>
        <w:tc>
          <w:tcPr/>
          <w:p>
            <w:pPr>
              <w:pStyle w:val="Compact"/>
              <w:jc w:val="left"/>
            </w:pPr>
            <w:r>
              <w:t xml:space="preserve">Some high school, but did not graduate</w:t>
            </w:r>
          </w:p>
        </w:tc>
        <w:tc>
          <w:tcPr/>
          <w:p>
            <w:pPr>
              <w:pStyle w:val="Compact"/>
              <w:jc w:val="right"/>
            </w:pPr>
            <w:r>
              <w:t xml:space="preserve">28</w:t>
            </w:r>
          </w:p>
        </w:tc>
        <w:tc>
          <w:tcPr/>
          <w:p>
            <w:pPr>
              <w:pStyle w:val="Compact"/>
              <w:jc w:val="right"/>
            </w:pPr>
            <w:r>
              <w:t xml:space="preserve">8.6</w:t>
            </w:r>
          </w:p>
        </w:tc>
        <w:tc>
          <w:tcPr/>
          <w:p>
            <w:pPr>
              <w:pStyle w:val="Compact"/>
            </w:pPr>
          </w:p>
        </w:tc>
        <w:tc>
          <w:tcPr/>
          <w:p>
            <w:pPr>
              <w:pStyle w:val="Compact"/>
            </w:pPr>
          </w:p>
        </w:tc>
        <w:tc>
          <w:tcPr/>
          <w:p>
            <w:pPr>
              <w:pStyle w:val="Compact"/>
            </w:pPr>
          </w:p>
        </w:tc>
      </w:tr>
      <w:tr>
        <w:tc>
          <w:tcPr/>
          <w:p>
            <w:pPr>
              <w:pStyle w:val="Compact"/>
              <w:jc w:val="left"/>
            </w:pPr>
            <w:r>
              <w:t xml:space="preserve">High school graduate or GED</w:t>
            </w:r>
          </w:p>
        </w:tc>
        <w:tc>
          <w:tcPr/>
          <w:p>
            <w:pPr>
              <w:pStyle w:val="Compact"/>
              <w:jc w:val="right"/>
            </w:pPr>
            <w:r>
              <w:t xml:space="preserve">102</w:t>
            </w:r>
          </w:p>
        </w:tc>
        <w:tc>
          <w:tcPr/>
          <w:p>
            <w:pPr>
              <w:pStyle w:val="Compact"/>
              <w:jc w:val="right"/>
            </w:pPr>
            <w:r>
              <w:t xml:space="preserve">31.5</w:t>
            </w:r>
          </w:p>
        </w:tc>
        <w:tc>
          <w:tcPr/>
          <w:p>
            <w:pPr>
              <w:pStyle w:val="Compact"/>
            </w:pPr>
          </w:p>
        </w:tc>
        <w:tc>
          <w:tcPr/>
          <w:p>
            <w:pPr>
              <w:pStyle w:val="Compact"/>
            </w:pPr>
          </w:p>
        </w:tc>
        <w:tc>
          <w:tcPr/>
          <w:p>
            <w:pPr>
              <w:pStyle w:val="Compact"/>
            </w:pPr>
          </w:p>
        </w:tc>
      </w:tr>
      <w:tr>
        <w:tc>
          <w:tcPr/>
          <w:p>
            <w:pPr>
              <w:pStyle w:val="Compact"/>
              <w:jc w:val="left"/>
            </w:pPr>
            <w:r>
              <w:t xml:space="preserve">Some college or 2-year degree</w:t>
            </w:r>
          </w:p>
        </w:tc>
        <w:tc>
          <w:tcPr/>
          <w:p>
            <w:pPr>
              <w:pStyle w:val="Compact"/>
              <w:jc w:val="right"/>
            </w:pPr>
            <w:r>
              <w:t xml:space="preserve">140</w:t>
            </w:r>
          </w:p>
        </w:tc>
        <w:tc>
          <w:tcPr/>
          <w:p>
            <w:pPr>
              <w:pStyle w:val="Compact"/>
              <w:jc w:val="right"/>
            </w:pPr>
            <w:r>
              <w:t xml:space="preserve">43.2</w:t>
            </w:r>
          </w:p>
        </w:tc>
        <w:tc>
          <w:tcPr/>
          <w:p>
            <w:pPr>
              <w:pStyle w:val="Compact"/>
            </w:pPr>
          </w:p>
        </w:tc>
        <w:tc>
          <w:tcPr/>
          <w:p>
            <w:pPr>
              <w:pStyle w:val="Compact"/>
            </w:pPr>
          </w:p>
        </w:tc>
        <w:tc>
          <w:tcPr/>
          <w:p>
            <w:pPr>
              <w:pStyle w:val="Compact"/>
            </w:pPr>
          </w:p>
        </w:tc>
      </w:tr>
      <w:tr>
        <w:tc>
          <w:tcPr/>
          <w:p>
            <w:pPr>
              <w:pStyle w:val="Compact"/>
              <w:jc w:val="left"/>
            </w:pPr>
            <w:r>
              <w:t xml:space="preserve">4-year college graduate</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More than 4-year or advanced degree</w:t>
            </w:r>
          </w:p>
        </w:tc>
        <w:tc>
          <w:tcPr/>
          <w:p>
            <w:pPr>
              <w:pStyle w:val="Compact"/>
              <w:jc w:val="right"/>
            </w:pPr>
            <w:r>
              <w:t xml:space="preserve">13</w:t>
            </w:r>
          </w:p>
        </w:tc>
        <w:tc>
          <w:tcPr/>
          <w:p>
            <w:pPr>
              <w:pStyle w:val="Compact"/>
              <w:jc w:val="right"/>
            </w:pPr>
            <w:r>
              <w:t xml:space="preserve">4.0</w:t>
            </w:r>
          </w:p>
        </w:tc>
        <w:tc>
          <w:tcPr/>
          <w:p>
            <w:pPr>
              <w:pStyle w:val="Compact"/>
            </w:pPr>
          </w:p>
        </w:tc>
        <w:tc>
          <w:tcPr/>
          <w:p>
            <w:pPr>
              <w:pStyle w:val="Compact"/>
            </w:pPr>
          </w:p>
        </w:tc>
        <w:tc>
          <w:tcPr/>
          <w:p>
            <w:pPr>
              <w:pStyle w:val="Compact"/>
            </w:pPr>
          </w:p>
        </w:tc>
      </w:tr>
      <w:tr>
        <w:tc>
          <w:tcPr/>
          <w:p>
            <w:pPr>
              <w:pStyle w:val="Compact"/>
              <w:jc w:val="left"/>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Disabled, not able to work</w:t>
            </w:r>
          </w:p>
        </w:tc>
        <w:tc>
          <w:tcPr/>
          <w:p>
            <w:pPr>
              <w:pStyle w:val="Compact"/>
              <w:jc w:val="right"/>
            </w:pPr>
            <w:r>
              <w:t xml:space="preserve">36</w:t>
            </w:r>
          </w:p>
        </w:tc>
        <w:tc>
          <w:tcPr/>
          <w:p>
            <w:pPr>
              <w:pStyle w:val="Compact"/>
              <w:jc w:val="right"/>
            </w:pPr>
            <w:r>
              <w:t xml:space="preserve">11.1</w:t>
            </w:r>
          </w:p>
        </w:tc>
        <w:tc>
          <w:tcPr/>
          <w:p>
            <w:pPr>
              <w:pStyle w:val="Compact"/>
            </w:pPr>
          </w:p>
        </w:tc>
        <w:tc>
          <w:tcPr/>
          <w:p>
            <w:pPr>
              <w:pStyle w:val="Compact"/>
            </w:pPr>
          </w:p>
        </w:tc>
        <w:tc>
          <w:tcPr/>
          <w:p>
            <w:pPr>
              <w:pStyle w:val="Compact"/>
            </w:pPr>
          </w:p>
        </w:tc>
      </w:tr>
      <w:tr>
        <w:tc>
          <w:tcPr/>
          <w:p>
            <w:pPr>
              <w:pStyle w:val="Compact"/>
              <w:jc w:val="left"/>
            </w:pPr>
            <w:r>
              <w:t xml:space="preserve">Employed, working 1-39 hours per week</w:t>
            </w:r>
          </w:p>
        </w:tc>
        <w:tc>
          <w:tcPr/>
          <w:p>
            <w:pPr>
              <w:pStyle w:val="Compact"/>
              <w:jc w:val="right"/>
            </w:pPr>
            <w:r>
              <w:t xml:space="preserve">74</w:t>
            </w:r>
          </w:p>
        </w:tc>
        <w:tc>
          <w:tcPr/>
          <w:p>
            <w:pPr>
              <w:pStyle w:val="Compact"/>
              <w:jc w:val="right"/>
            </w:pPr>
            <w:r>
              <w:t xml:space="preserve">22.8</w:t>
            </w:r>
          </w:p>
        </w:tc>
        <w:tc>
          <w:tcPr/>
          <w:p>
            <w:pPr>
              <w:pStyle w:val="Compact"/>
            </w:pPr>
          </w:p>
        </w:tc>
        <w:tc>
          <w:tcPr/>
          <w:p>
            <w:pPr>
              <w:pStyle w:val="Compact"/>
            </w:pPr>
          </w:p>
        </w:tc>
        <w:tc>
          <w:tcPr/>
          <w:p>
            <w:pPr>
              <w:pStyle w:val="Compact"/>
            </w:pPr>
          </w:p>
        </w:tc>
      </w:tr>
      <w:tr>
        <w:tc>
          <w:tcPr/>
          <w:p>
            <w:pPr>
              <w:pStyle w:val="Compact"/>
              <w:jc w:val="left"/>
            </w:pPr>
            <w:r>
              <w:t xml:space="preserve">Employed, working 40 or more hours per week</w:t>
            </w:r>
          </w:p>
        </w:tc>
        <w:tc>
          <w:tcPr/>
          <w:p>
            <w:pPr>
              <w:pStyle w:val="Compact"/>
              <w:jc w:val="right"/>
            </w:pPr>
            <w:r>
              <w:t xml:space="preserve">60</w:t>
            </w:r>
          </w:p>
        </w:tc>
        <w:tc>
          <w:tcPr/>
          <w:p>
            <w:pPr>
              <w:pStyle w:val="Compact"/>
              <w:jc w:val="right"/>
            </w:pPr>
            <w:r>
              <w:t xml:space="preserve">18.5</w:t>
            </w:r>
          </w:p>
        </w:tc>
        <w:tc>
          <w:tcPr/>
          <w:p>
            <w:pPr>
              <w:pStyle w:val="Compact"/>
            </w:pPr>
          </w:p>
        </w:tc>
        <w:tc>
          <w:tcPr/>
          <w:p>
            <w:pPr>
              <w:pStyle w:val="Compact"/>
            </w:pPr>
          </w:p>
        </w:tc>
        <w:tc>
          <w:tcPr/>
          <w:p>
            <w:pPr>
              <w:pStyle w:val="Compact"/>
            </w:pPr>
          </w:p>
        </w:tc>
      </w:tr>
      <w:tr>
        <w:tc>
          <w:tcPr/>
          <w:p>
            <w:pPr>
              <w:pStyle w:val="Compact"/>
              <w:jc w:val="left"/>
            </w:pPr>
            <w:r>
              <w:t xml:space="preserve">Not employed, NOT looking for work</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Not employed, looking for work</w:t>
            </w:r>
          </w:p>
        </w:tc>
        <w:tc>
          <w:tcPr/>
          <w:p>
            <w:pPr>
              <w:pStyle w:val="Compact"/>
              <w:jc w:val="right"/>
            </w:pPr>
            <w:r>
              <w:t xml:space="preserve">116</w:t>
            </w:r>
          </w:p>
        </w:tc>
        <w:tc>
          <w:tcPr/>
          <w:p>
            <w:pPr>
              <w:pStyle w:val="Compact"/>
              <w:jc w:val="right"/>
            </w:pPr>
            <w:r>
              <w:t xml:space="preserve">35.8</w:t>
            </w:r>
          </w:p>
        </w:tc>
        <w:tc>
          <w:tcPr/>
          <w:p>
            <w:pPr>
              <w:pStyle w:val="Compact"/>
            </w:pPr>
          </w:p>
        </w:tc>
        <w:tc>
          <w:tcPr/>
          <w:p>
            <w:pPr>
              <w:pStyle w:val="Compact"/>
            </w:pPr>
          </w:p>
        </w:tc>
        <w:tc>
          <w:tcPr/>
          <w:p>
            <w:pPr>
              <w:pStyle w:val="Compact"/>
            </w:pPr>
          </w:p>
        </w:tc>
      </w:tr>
      <w:tr>
        <w:tc>
          <w:tcPr/>
          <w:p>
            <w:pPr>
              <w:pStyle w:val="Compact"/>
              <w:jc w:val="left"/>
            </w:pPr>
            <w:r>
              <w:t xml:space="preserve">Retired</w:t>
            </w:r>
          </w:p>
        </w:tc>
        <w:tc>
          <w:tcPr/>
          <w:p>
            <w:pPr>
              <w:pStyle w:val="Compact"/>
              <w:jc w:val="right"/>
            </w:pPr>
            <w:r>
              <w:t xml:space="preserve">3</w:t>
            </w:r>
          </w:p>
        </w:tc>
        <w:tc>
          <w:tcPr/>
          <w:p>
            <w:pPr>
              <w:pStyle w:val="Compact"/>
              <w:jc w:val="right"/>
            </w:pPr>
            <w:r>
              <w:t xml:space="preserve">0.9</w:t>
            </w:r>
          </w:p>
        </w:tc>
        <w:tc>
          <w:tcPr/>
          <w:p>
            <w:pPr>
              <w:pStyle w:val="Compact"/>
            </w:pPr>
          </w:p>
        </w:tc>
        <w:tc>
          <w:tcPr/>
          <w:p>
            <w:pPr>
              <w:pStyle w:val="Compact"/>
            </w:pPr>
          </w:p>
        </w:tc>
        <w:tc>
          <w:tcPr/>
          <w:p>
            <w:pPr>
              <w:pStyle w:val="Compact"/>
            </w:pPr>
          </w:p>
        </w:tc>
      </w:tr>
      <w:tr>
        <w:tc>
          <w:tcPr/>
          <w:p>
            <w:pPr>
              <w:pStyle w:val="Compact"/>
              <w:jc w:val="left"/>
            </w:pPr>
            <w:r>
              <w:t xml:space="preserve">Annual Household Income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Less than $25,000</w:t>
            </w:r>
          </w:p>
        </w:tc>
        <w:tc>
          <w:tcPr/>
          <w:p>
            <w:pPr>
              <w:pStyle w:val="Compact"/>
              <w:jc w:val="right"/>
            </w:pPr>
            <w:r>
              <w:t xml:space="preserve">180</w:t>
            </w:r>
          </w:p>
        </w:tc>
        <w:tc>
          <w:tcPr/>
          <w:p>
            <w:pPr>
              <w:pStyle w:val="Compact"/>
              <w:jc w:val="right"/>
            </w:pPr>
            <w:r>
              <w:t xml:space="preserve">55.6</w:t>
            </w:r>
          </w:p>
        </w:tc>
        <w:tc>
          <w:tcPr/>
          <w:p>
            <w:pPr>
              <w:pStyle w:val="Compact"/>
            </w:pPr>
          </w:p>
        </w:tc>
        <w:tc>
          <w:tcPr/>
          <w:p>
            <w:pPr>
              <w:pStyle w:val="Compact"/>
            </w:pPr>
          </w:p>
        </w:tc>
        <w:tc>
          <w:tcPr/>
          <w:p>
            <w:pPr>
              <w:pStyle w:val="Compact"/>
            </w:pPr>
          </w:p>
        </w:tc>
      </w:tr>
      <w:tr>
        <w:tc>
          <w:tcPr/>
          <w:p>
            <w:pPr>
              <w:pStyle w:val="Compact"/>
              <w:jc w:val="left"/>
            </w:pPr>
            <w:r>
              <w:t xml:space="preserve">$25,000 - $34,999</w:t>
            </w:r>
          </w:p>
        </w:tc>
        <w:tc>
          <w:tcPr/>
          <w:p>
            <w:pPr>
              <w:pStyle w:val="Compact"/>
              <w:jc w:val="right"/>
            </w:pPr>
            <w:r>
              <w:t xml:space="preserve">45</w:t>
            </w:r>
          </w:p>
        </w:tc>
        <w:tc>
          <w:tcPr/>
          <w:p>
            <w:pPr>
              <w:pStyle w:val="Compact"/>
              <w:jc w:val="right"/>
            </w:pPr>
            <w:r>
              <w:t xml:space="preserve">13.9</w:t>
            </w:r>
          </w:p>
        </w:tc>
        <w:tc>
          <w:tcPr/>
          <w:p>
            <w:pPr>
              <w:pStyle w:val="Compact"/>
            </w:pPr>
          </w:p>
        </w:tc>
        <w:tc>
          <w:tcPr/>
          <w:p>
            <w:pPr>
              <w:pStyle w:val="Compact"/>
            </w:pPr>
          </w:p>
        </w:tc>
        <w:tc>
          <w:tcPr/>
          <w:p>
            <w:pPr>
              <w:pStyle w:val="Compact"/>
            </w:pPr>
          </w:p>
        </w:tc>
      </w:tr>
      <w:tr>
        <w:tc>
          <w:tcPr/>
          <w:p>
            <w:pPr>
              <w:pStyle w:val="Compact"/>
              <w:jc w:val="left"/>
            </w:pPr>
            <w:r>
              <w:t xml:space="preserve">$35,000 - $49,999</w:t>
            </w:r>
          </w:p>
        </w:tc>
        <w:tc>
          <w:tcPr/>
          <w:p>
            <w:pPr>
              <w:pStyle w:val="Compact"/>
              <w:jc w:val="right"/>
            </w:pPr>
            <w:r>
              <w:t xml:space="preserve">39</w:t>
            </w:r>
          </w:p>
        </w:tc>
        <w:tc>
          <w:tcPr/>
          <w:p>
            <w:pPr>
              <w:pStyle w:val="Compact"/>
              <w:jc w:val="right"/>
            </w:pPr>
            <w:r>
              <w:t xml:space="preserve">12.0</w:t>
            </w:r>
          </w:p>
        </w:tc>
        <w:tc>
          <w:tcPr/>
          <w:p>
            <w:pPr>
              <w:pStyle w:val="Compact"/>
            </w:pPr>
          </w:p>
        </w:tc>
        <w:tc>
          <w:tcPr/>
          <w:p>
            <w:pPr>
              <w:pStyle w:val="Compact"/>
            </w:pPr>
          </w:p>
        </w:tc>
        <w:tc>
          <w:tcPr/>
          <w:p>
            <w:pPr>
              <w:pStyle w:val="Compact"/>
            </w:pPr>
          </w:p>
        </w:tc>
      </w:tr>
      <w:tr>
        <w:tc>
          <w:tcPr/>
          <w:p>
            <w:pPr>
              <w:pStyle w:val="Compact"/>
              <w:jc w:val="left"/>
            </w:pPr>
            <w:r>
              <w:t xml:space="preserve">$50,000 - $74,999</w:t>
            </w:r>
          </w:p>
        </w:tc>
        <w:tc>
          <w:tcPr/>
          <w:p>
            <w:pPr>
              <w:pStyle w:val="Compact"/>
              <w:jc w:val="right"/>
            </w:pPr>
            <w:r>
              <w:t xml:space="preserve">33</w:t>
            </w:r>
          </w:p>
        </w:tc>
        <w:tc>
          <w:tcPr/>
          <w:p>
            <w:pPr>
              <w:pStyle w:val="Compact"/>
              <w:jc w:val="right"/>
            </w:pPr>
            <w:r>
              <w:t xml:space="preserve">10.2</w:t>
            </w:r>
          </w:p>
        </w:tc>
        <w:tc>
          <w:tcPr/>
          <w:p>
            <w:pPr>
              <w:pStyle w:val="Compact"/>
            </w:pPr>
          </w:p>
        </w:tc>
        <w:tc>
          <w:tcPr/>
          <w:p>
            <w:pPr>
              <w:pStyle w:val="Compact"/>
            </w:pPr>
          </w:p>
        </w:tc>
        <w:tc>
          <w:tcPr/>
          <w:p>
            <w:pPr>
              <w:pStyle w:val="Compact"/>
            </w:pPr>
          </w:p>
        </w:tc>
      </w:tr>
      <w:tr>
        <w:tc>
          <w:tcPr/>
          <w:p>
            <w:pPr>
              <w:pStyle w:val="Compact"/>
              <w:jc w:val="left"/>
            </w:pPr>
            <w:r>
              <w:t xml:space="preserve">$75,000 - $99,999</w:t>
            </w:r>
          </w:p>
        </w:tc>
        <w:tc>
          <w:tcPr/>
          <w:p>
            <w:pPr>
              <w:pStyle w:val="Compact"/>
              <w:jc w:val="right"/>
            </w:pPr>
            <w:r>
              <w:t xml:space="preserve">14</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$100,000 - $149,999</w:t>
            </w:r>
          </w:p>
        </w:tc>
        <w:tc>
          <w:tcPr/>
          <w:p>
            <w:pPr>
              <w:pStyle w:val="Compact"/>
              <w:jc w:val="right"/>
            </w:pPr>
            <w:r>
              <w:t xml:space="preserve">6</w:t>
            </w:r>
          </w:p>
        </w:tc>
        <w:tc>
          <w:tcPr/>
          <w:p>
            <w:pPr>
              <w:pStyle w:val="Compact"/>
              <w:jc w:val="right"/>
            </w:pPr>
            <w:r>
              <w:t xml:space="preserve">1.9</w:t>
            </w:r>
          </w:p>
        </w:tc>
        <w:tc>
          <w:tcPr/>
          <w:p>
            <w:pPr>
              <w:pStyle w:val="Compact"/>
            </w:pPr>
          </w:p>
        </w:tc>
        <w:tc>
          <w:tcPr/>
          <w:p>
            <w:pPr>
              <w:pStyle w:val="Compact"/>
            </w:pPr>
          </w:p>
        </w:tc>
        <w:tc>
          <w:tcPr/>
          <w:p>
            <w:pPr>
              <w:pStyle w:val="Compact"/>
            </w:pPr>
          </w:p>
        </w:tc>
      </w:tr>
      <w:tr>
        <w:tc>
          <w:tcPr/>
          <w:p>
            <w:pPr>
              <w:pStyle w:val="Compact"/>
              <w:jc w:val="left"/>
            </w:pPr>
            <w:r>
              <w:t xml:space="preserve">$150,000 - $199,999</w:t>
            </w:r>
          </w:p>
        </w:tc>
        <w:tc>
          <w:tcPr/>
          <w:p>
            <w:pPr>
              <w:pStyle w:val="Compact"/>
              <w:jc w:val="right"/>
            </w:pPr>
            <w:r>
              <w:t xml:space="preserve">4</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jc w:val="left"/>
            </w:pPr>
            <w:r>
              <w:t xml:space="preserve">$200,000 or more</w:t>
            </w:r>
          </w:p>
        </w:tc>
        <w:tc>
          <w:tcPr/>
          <w:p>
            <w:pPr>
              <w:pStyle w:val="Compact"/>
              <w:jc w:val="right"/>
            </w:pPr>
            <w:r>
              <w:t xml:space="preserve">1</w:t>
            </w:r>
          </w:p>
        </w:tc>
        <w:tc>
          <w:tcPr/>
          <w:p>
            <w:pPr>
              <w:pStyle w:val="Compact"/>
              <w:jc w:val="right"/>
            </w:pPr>
            <w:r>
              <w:t xml:space="preserve">0.3</w:t>
            </w:r>
          </w:p>
        </w:tc>
        <w:tc>
          <w:tcPr/>
          <w:p>
            <w:pPr>
              <w:pStyle w:val="Compact"/>
            </w:pPr>
          </w:p>
        </w:tc>
        <w:tc>
          <w:tcPr/>
          <w:p>
            <w:pPr>
              <w:pStyle w:val="Compact"/>
            </w:pPr>
          </w:p>
        </w:tc>
        <w:tc>
          <w:tcPr/>
          <w:p>
            <w:pPr>
              <w:pStyle w:val="Compact"/>
            </w:pPr>
          </w:p>
        </w:tc>
      </w:tr>
      <w:tr>
        <w:tc>
          <w:tcPr/>
          <w:p>
            <w:pPr>
              <w:pStyle w:val="Compact"/>
              <w:jc w:val="left"/>
            </w:pPr>
            <w:r>
              <w:t xml:space="preserve">In a Committed Romantic Relationship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141</w:t>
            </w:r>
          </w:p>
        </w:tc>
        <w:tc>
          <w:tcPr/>
          <w:p>
            <w:pPr>
              <w:pStyle w:val="Compact"/>
              <w:jc w:val="right"/>
            </w:pPr>
            <w:r>
              <w:t xml:space="preserve">43.5</w:t>
            </w: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181</w:t>
            </w:r>
          </w:p>
        </w:tc>
        <w:tc>
          <w:tcPr/>
          <w:p>
            <w:pPr>
              <w:pStyle w:val="Compact"/>
              <w:jc w:val="right"/>
            </w:pPr>
            <w:r>
              <w:t xml:space="preserve">55.9</w:t>
            </w:r>
          </w:p>
        </w:tc>
        <w:tc>
          <w:tcPr/>
          <w:p>
            <w:pPr>
              <w:pStyle w:val="Compact"/>
            </w:pPr>
          </w:p>
        </w:tc>
        <w:tc>
          <w:tcPr/>
          <w:p>
            <w:pPr>
              <w:pStyle w:val="Compact"/>
            </w:pPr>
          </w:p>
        </w:tc>
        <w:tc>
          <w:tcPr/>
          <w:p>
            <w:pPr>
              <w:pStyle w:val="Compact"/>
            </w:pPr>
          </w:p>
        </w:tc>
      </w:tr>
      <w:tr>
        <w:tc>
          <w:tcPr/>
          <w:p>
            <w:pPr>
              <w:pStyle w:val="Compact"/>
              <w:jc w:val="left"/>
            </w:pPr>
            <w:r>
              <w:t xml:space="preserve">DSM-5 OUD Symptom Count</w:t>
            </w:r>
          </w:p>
        </w:tc>
        <w:tc>
          <w:tcPr/>
          <w:p>
            <w:pPr>
              <w:pStyle w:val="Compact"/>
            </w:pPr>
          </w:p>
        </w:tc>
        <w:tc>
          <w:tcPr/>
          <w:p>
            <w:pPr>
              <w:pStyle w:val="Compact"/>
            </w:pPr>
          </w:p>
        </w:tc>
        <w:tc>
          <w:tcPr/>
          <w:p>
            <w:pPr>
              <w:pStyle w:val="Compact"/>
              <w:jc w:val="right"/>
            </w:pPr>
            <w:r>
              <w:t xml:space="preserve">9.9</w:t>
            </w:r>
          </w:p>
        </w:tc>
        <w:tc>
          <w:tcPr/>
          <w:p>
            <w:pPr>
              <w:pStyle w:val="Compact"/>
              <w:jc w:val="right"/>
            </w:pPr>
            <w:r>
              <w:t xml:space="preserve">2.2</w:t>
            </w:r>
          </w:p>
        </w:tc>
        <w:tc>
          <w:tcPr/>
          <w:p>
            <w:pPr>
              <w:pStyle w:val="Compact"/>
              <w:jc w:val="left"/>
            </w:pPr>
            <w:r>
              <w:t xml:space="preserve">0 - 11</w:t>
            </w:r>
          </w:p>
        </w:tc>
      </w:tr>
      <w:tr>
        <w:tc>
          <w:tcPr/>
          <w:p>
            <w:pPr>
              <w:pStyle w:val="Compact"/>
              <w:jc w:val="left"/>
            </w:pPr>
            <w:r>
              <w:t xml:space="preserve">OUD Medication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 am not taking any medications for opioid use</w:t>
            </w:r>
          </w:p>
        </w:tc>
        <w:tc>
          <w:tcPr/>
          <w:p>
            <w:pPr>
              <w:pStyle w:val="Compact"/>
              <w:jc w:val="right"/>
            </w:pPr>
            <w:r>
              <w:t xml:space="preserve">31</w:t>
            </w:r>
          </w:p>
        </w:tc>
        <w:tc>
          <w:tcPr/>
          <w:p>
            <w:pPr>
              <w:pStyle w:val="Compact"/>
              <w:jc w:val="right"/>
            </w:pPr>
            <w:r>
              <w:t xml:space="preserve">9.6</w:t>
            </w:r>
          </w:p>
        </w:tc>
        <w:tc>
          <w:tcPr/>
          <w:p>
            <w:pPr>
              <w:pStyle w:val="Compact"/>
            </w:pPr>
          </w:p>
        </w:tc>
        <w:tc>
          <w:tcPr/>
          <w:p>
            <w:pPr>
              <w:pStyle w:val="Compact"/>
            </w:pPr>
          </w:p>
        </w:tc>
        <w:tc>
          <w:tcPr/>
          <w:p>
            <w:pPr>
              <w:pStyle w:val="Compact"/>
            </w:pPr>
          </w:p>
        </w:tc>
      </w:tr>
      <w:tr>
        <w:tc>
          <w:tcPr/>
          <w:p>
            <w:pPr>
              <w:pStyle w:val="Compact"/>
              <w:jc w:val="left"/>
            </w:pPr>
            <w:r>
              <w:t xml:space="preserve">Medication taken daily (e.g., Suboxone, Methadone) and medication taken monthly (e.g., Vivitrol)</w:t>
            </w:r>
          </w:p>
        </w:tc>
        <w:tc>
          <w:tcPr/>
          <w:p>
            <w:pPr>
              <w:pStyle w:val="Compact"/>
              <w:jc w:val="right"/>
            </w:pPr>
            <w:r>
              <w:t xml:space="preserve">40</w:t>
            </w:r>
          </w:p>
        </w:tc>
        <w:tc>
          <w:tcPr/>
          <w:p>
            <w:pPr>
              <w:pStyle w:val="Compact"/>
              <w:jc w:val="right"/>
            </w:pPr>
            <w:r>
              <w:t xml:space="preserve">12.3</w:t>
            </w:r>
          </w:p>
        </w:tc>
        <w:tc>
          <w:tcPr/>
          <w:p>
            <w:pPr>
              <w:pStyle w:val="Compact"/>
            </w:pPr>
          </w:p>
        </w:tc>
        <w:tc>
          <w:tcPr/>
          <w:p>
            <w:pPr>
              <w:pStyle w:val="Compact"/>
            </w:pPr>
          </w:p>
        </w:tc>
        <w:tc>
          <w:tcPr/>
          <w:p>
            <w:pPr>
              <w:pStyle w:val="Compact"/>
            </w:pPr>
          </w:p>
        </w:tc>
      </w:tr>
      <w:tr>
        <w:tc>
          <w:tcPr/>
          <w:p>
            <w:pPr>
              <w:pStyle w:val="Compact"/>
              <w:jc w:val="left"/>
            </w:pPr>
            <w:r>
              <w:t xml:space="preserve">Medications taken daily (e.g., Suboxone, Methadone)</w:t>
            </w:r>
          </w:p>
        </w:tc>
        <w:tc>
          <w:tcPr/>
          <w:p>
            <w:pPr>
              <w:pStyle w:val="Compact"/>
              <w:jc w:val="right"/>
            </w:pPr>
            <w:r>
              <w:t xml:space="preserve">230</w:t>
            </w:r>
          </w:p>
        </w:tc>
        <w:tc>
          <w:tcPr/>
          <w:p>
            <w:pPr>
              <w:pStyle w:val="Compact"/>
              <w:jc w:val="right"/>
            </w:pPr>
            <w:r>
              <w:t xml:space="preserve">71.0</w:t>
            </w:r>
          </w:p>
        </w:tc>
        <w:tc>
          <w:tcPr/>
          <w:p>
            <w:pPr>
              <w:pStyle w:val="Compact"/>
            </w:pPr>
          </w:p>
        </w:tc>
        <w:tc>
          <w:tcPr/>
          <w:p>
            <w:pPr>
              <w:pStyle w:val="Compact"/>
            </w:pPr>
          </w:p>
        </w:tc>
        <w:tc>
          <w:tcPr/>
          <w:p>
            <w:pPr>
              <w:pStyle w:val="Compact"/>
            </w:pPr>
          </w:p>
        </w:tc>
      </w:tr>
      <w:tr>
        <w:tc>
          <w:tcPr/>
          <w:p>
            <w:pPr>
              <w:pStyle w:val="Compact"/>
              <w:jc w:val="left"/>
            </w:pPr>
            <w:r>
              <w:t xml:space="preserve">Medications taken monthly (e.g., Vivitrol)</w:t>
            </w:r>
          </w:p>
        </w:tc>
        <w:tc>
          <w:tcPr/>
          <w:p>
            <w:pPr>
              <w:pStyle w:val="Compact"/>
              <w:jc w:val="right"/>
            </w:pPr>
            <w:r>
              <w:t xml:space="preserve">22</w:t>
            </w:r>
          </w:p>
        </w:tc>
        <w:tc>
          <w:tcPr/>
          <w:p>
            <w:pPr>
              <w:pStyle w:val="Compact"/>
              <w:jc w:val="right"/>
            </w:pPr>
            <w:r>
              <w:t xml:space="preserve">6.8</w:t>
            </w:r>
          </w:p>
        </w:tc>
        <w:tc>
          <w:tcPr/>
          <w:p>
            <w:pPr>
              <w:pStyle w:val="Compact"/>
            </w:pPr>
          </w:p>
        </w:tc>
        <w:tc>
          <w:tcPr/>
          <w:p>
            <w:pPr>
              <w:pStyle w:val="Compact"/>
            </w:pPr>
          </w:p>
        </w:tc>
        <w:tc>
          <w:tcPr/>
          <w:p>
            <w:pPr>
              <w:pStyle w:val="Compact"/>
            </w:pPr>
          </w:p>
        </w:tc>
      </w:tr>
      <w:tr>
        <w:tc>
          <w:tcPr/>
          <w:p>
            <w:pPr>
              <w:pStyle w:val="Compact"/>
              <w:jc w:val="left"/>
            </w:pPr>
            <w:r>
              <w:t xml:space="preserve">Number of Overdoses in Lifetime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jc w:val="right"/>
            </w:pPr>
            <w:r>
              <w:t xml:space="preserve">135</w:t>
            </w:r>
          </w:p>
        </w:tc>
        <w:tc>
          <w:tcPr/>
          <w:p>
            <w:pPr>
              <w:pStyle w:val="Compact"/>
              <w:jc w:val="right"/>
            </w:pPr>
            <w:r>
              <w:t xml:space="preserve">41.7</w:t>
            </w:r>
          </w:p>
        </w:tc>
        <w:tc>
          <w:tcPr/>
          <w:p>
            <w:pPr>
              <w:pStyle w:val="Compact"/>
            </w:pPr>
          </w:p>
        </w:tc>
        <w:tc>
          <w:tcPr/>
          <w:p>
            <w:pPr>
              <w:pStyle w:val="Compact"/>
            </w:pPr>
          </w:p>
        </w:tc>
        <w:tc>
          <w:tcPr/>
          <w:p>
            <w:pPr>
              <w:pStyle w:val="Compact"/>
            </w:pPr>
          </w:p>
        </w:tc>
      </w:tr>
      <w:tr>
        <w:tc>
          <w:tcPr/>
          <w:p>
            <w:pPr>
              <w:pStyle w:val="Compact"/>
              <w:jc w:val="left"/>
            </w:pPr>
            <w:r>
              <w:t xml:space="preserve">1 time</w:t>
            </w:r>
          </w:p>
        </w:tc>
        <w:tc>
          <w:tcPr/>
          <w:p>
            <w:pPr>
              <w:pStyle w:val="Compact"/>
              <w:jc w:val="right"/>
            </w:pPr>
            <w:r>
              <w:t xml:space="preserve">46</w:t>
            </w:r>
          </w:p>
        </w:tc>
        <w:tc>
          <w:tcPr/>
          <w:p>
            <w:pPr>
              <w:pStyle w:val="Compact"/>
              <w:jc w:val="right"/>
            </w:pPr>
            <w:r>
              <w:t xml:space="preserve">14.2</w:t>
            </w:r>
          </w:p>
        </w:tc>
        <w:tc>
          <w:tcPr/>
          <w:p>
            <w:pPr>
              <w:pStyle w:val="Compact"/>
            </w:pPr>
          </w:p>
        </w:tc>
        <w:tc>
          <w:tcPr/>
          <w:p>
            <w:pPr>
              <w:pStyle w:val="Compact"/>
            </w:pPr>
          </w:p>
        </w:tc>
        <w:tc>
          <w:tcPr/>
          <w:p>
            <w:pPr>
              <w:pStyle w:val="Compact"/>
            </w:pPr>
          </w:p>
        </w:tc>
      </w:tr>
      <w:tr>
        <w:tc>
          <w:tcPr/>
          <w:p>
            <w:pPr>
              <w:pStyle w:val="Compact"/>
              <w:jc w:val="left"/>
            </w:pPr>
            <w:r>
              <w:t xml:space="preserve">2-3 times</w:t>
            </w:r>
          </w:p>
        </w:tc>
        <w:tc>
          <w:tcPr/>
          <w:p>
            <w:pPr>
              <w:pStyle w:val="Compact"/>
              <w:jc w:val="right"/>
            </w:pPr>
            <w:r>
              <w:t xml:space="preserve">76</w:t>
            </w:r>
          </w:p>
        </w:tc>
        <w:tc>
          <w:tcPr/>
          <w:p>
            <w:pPr>
              <w:pStyle w:val="Compact"/>
              <w:jc w:val="right"/>
            </w:pPr>
            <w:r>
              <w:t xml:space="preserve">23.5</w:t>
            </w:r>
          </w:p>
        </w:tc>
        <w:tc>
          <w:tcPr/>
          <w:p>
            <w:pPr>
              <w:pStyle w:val="Compact"/>
            </w:pPr>
          </w:p>
        </w:tc>
        <w:tc>
          <w:tcPr/>
          <w:p>
            <w:pPr>
              <w:pStyle w:val="Compact"/>
            </w:pPr>
          </w:p>
        </w:tc>
        <w:tc>
          <w:tcPr/>
          <w:p>
            <w:pPr>
              <w:pStyle w:val="Compact"/>
            </w:pPr>
          </w:p>
        </w:tc>
      </w:tr>
      <w:tr>
        <w:tc>
          <w:tcPr/>
          <w:p>
            <w:pPr>
              <w:pStyle w:val="Compact"/>
              <w:jc w:val="left"/>
            </w:pPr>
            <w:r>
              <w:t xml:space="preserve">4-5 times</w:t>
            </w:r>
          </w:p>
        </w:tc>
        <w:tc>
          <w:tcPr/>
          <w:p>
            <w:pPr>
              <w:pStyle w:val="Compact"/>
              <w:jc w:val="right"/>
            </w:pPr>
            <w:r>
              <w:t xml:space="preserve">27</w:t>
            </w:r>
          </w:p>
        </w:tc>
        <w:tc>
          <w:tcPr/>
          <w:p>
            <w:pPr>
              <w:pStyle w:val="Compact"/>
              <w:jc w:val="right"/>
            </w:pPr>
            <w:r>
              <w:t xml:space="preserve">8.3</w:t>
            </w:r>
          </w:p>
        </w:tc>
        <w:tc>
          <w:tcPr/>
          <w:p>
            <w:pPr>
              <w:pStyle w:val="Compact"/>
            </w:pPr>
          </w:p>
        </w:tc>
        <w:tc>
          <w:tcPr/>
          <w:p>
            <w:pPr>
              <w:pStyle w:val="Compact"/>
            </w:pPr>
          </w:p>
        </w:tc>
        <w:tc>
          <w:tcPr/>
          <w:p>
            <w:pPr>
              <w:pStyle w:val="Compact"/>
            </w:pPr>
          </w:p>
        </w:tc>
      </w:tr>
      <w:tr>
        <w:tc>
          <w:tcPr/>
          <w:p>
            <w:pPr>
              <w:pStyle w:val="Compact"/>
              <w:jc w:val="left"/>
            </w:pPr>
            <w:r>
              <w:t xml:space="preserve">More than 5 times</w:t>
            </w:r>
          </w:p>
        </w:tc>
        <w:tc>
          <w:tcPr/>
          <w:p>
            <w:pPr>
              <w:pStyle w:val="Compact"/>
              <w:jc w:val="right"/>
            </w:pPr>
            <w:r>
              <w:t xml:space="preserve">38</w:t>
            </w:r>
          </w:p>
        </w:tc>
        <w:tc>
          <w:tcPr/>
          <w:p>
            <w:pPr>
              <w:pStyle w:val="Compact"/>
              <w:jc w:val="right"/>
            </w:pPr>
            <w:r>
              <w:t xml:space="preserve">11.7</w:t>
            </w:r>
          </w:p>
        </w:tc>
        <w:tc>
          <w:tcPr/>
          <w:p>
            <w:pPr>
              <w:pStyle w:val="Compact"/>
            </w:pPr>
          </w:p>
        </w:tc>
        <w:tc>
          <w:tcPr/>
          <w:p>
            <w:pPr>
              <w:pStyle w:val="Compact"/>
            </w:pPr>
          </w:p>
        </w:tc>
        <w:tc>
          <w:tcPr/>
          <w:p>
            <w:pPr>
              <w:pStyle w:val="Compact"/>
            </w:pPr>
          </w:p>
        </w:tc>
      </w:tr>
      <w:tr>
        <w:tc>
          <w:tcPr/>
          <w:p>
            <w:pPr>
              <w:pStyle w:val="Compact"/>
              <w:jc w:val="left"/>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137</w:t>
            </w:r>
          </w:p>
        </w:tc>
        <w:tc>
          <w:tcPr/>
          <w:p>
            <w:pPr>
              <w:pStyle w:val="Compact"/>
              <w:jc w:val="right"/>
            </w:pPr>
            <w:r>
              <w:t xml:space="preserve">42.3</w:t>
            </w: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187</w:t>
            </w:r>
          </w:p>
        </w:tc>
        <w:tc>
          <w:tcPr/>
          <w:p>
            <w:pPr>
              <w:pStyle w:val="Compact"/>
              <w:jc w:val="right"/>
            </w:pPr>
            <w:r>
              <w:t xml:space="preserve">57.7</w:t>
            </w:r>
          </w:p>
        </w:tc>
        <w:tc>
          <w:tcPr/>
          <w:p>
            <w:pPr>
              <w:pStyle w:val="Compact"/>
            </w:pPr>
          </w:p>
        </w:tc>
        <w:tc>
          <w:tcPr/>
          <w:p>
            <w:pPr>
              <w:pStyle w:val="Compact"/>
            </w:pPr>
          </w:p>
        </w:tc>
        <w:tc>
          <w:tcPr/>
          <w:p>
            <w:pPr>
              <w:pStyle w:val="Compact"/>
            </w:pPr>
          </w:p>
        </w:tc>
      </w:tr>
      <w:tr>
        <w:tc>
          <w:tcPr/>
          <w:p>
            <w:pPr>
              <w:pStyle w:val="Compact"/>
              <w:jc w:val="left"/>
            </w:pPr>
            <w:r>
              <w:t xml:space="preserve">Number of reported lapses</w:t>
            </w:r>
          </w:p>
        </w:tc>
        <w:tc>
          <w:tcPr/>
          <w:p>
            <w:pPr>
              <w:pStyle w:val="Compact"/>
            </w:pPr>
          </w:p>
        </w:tc>
        <w:tc>
          <w:tcPr/>
          <w:p>
            <w:pPr>
              <w:pStyle w:val="Compact"/>
            </w:pPr>
          </w:p>
        </w:tc>
        <w:tc>
          <w:tcPr/>
          <w:p>
            <w:pPr>
              <w:pStyle w:val="Compact"/>
              <w:jc w:val="right"/>
            </w:pPr>
            <w:r>
              <w:t xml:space="preserve">9.1</w:t>
            </w:r>
          </w:p>
        </w:tc>
        <w:tc>
          <w:tcPr/>
          <w:p>
            <w:pPr>
              <w:pStyle w:val="Compact"/>
              <w:jc w:val="right"/>
            </w:pPr>
            <w:r>
              <w:t xml:space="preserve">25.0</w:t>
            </w:r>
          </w:p>
        </w:tc>
        <w:tc>
          <w:tcPr/>
          <w:p>
            <w:pPr>
              <w:pStyle w:val="Compact"/>
              <w:jc w:val="left"/>
            </w:pPr>
            <w:r>
              <w:t xml:space="preserve">0 - 164</w:t>
            </w:r>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146"/>
    <w:bookmarkStart w:id="147" w:name="procedure-2"/>
    <w:p>
      <w:pPr>
        <w:pStyle w:val="Heading3"/>
      </w:pPr>
      <w:r>
        <w:t xml:space="preserve">4.3.2 Procedure</w:t>
      </w:r>
    </w:p>
    <w:p>
      <w:pPr>
        <w:pStyle w:val="FirstParagraph"/>
      </w:pPr>
      <w:r>
        <w:t xml:space="preserve">Participants who screened eligible were consented and onboarded over video or phone call. All participants were instructed to download the STARR study app (a version of CHESS). After this meeting participants were instructed to watch a set of video tutorials for learning how to use the app. One week later they participated in a check-in video or phone call with study staff to answer any questions about the app and troubleshoot any technical issues. At this time, study staff also mailed onboarding materials to participants, including a payment card. Participants were expected to complete monthly surveys to remain on study. At the end of the study participants met with study staff for a final debriefing video or phone call.</w:t>
      </w:r>
    </w:p>
    <w:bookmarkEnd w:id="147"/>
    <w:bookmarkStart w:id="152" w:name="measures-2"/>
    <w:p>
      <w:pPr>
        <w:pStyle w:val="Heading3"/>
      </w:pPr>
      <w:r>
        <w:t xml:space="preserve">4.3.3 Measures</w:t>
      </w:r>
    </w:p>
    <w:bookmarkStart w:id="148" w:name="individual-characteristics-1"/>
    <w:p>
      <w:pPr>
        <w:pStyle w:val="Heading4"/>
      </w:pPr>
      <w:r>
        <w:t xml:space="preserve">4.3.3.1 Individual Characteristics</w:t>
      </w:r>
    </w:p>
    <w:p>
      <w:pPr>
        <w:pStyle w:val="FirstParagraph"/>
      </w:pPr>
      <w:r>
        <w:t xml:space="preserve">We collected self-report information about demographics (age, gender, orientation, race/ethnicity, education, employment, income, relationship status, location) and clinical characteristics (DSM-5 OUD symptom count, MOUD medication, number of lifetime overdoses) to characterize our sample. Demographic information will be included as features in our models. A subset of these variables (gender, race/ethnicity, income, and location) will be used for model fairness analyses, as they have documented disparities in treatment access and outcomes.</w:t>
      </w:r>
    </w:p>
    <w:p>
      <w:pPr>
        <w:pStyle w:val="BodyText"/>
      </w:pPr>
      <w:r>
        <w:t xml:space="preserve">As part of the aims of the parent project we collected many other trait and state measures throughout the study. A complete list of all measures will be made available on our study’s OSF page.</w:t>
      </w:r>
    </w:p>
    <w:bookmarkEnd w:id="148"/>
    <w:bookmarkStart w:id="149" w:name="daily-surveys"/>
    <w:p>
      <w:pPr>
        <w:pStyle w:val="Heading4"/>
      </w:pPr>
      <w:r>
        <w:t xml:space="preserve">4.3.3.2 Daily Surveys</w:t>
      </w:r>
    </w:p>
    <w:p>
      <w:pPr>
        <w:pStyle w:val="FirstParagraph"/>
      </w:pPr>
      <w:r>
        <w:t xml:space="preserve">Participants completed one brief (16 questions) daily survey. Daily surveys became available in star app each morning at 6 am. The survey remind open until 5:59 am the next day. Push notifications were also sent to participants to remind them that they had a new task that had not been completed yet.</w:t>
      </w:r>
    </w:p>
    <w:p>
      <w:pPr>
        <w:pStyle w:val="BodyText"/>
      </w:pPr>
      <w:r>
        <w:t xml:space="preserve">On each survey, participants reported dates/times of any previously unreported past opioid use. They also reported any other drugs or alcohol used in the past 24 hours and whether they took their MOUD as prescribed. Next, participants rated the maximum intensity of recent (i.e., since last EMA) experiences of pain, craving, risky situations, stressful events, and pleasant events. Next, participants rated their sleep and how depressed, angry, anxious, relaxed, and happy they have felt in the past 24 hours. Finally, participants rated how motivated they were to completely avoid using opioids for non-medical reasons and how confident they were in their ability to completely avoid using opioids for non-medical reasons.</w:t>
      </w:r>
    </w:p>
    <w:p>
      <w:pPr>
        <w:pStyle w:val="BodyText"/>
      </w:pPr>
      <w:r>
        <w:t xml:space="preserve">Participants were withdrawn early from the study if they did not complete at least 20 daily surveys in a four week period.</w:t>
      </w:r>
    </w:p>
    <w:bookmarkEnd w:id="149"/>
    <w:bookmarkStart w:id="150" w:name="monthly-surveys"/>
    <w:p>
      <w:pPr>
        <w:pStyle w:val="Heading4"/>
      </w:pPr>
      <w:r>
        <w:t xml:space="preserve">4.3.3.3 Monthly Surveys</w:t>
      </w:r>
    </w:p>
    <w:p>
      <w:pPr>
        <w:pStyle w:val="FirstParagraph"/>
      </w:pPr>
      <w:r>
        <w:t xml:space="preserve">Monthly surveys consisted of several clinical scales as part of the parent project’s aims. The monthly survey was also personalized to ask a series of questions about participants’ frequent locations (identified by geolocation sensing - see Sensed Geolocation section below). For locations that participants visited twice in a month, they were asked to identify the type of location, what they do there, how pleasant and unpleasant their experience is there, and how much this place helps and harms their recovery from opioids.</w:t>
      </w:r>
    </w:p>
    <w:p>
      <w:pPr>
        <w:pStyle w:val="BodyText"/>
      </w:pPr>
      <w:r>
        <w:t xml:space="preserve">Participants were withdrawn early from the study if they missed three monthly surveys.</w:t>
      </w:r>
    </w:p>
    <w:bookmarkEnd w:id="150"/>
    <w:bookmarkStart w:id="151" w:name="sensed-geolocation"/>
    <w:p>
      <w:pPr>
        <w:pStyle w:val="Heading4"/>
      </w:pPr>
      <w:r>
        <w:t xml:space="preserve">4.3.3.4 Sensed Geolocation</w:t>
      </w:r>
    </w:p>
    <w:p>
      <w:pPr>
        <w:pStyle w:val="FirstParagraph"/>
      </w:pPr>
      <w:r>
        <w:t xml:space="preserve">Continuous sensed geolocation was collected through the STARR app. Geolocation was contextualized by asking questions about frequently visited locations in each monthly survey (see Monthly Surveys section above).</w:t>
      </w:r>
    </w:p>
    <w:p>
      <w:pPr>
        <w:pStyle w:val="BodyText"/>
      </w:pPr>
      <w:r>
        <w:t xml:space="preserve">Participants were shown how to temporarily turn off sharing geolocation with us. However, participants were expected to share their location with the STARR app and were withdrawn from the study if they did consistently provide geolocation data (i.e., disabling location sharing for more than 12 hours in a four-week period).</w:t>
      </w:r>
    </w:p>
    <w:bookmarkEnd w:id="151"/>
    <w:bookmarkEnd w:id="152"/>
    <w:bookmarkStart w:id="160" w:name="planned-data-analyses"/>
    <w:p>
      <w:pPr>
        <w:pStyle w:val="Heading3"/>
      </w:pPr>
      <w:r>
        <w:t xml:space="preserve">4.3.4 Planned Data Analyses</w:t>
      </w:r>
    </w:p>
    <w:bookmarkStart w:id="153" w:name="labels-1"/>
    <w:p>
      <w:pPr>
        <w:pStyle w:val="Heading4"/>
      </w:pPr>
      <w:r>
        <w:t xml:space="preserve">4.3.4.1 Labels</w:t>
      </w:r>
    </w:p>
    <w:p>
      <w:pPr>
        <w:pStyle w:val="FirstParagraph"/>
      </w:pPr>
      <w:r>
        <w:t xml:space="preserve">Prediction windows are 24 hours in width. The 24-hour windows roll day-by-day starting at 6 am in the participant’s own time zone. The start and end date/time of past opioid use were reported on the first daily survey item. Each prediction window was labeled as a lapse if opioid use was reported as occurring between 6 am that day and 5:59 am the next morning. Windows with no reported opioid use were labeled as no lapse.</w:t>
      </w:r>
    </w:p>
    <w:p>
      <w:pPr>
        <w:pStyle w:val="BodyText"/>
      </w:pPr>
      <w:r>
        <w:t xml:space="preserve">We ended up with a total of 93376 labels, with 2% labeled as lapses.</w:t>
      </w:r>
    </w:p>
    <w:bookmarkEnd w:id="153"/>
    <w:bookmarkStart w:id="154" w:name="feature-engineering-2"/>
    <w:p>
      <w:pPr>
        <w:pStyle w:val="Heading4"/>
      </w:pPr>
      <w:r>
        <w:t xml:space="preserve">4.3.4.2 Feature Engineering</w:t>
      </w:r>
    </w:p>
    <w:p>
      <w:pPr>
        <w:pStyle w:val="FirstParagraph"/>
      </w:pPr>
      <w:r>
        <w:t xml:space="preserve">Features will be derived from four sources:</w:t>
      </w:r>
    </w:p>
    <w:p>
      <w:pPr>
        <w:numPr>
          <w:ilvl w:val="0"/>
          <w:numId w:val="1007"/>
        </w:numPr>
      </w:pPr>
      <w:r>
        <w:t xml:space="preserve">Prediction window: We will dummy-code features for day of the week for the start of the prediction window.</w:t>
      </w:r>
    </w:p>
    <w:p>
      <w:pPr>
        <w:numPr>
          <w:ilvl w:val="0"/>
          <w:numId w:val="1007"/>
        </w:numPr>
      </w:pPr>
      <w:r>
        <w:t xml:space="preserve">Demographics: We will create dummy-coded features for age (18-25 years, 26-35 years, 36-45 years, 46-55 years, 56 years or older), personal income (less than $25,000, more than $25,000), sex at birth (male, female), race/ethnicity (non-Hispanic White vs. not White), geographic location (urban, suburban, rural), relationship status (in committed relationship, not in committed relationsip), education (high school or less, some college, college degree), and employment (employed, not employed).</w:t>
      </w:r>
    </w:p>
    <w:p>
      <w:pPr>
        <w:numPr>
          <w:ilvl w:val="0"/>
          <w:numId w:val="1007"/>
        </w:numPr>
      </w:pPr>
      <w:r>
        <w:t xml:space="preserve">Previous daily survey responses: We will create raw and change features using daily surveys in varying feature scoring epochs (i.e., 48, 72, and 168 hours) before the start of the prediction window for all daily survey items. Raw features will include min, max, and median scores for each daily survey item across all daily surveys in each epoch for that participant. We will also calculate change features by subtracting each participant’s baseline mean score for each daily survey item from their raw feature. These baseline mean scores will be calculated using all of their daily surveys collected from the start of their participation until the start of the prediction window. We also will create raw and change features based on the most recent response for each daily survey question and raw and change rate features from previously reported lapses and number of completed daily surveys.</w:t>
      </w:r>
    </w:p>
    <w:p>
      <w:pPr>
        <w:numPr>
          <w:ilvl w:val="0"/>
          <w:numId w:val="1007"/>
        </w:numPr>
      </w:pPr>
      <w:r>
        <w:t xml:space="preserve">Geolocation data: We will calculate raw and change features for time spent in locations harmful to recovery, time spent in locations helpful for recovery, time spent in pleasant locations, time spent in unpleasant locations, location variance, type of location, and activity done at location over varying feature scoring epochs (i.e., 6, 12, 24, 48, 72, and 168 hours).</w:t>
      </w:r>
    </w:p>
    <w:p>
      <w:pPr>
        <w:pStyle w:val="FirstParagraph"/>
      </w:pPr>
      <w:r>
        <w:t xml:space="preserve">Other generic feature engineering steps will include imputing missing data (median imputation for numeric features, mode imputation for nominal features) and removing zero and near-zero variance features as determined from held-in data (see Cross-validation section below).</w:t>
      </w:r>
    </w:p>
    <w:bookmarkEnd w:id="154"/>
    <w:bookmarkStart w:id="159" w:name="model-training-and-evaluation-2"/>
    <w:p>
      <w:pPr>
        <w:pStyle w:val="Heading4"/>
      </w:pPr>
      <w:r>
        <w:t xml:space="preserve">4.3.4.3 Model Training and Evaluation</w:t>
      </w:r>
    </w:p>
    <w:bookmarkStart w:id="155" w:name="cross-validation-1"/>
    <w:p>
      <w:pPr>
        <w:pStyle w:val="Heading5"/>
      </w:pPr>
      <w:r>
        <w:t xml:space="preserve">4.3.4.3.1 Cross Validation</w:t>
      </w:r>
    </w:p>
    <w:p>
      <w:pPr>
        <w:pStyle w:val="FirstParagraph"/>
      </w:pPr>
      <w:r>
        <w:t xml:space="preserve">We will consider candidate Xgboost model configurations that differ across sensible values for key hyperparameters and outcome resampling method (i.e., no resampling and up-sampling and down-sampling of the outcome using majority/no lapse to minority/lapse ratios ranging from 1:1 to 5:1).</w:t>
      </w:r>
    </w:p>
    <w:p>
      <w:pPr>
        <w:pStyle w:val="BodyText"/>
      </w:pPr>
      <w:r>
        <w:t xml:space="preserve">We will use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will use 1 repeat of 10-fold cross-validation for the inner loops (i.e., validation sets) and 3 repeats of 10-fold cross-validation for the outer loop (i.e., test sets). Best model configurations will be selected using median auROC across the 10 validation sets. Final performance of these best model configurations will be evaluated using median auROC across the 30 test sets.</w:t>
      </w:r>
    </w:p>
    <w:bookmarkEnd w:id="155"/>
    <w:bookmarkStart w:id="156" w:name="bayesian-model-1"/>
    <w:p>
      <w:pPr>
        <w:pStyle w:val="Heading5"/>
      </w:pPr>
      <w:r>
        <w:t xml:space="preserve">4.3.4.3.2 Bayesian Model</w:t>
      </w:r>
    </w:p>
    <w:p>
      <w:pPr>
        <w:pStyle w:val="FirstParagraph"/>
      </w:pPr>
      <w:r>
        <w:t xml:space="preserve">We will use a Bayesian hierarchical generalized linear model to estimate the posterior probability distributions and 95% Bayesian credible intervals (CIs) from the 30 held-out test sets for our best model. We will use the rstanarm default autoscaled, weakly informative, data-dependent priors that take into account the order of magnitude of the variables to provide some regularization to stabilize computation and avoid over-fitting. We will set two random intercepts to account for our resampling method: one for the repeat, and another for the fold nested within repeat.</w:t>
      </w:r>
    </w:p>
    <w:p>
      <w:pPr>
        <w:pStyle w:val="BodyText"/>
      </w:pPr>
      <w:r>
        <w:t xml:space="preserve">From the Bayesian model we will obtain the posterior distribution and Bayeisan CI for auROCs our best model. To evaluate our models’ overall performance we will report the median posterior probability for auROC and Bayesian CI. This represents our best estimate for the magnitude of the auROC parameter. If the credible interval does not contain .5 (chance performance), this provides strong evidence (&gt; .95 probability) that our model is capturing signal in the data.</w:t>
      </w:r>
    </w:p>
    <w:bookmarkEnd w:id="156"/>
    <w:bookmarkStart w:id="157" w:name="fairness-analyses-2"/>
    <w:p>
      <w:pPr>
        <w:pStyle w:val="Heading5"/>
      </w:pPr>
      <w:r>
        <w:t xml:space="preserve">4.3.4.3.3 Fairness Analyses</w:t>
      </w:r>
    </w:p>
    <w:p>
      <w:pPr>
        <w:pStyle w:val="FirstParagraph"/>
      </w:pPr>
      <w:r>
        <w:t xml:space="preserve">We will calculate the median posterior probability and 95% Bayesian CI for auROC for our best model separately by race/ethnicity (not White vs. non-Hispanic White), income (below $25,000 vs. above $25,000), sex at birth (female vs. male), and location (rural vs. other). We will conduct Bayesian group comparisons to assess the likelihood that each model performs differently by group. We will report the precise posterior probability for the difference in auROCs and the 95% Bayesian CIs for each model comparison.</w:t>
      </w:r>
    </w:p>
    <w:bookmarkEnd w:id="157"/>
    <w:bookmarkStart w:id="158" w:name="feature-importance-2"/>
    <w:p>
      <w:pPr>
        <w:pStyle w:val="Heading5"/>
      </w:pPr>
      <w:r>
        <w:t xml:space="preserve">4.3.4.3.4 Feature Importance</w:t>
      </w:r>
    </w:p>
    <w:p>
      <w:pPr>
        <w:pStyle w:val="FirstParagraph"/>
      </w:pPr>
      <w:r>
        <w:t xml:space="preserve">We will calculate Shapley values in log-odds units for binary classification models from the 30 test sets to provide a description of the importance of categories of features across our best model. We will average the three Shapley values for each observation for each feature (i.e., across the three repeats) to increase their stability. An inherent property of Shapley values is their additivity, allowing us to combine features into feature categories. We will create separate feature categories for each of the 15 daily survey questions, past opioid use, missing daily surveys, time spent in risky locations, and time spent at known locations (separate by type of location). We will calculate the local (i.e., for each observation) importance for each category of features by adding Shapley values across all features in a category, separately for each observation. We will calculate global importance for each feature category by averaging the absolute value of the Shapley values of all features in the category across all observations. These local and global importance scores based on Shapley values allow us to contextualize relative feature importance for our model.</w:t>
      </w:r>
    </w:p>
    <w:bookmarkEnd w:id="158"/>
    <w:bookmarkEnd w:id="159"/>
    <w:bookmarkEnd w:id="160"/>
    <w:bookmarkEnd w:id="161"/>
    <w:bookmarkEnd w:id="162"/>
    <w:bookmarkStart w:id="341" w:name="Xf5581b66f43728ef5ffd992cdda23f782393606"/>
    <w:p>
      <w:pPr>
        <w:pStyle w:val="Heading1"/>
      </w:pPr>
      <w:r>
        <w:t xml:space="preserve">5. Chapter 5: State-space models for idiographic risk monitoring and recovery support recommendations</w:t>
      </w:r>
    </w:p>
    <w:bookmarkStart w:id="163" w:name="introduction-4"/>
    <w:p>
      <w:pPr>
        <w:pStyle w:val="Heading2"/>
      </w:pPr>
      <w:r>
        <w:t xml:space="preserve">5.1 Introduction</w:t>
      </w:r>
    </w:p>
    <w:p>
      <w:pPr>
        <w:pStyle w:val="FirstParagraph"/>
      </w:pPr>
      <w:r>
        <w:t xml:space="preserve">Lapse risk is multidimensional. The extant relapse prevention literature suggests relapse is preceeded by a complex interplay of factors, including include emotional or cognitive states, environmental contingencies, and physiological states</w:t>
      </w:r>
      <w:r>
        <w:t xml:space="preserve"> </w:t>
      </w:r>
      <w:r>
        <w:t xml:space="preserve">(K. A. Witkiewitz &amp; Marlatt, 2007; K. Witkiewitz &amp; Marlatt, 2007)</w:t>
      </w:r>
      <w:r>
        <w:t xml:space="preserve">. For reasons related to burden and cost, researchers typically rely on a handful of course categories of risk-relevant features (e.g., self-reported craving, self-reported self-efficacy, geolocation-sensed time spent in risky locations) to model an unknown hidden state of an individual (i.e., their true lapse risk).</w:t>
      </w:r>
    </w:p>
    <w:p>
      <w:pPr>
        <w:pStyle w:val="BodyText"/>
      </w:pPr>
      <w:r>
        <w:t xml:space="preserve">Moreover, lapse risk factors differ between individuals and within an individual over time. Personalized models (i.e., a model built for a specific individual using their own data) that make use of time-varying information in repeated measures may be able to better understand between and within subject differences in lapse risk trajectories, leading to more accurate predictions.</w:t>
      </w:r>
    </w:p>
    <w:p>
      <w:pPr>
        <w:pStyle w:val="BodyText"/>
      </w:pPr>
      <w:r>
        <w:t xml:space="preserve">State-space models may be one approach for modeling the multidimensional, heterogeneous, and time-varying construct of lapse risk. State-space models are time series models that describe the relationship between the observed measured inputs and the unknown latent state while accounting for how this latent state evolves over time. They personalize lapse risk prediction by using an individual’s own data to make future predictions about lapse risk for that single individual. Furthermore, predictions can be made at any point into the future at a single prediction timepoint from a single model. These individual models that integrate time-varying information could improve performance for our lagged prediction models. They may also help mitigate issues of unfairness, as the model will weigh the individual’s own data more heavily than group level estimates.</w:t>
      </w:r>
    </w:p>
    <w:bookmarkEnd w:id="163"/>
    <w:bookmarkStart w:id="164" w:name="specific-aims-2"/>
    <w:p>
      <w:pPr>
        <w:pStyle w:val="Heading2"/>
      </w:pPr>
      <w:r>
        <w:t xml:space="preserve">5.2 Specific Aims</w:t>
      </w:r>
    </w:p>
    <w:p>
      <w:pPr>
        <w:pStyle w:val="FirstParagraph"/>
      </w:pPr>
      <w:r>
        <w:t xml:space="preserve">In this study, we will evaluate the performance and fairness of a hierarchichal Gaussian linear state-space model (also known as a dynamic linear model) for opioid lapse risk prediction using the same daily survey and geolocation data introduced in study 3 (Chapter 4).</w:t>
      </w:r>
    </w:p>
    <w:p>
      <w:pPr>
        <w:pStyle w:val="BodyText"/>
      </w:pPr>
      <w:r>
        <w:t xml:space="preserve">Specifically, we will:</w:t>
      </w:r>
    </w:p>
    <w:p>
      <w:pPr>
        <w:pStyle w:val="BodyText"/>
      </w:pPr>
      <w:r>
        <w:rPr>
          <w:b/>
          <w:bCs/>
        </w:rPr>
        <w:t xml:space="preserve">1. Evaluate the performance (auROC) of personalized state-space models that predict immediate (next day) opioid lapse risk from geolocation and daily surveys.</w:t>
      </w:r>
      <w:r>
        <w:t xml:space="preserve"> </w:t>
      </w:r>
      <w:r>
        <w:t xml:space="preserve">In this aim we will compare the performance of state-space models to our traditional machine learning model in study 3 (chapter 4) to determine if individualized models that account for time are superior for lapse risk prediction.</w:t>
      </w:r>
    </w:p>
    <w:p>
      <w:pPr>
        <w:pStyle w:val="BodyText"/>
      </w:pPr>
      <w:r>
        <w:rPr>
          <w:b/>
          <w:bCs/>
        </w:rPr>
        <w:t xml:space="preserve">2. Use the same models from Aim 1 to evaluate their performance for predicting future lapse risk (i.e., lapse risk in the next two weeks and the next month).</w:t>
      </w:r>
      <w:r>
        <w:t xml:space="preserve"> </w:t>
      </w:r>
      <w:r>
        <w:t xml:space="preserve">A benefit of time series models, like state-space models, is that they could potentially improve the efficiency and performance of lagged prediction models (compared to traditional machine learning approaches). A single model can be used to predict a lapse in the next day or at any point in the future. We will evaluate how well our individual models predict lapse risk two weeks and one month into the future.</w:t>
      </w:r>
    </w:p>
    <w:p>
      <w:pPr>
        <w:pStyle w:val="BodyText"/>
      </w:pPr>
      <w:r>
        <w:rPr>
          <w:b/>
          <w:bCs/>
        </w:rPr>
        <w:t xml:space="preserve">3. Assess model fairness in model performance for immediate lapses across the same important subgroups assessed in study 3 - race/ethnicity (not White vs. non-Hispanic White), income (below $25,000 vs. above $25,000), sex at birth (female vs. male), and geographic location (rural vs. other).</w:t>
      </w:r>
      <w:r>
        <w:t xml:space="preserve"> </w:t>
      </w:r>
      <w:r>
        <w:t xml:space="preserve">Individual models may help mitigate issues of unfairness, seen in our previous group-level machine learning models, as the model will weigh the individual’s own data more heavily than group level estimates. Therefore, we will compare state-space model performance across different groups.</w:t>
      </w:r>
    </w:p>
    <w:bookmarkEnd w:id="164"/>
    <w:bookmarkStart w:id="340" w:name="methods-1"/>
    <w:p>
      <w:pPr>
        <w:pStyle w:val="Heading2"/>
      </w:pPr>
      <w:r>
        <w:t xml:space="preserve">5.3 Methods</w:t>
      </w:r>
    </w:p>
    <w:p>
      <w:pPr>
        <w:pStyle w:val="FirstParagraph"/>
      </w:pPr>
      <w:r>
        <w:t xml:space="preserve">Refer to Chapter 4</w:t>
      </w:r>
      <w:r>
        <w:t xml:space="preserve"> </w:t>
      </w:r>
      <w:hyperlink w:anchor="sec-methods">
        <w:r>
          <w:rPr>
            <w:rStyle w:val="Hyperlink"/>
          </w:rPr>
          <w:t xml:space="preserve">Section 4.3</w:t>
        </w:r>
      </w:hyperlink>
      <w:r>
        <w:t xml:space="preserve"> </w:t>
      </w:r>
      <w:r>
        <w:t xml:space="preserve">for a complete description of the data set and study procedures.</w:t>
      </w:r>
    </w:p>
    <w:bookmarkStart w:id="339" w:name="planned-data-analyses-1"/>
    <w:p>
      <w:pPr>
        <w:pStyle w:val="Heading3"/>
      </w:pPr>
      <w:r>
        <w:t xml:space="preserve">5.3.1 Planned Data Analyses</w:t>
      </w:r>
    </w:p>
    <w:bookmarkStart w:id="165" w:name="state-space-model"/>
    <w:p>
      <w:pPr>
        <w:pStyle w:val="Heading4"/>
      </w:pPr>
      <w:r>
        <w:t xml:space="preserve">5.3.1.1 State-space Model</w:t>
      </w:r>
    </w:p>
    <w:p>
      <w:pPr>
        <w:pStyle w:val="FirstParagraph"/>
      </w:pPr>
      <w:r>
        <w:t xml:space="preserve">State-space models consist of 1. a transition (or state) equation that describes how the latent state evolves over time based on its previous state and observed inputs (e.g., daily surveys, geolocation risk score), and 2. an observation equation that describes the functional relationship between the unobserved, latent states and observed inputs.</w:t>
      </w:r>
    </w:p>
    <w:p>
      <w:pPr>
        <w:pStyle w:val="BodyText"/>
      </w:pPr>
      <w:r>
        <w:t xml:space="preserve">For both equations, we will use a linear formula with Gaussian noise.</w:t>
      </w:r>
    </w:p>
    <w:p>
      <w:pPr>
        <w:pStyle w:val="BodyText"/>
      </w:pPr>
      <w:r>
        <w:rPr>
          <w:b/>
          <w:bCs/>
        </w:rPr>
        <w:t xml:space="preserve">Transition equation:</w:t>
      </w:r>
      <w:r>
        <w:t xml:space="preserve"> </w:t>
      </w:r>
      <m:oMath>
        <m:sSub>
          <m:e>
            <m:r>
              <m:t>x</m:t>
            </m:r>
          </m:e>
          <m:sub>
            <m:r>
              <m:t>t</m:t>
            </m:r>
            <m:r>
              <m:rPr>
                <m:sty m:val="p"/>
              </m:rPr>
              <m:t>+</m:t>
            </m:r>
            <m:r>
              <m:t>1</m:t>
            </m:r>
          </m:sub>
        </m:sSub>
        <m:r>
          <m:rPr>
            <m:sty m:val="p"/>
          </m:rPr>
          <m:t>=</m:t>
        </m:r>
        <m:r>
          <m:t>A</m:t>
        </m:r>
        <m:r>
          <m:rPr>
            <m:sty m:val="p"/>
          </m:rPr>
          <m:t>*</m:t>
        </m:r>
        <m:sSub>
          <m:e>
            <m:r>
              <m:t>x</m:t>
            </m:r>
          </m:e>
          <m:sub>
            <m:r>
              <m:t>t</m:t>
            </m:r>
          </m:sub>
        </m:sSub>
        <m:r>
          <m:rPr>
            <m:sty m:val="p"/>
          </m:rPr>
          <m:t>+</m:t>
        </m:r>
        <m:sSub>
          <m:e>
            <m:r>
              <m:t>w</m:t>
            </m:r>
          </m:e>
          <m:sub>
            <m:r>
              <m:t>t</m:t>
            </m:r>
          </m:sub>
        </m:sSub>
      </m:oMath>
      <w:r>
        <w:t xml:space="preserve">, where</w:t>
      </w:r>
      <w:r>
        <w:t xml:space="preserve"> </w:t>
      </w:r>
      <m:oMath>
        <m:sSub>
          <m:e>
            <m:r>
              <m:t>x</m:t>
            </m:r>
          </m:e>
          <m:sub>
            <m:r>
              <m:t>t</m:t>
            </m:r>
            <m:r>
              <m:rPr>
                <m:sty m:val="p"/>
              </m:rPr>
              <m:t>+</m:t>
            </m:r>
            <m:r>
              <m:t>1</m:t>
            </m:r>
          </m:sub>
        </m:sSub>
      </m:oMath>
      <w:r>
        <w:t xml:space="preserve"> </w:t>
      </w:r>
      <w:r>
        <w:t xml:space="preserve">represents the hidden state at the next timepoint,</w:t>
      </w:r>
      <w:r>
        <w:t xml:space="preserve"> </w:t>
      </w:r>
      <m:oMath>
        <m:r>
          <m:t>A</m:t>
        </m:r>
      </m:oMath>
      <w:r>
        <w:t xml:space="preserve"> </w:t>
      </w:r>
      <w:r>
        <w:t xml:space="preserve">is the state transition matrix,</w:t>
      </w:r>
      <w:r>
        <w:t xml:space="preserve"> </w:t>
      </w:r>
      <m:oMath>
        <m:sSub>
          <m:e>
            <m:r>
              <m:t>x</m:t>
            </m:r>
          </m:e>
          <m:sub>
            <m:r>
              <m:t>t</m:t>
            </m:r>
          </m:sub>
        </m:sSub>
      </m:oMath>
      <w:r>
        <w:t xml:space="preserve"> </w:t>
      </w:r>
      <w:r>
        <w:t xml:space="preserve">is the hidden state at the current timepoint, and</w:t>
      </w:r>
      <w:r>
        <w:t xml:space="preserve"> </w:t>
      </w:r>
      <m:oMath>
        <m:sSub>
          <m:e>
            <m:r>
              <m:t>w</m:t>
            </m:r>
          </m:e>
          <m:sub>
            <m:r>
              <m:t>t</m:t>
            </m:r>
          </m:sub>
        </m:sSub>
      </m:oMath>
      <w:r>
        <w:t xml:space="preserve"> </w:t>
      </w:r>
      <w:r>
        <w:t xml:space="preserve">is zero mean Gaussian noise.</w:t>
      </w:r>
    </w:p>
    <w:p>
      <w:pPr>
        <w:pStyle w:val="BodyText"/>
      </w:pPr>
      <w:r>
        <w:rPr>
          <w:b/>
          <w:bCs/>
        </w:rPr>
        <w:t xml:space="preserve">Observation equation:</w:t>
      </w:r>
      <w:r>
        <w:t xml:space="preserve"> </w:t>
      </w:r>
      <m:oMath>
        <m:sSub>
          <m:e>
            <m:r>
              <m:t>y</m:t>
            </m:r>
          </m:e>
          <m:sub>
            <m:r>
              <m:t>t</m:t>
            </m:r>
          </m:sub>
        </m:sSub>
        <m:r>
          <m:rPr>
            <m:sty m:val="p"/>
          </m:rPr>
          <m:t>=</m:t>
        </m:r>
        <m:r>
          <m:t>C</m:t>
        </m:r>
        <m:r>
          <m:rPr>
            <m:sty m:val="p"/>
          </m:rPr>
          <m:t>*</m:t>
        </m:r>
        <m:sSub>
          <m:e>
            <m:r>
              <m:t>x</m:t>
            </m:r>
          </m:e>
          <m:sub>
            <m:r>
              <m:t>t</m:t>
            </m:r>
          </m:sub>
        </m:sSub>
        <m:r>
          <m:rPr>
            <m:sty m:val="p"/>
          </m:rPr>
          <m:t>+</m:t>
        </m:r>
        <m:sSub>
          <m:e>
            <m:r>
              <m:t>v</m:t>
            </m:r>
          </m:e>
          <m:sub>
            <m:r>
              <m:t>t</m:t>
            </m:r>
          </m:sub>
        </m:sSub>
      </m:oMath>
      <w:r>
        <w:t xml:space="preserve">, where</w:t>
      </w:r>
      <w:r>
        <w:t xml:space="preserve"> </w:t>
      </w:r>
      <m:oMath>
        <m:sSub>
          <m:e>
            <m:r>
              <m:t>y</m:t>
            </m:r>
          </m:e>
          <m:sub>
            <m:r>
              <m:t>t</m:t>
            </m:r>
          </m:sub>
        </m:sSub>
      </m:oMath>
      <w:r>
        <w:t xml:space="preserve"> </w:t>
      </w:r>
      <w:r>
        <w:t xml:space="preserve">is the observed survey and Geolocation inputs,</w:t>
      </w:r>
      <w:r>
        <w:t xml:space="preserve"> </w:t>
      </w:r>
      <m:oMath>
        <m:r>
          <m:t>C</m:t>
        </m:r>
      </m:oMath>
      <w:r>
        <w:t xml:space="preserve"> </w:t>
      </w:r>
      <w:r>
        <w:t xml:space="preserve">is the observation matrix,</w:t>
      </w:r>
      <w:r>
        <w:t xml:space="preserve"> </w:t>
      </w:r>
      <m:oMath>
        <m:sSub>
          <m:e>
            <m:r>
              <m:t>x</m:t>
            </m:r>
          </m:e>
          <m:sub>
            <m:r>
              <m:t>t</m:t>
            </m:r>
          </m:sub>
        </m:sSub>
      </m:oMath>
      <w:r>
        <w:t xml:space="preserve"> </w:t>
      </w:r>
      <w:r>
        <w:t xml:space="preserve">is the hidden state at the current timepoint and</w:t>
      </w:r>
      <w:r>
        <w:t xml:space="preserve"> </w:t>
      </w:r>
      <m:oMath>
        <m:sSub>
          <m:e>
            <m:r>
              <m:t>v</m:t>
            </m:r>
          </m:e>
          <m:sub>
            <m:r>
              <m:t>t</m:t>
            </m:r>
          </m:sub>
        </m:sSub>
      </m:oMath>
      <w:r>
        <w:t xml:space="preserve"> </w:t>
      </w:r>
      <w:r>
        <w:t xml:space="preserve">is zero mean Gaussian noise.</w:t>
      </w:r>
    </w:p>
    <w:p>
      <w:pPr>
        <w:pStyle w:val="BodyText"/>
      </w:pPr>
      <w:r>
        <w:t xml:space="preserve">We will also assign prior distributions to all individual- and population-level model parameters, consistent with a Bayesian approach. We will use a Bayseian fitting approach called maximum a posteriori (MAP) estimation to establish prior distributions for the model parameters: transition matrix (</w:t>
      </w:r>
      <m:oMath>
        <m:r>
          <m:t>A</m:t>
        </m:r>
      </m:oMath>
      <w:r>
        <w:t xml:space="preserve">), observation matrix (</w:t>
      </w:r>
      <m:oMath>
        <m:r>
          <m:t>C</m:t>
        </m:r>
      </m:oMath>
      <w:r>
        <w:t xml:space="preserve">), and noise (</w:t>
      </w:r>
      <m:oMath>
        <m:sSub>
          <m:e>
            <m:r>
              <m:t>w</m:t>
            </m:r>
          </m:e>
          <m:sub>
            <m:r>
              <m:t>t</m:t>
            </m:r>
          </m:sub>
        </m:sSub>
      </m:oMath>
      <w:r>
        <w:t xml:space="preserve">,</w:t>
      </w:r>
      <m:oMath>
        <m:sSub>
          <m:e>
            <m:r>
              <m:t>v</m:t>
            </m:r>
          </m:e>
          <m:sub>
            <m:r>
              <m:t>t</m:t>
            </m:r>
          </m:sub>
        </m:sSub>
      </m:oMath>
      <w:r>
        <w:t xml:space="preserve">). These priors will be established from held-in data. Parameters and noise variance will be estimated for each individual in the held out data. Thus, model priors will be combined with observed data from a new individual to fit an idiographic model for that individual. When few data for the individual are available, the fit will rely more heavily on the prior distributions for the model parameters. As more data become available the model fit will primarily the participant’s data and the influence of the prior distributions diminishes.</w:t>
      </w:r>
    </w:p>
    <w:p>
      <w:pPr>
        <w:pStyle w:val="BodyText"/>
      </w:pPr>
      <w:r>
        <w:t xml:space="preserve">State-space models use the observed data to estimate the unknown latent states, not to directly predict the outcome label. Therefore, state-space models can handle missing data without the need for imputation.</w:t>
      </w:r>
    </w:p>
    <w:bookmarkEnd w:id="165"/>
    <w:bookmarkStart w:id="166" w:name="predictions-1"/>
    <w:p>
      <w:pPr>
        <w:pStyle w:val="Heading4"/>
      </w:pPr>
      <w:r>
        <w:t xml:space="preserve">5.3.1.2 Predictions</w:t>
      </w:r>
    </w:p>
    <w:p>
      <w:pPr>
        <w:pStyle w:val="FirstParagraph"/>
      </w:pPr>
      <w:r>
        <w:t xml:space="preserve">Prediction windows are 24 hours in width. The 24-hour windows roll day-by-day starting at 6 am in the participant’s own time zone. The start and end date/time of past opioid use were reported on the first daily survey item. Each prediction window was labeled as a lapse if opioid use was reported as occurring between 6 am that day and 5:59 am the next morning. Windows with no reported opioid use were labeled as no lapse.</w:t>
      </w:r>
    </w:p>
    <w:p>
      <w:pPr>
        <w:pStyle w:val="BodyText"/>
      </w:pPr>
      <w:r>
        <w:t xml:space="preserve">The first label for each participant will be two weeks after their study start date. This will ensure we have at least two weeks of daily surveys and geolocation data.</w:t>
      </w:r>
    </w:p>
    <w:p>
      <w:pPr>
        <w:pStyle w:val="BodyText"/>
      </w:pPr>
      <w:r>
        <w:t xml:space="preserve">All available data up until the start of the prediction window will be used. The predictors, or model inputs, will be the raw daily survey responses and a single geolocation risk score (calculated from the previous 24 hours of geolocation data). The formula for calculating the geolocation risk score will be informed by the top geolocation predictors that emerge in study 3 (Chapter 4).</w:t>
      </w:r>
    </w:p>
    <w:p>
      <w:pPr>
        <w:pStyle w:val="BodyText"/>
      </w:pPr>
      <w:r>
        <w:t xml:space="preserve">In the first month models will be fit every 2 weeks. After month 1 the model will update (i.e., be refit with the additional data) each month.</w:t>
      </w:r>
    </w:p>
    <w:bookmarkEnd w:id="166"/>
    <w:bookmarkStart w:id="167" w:name="model-evaluation-1"/>
    <w:p>
      <w:pPr>
        <w:pStyle w:val="Heading4"/>
      </w:pPr>
      <w:r>
        <w:t xml:space="preserve">5.3.1.3 Model Evaluation</w:t>
      </w:r>
    </w:p>
    <w:p>
      <w:pPr>
        <w:pStyle w:val="FirstParagraph"/>
      </w:pPr>
      <w:r>
        <w:t xml:space="preserve">We will use participant-grouped 3 repeats of 10-fold cross-validation to assess model performance using area under the ROC curve (auROC). Grouped cross-validation assigns assigns all data from a participant into a single fold. Data from individuals in the held-in folds will be used to fit prior distributions for the model parameters.</w:t>
      </w:r>
    </w:p>
    <w:p>
      <w:pPr>
        <w:pStyle w:val="BodyText"/>
      </w:pPr>
      <w:r>
        <w:t xml:space="preserve">Individual models will then be fit to each individual in the held-out fold. We will attach the group-level Bayesian priors generated from the held-in participants to help prevent over-fitting and improve stability of the models’ performance. Each individual model will output a predicted probability of lapse in the next day, in a 24-hour window two weeks from the prediction timepoint, and in a 24-hour window one month from the prediction timepoint.</w:t>
      </w:r>
    </w:p>
    <w:p>
      <w:pPr>
        <w:pStyle w:val="BodyText"/>
      </w:pPr>
      <w:r>
        <w:t xml:space="preserve">We will use a Bayesian hierarchical generalized linear model to estimate the posterior probability distributions and 95% Bayesian credible intervals (CIs) from the 30 held-out test sets for each lag. We will use the rstanarm default autoscaled, weakly informative, data-dependent priors and set two random intercepts to account for our resampling method: one for the repeat, and another for the fold nested within repeat. We will report the median posterior probability for auROC and Bayesian CI for each lag. We will specify two sets of contrasts for model comparisons. The first contrast will compare the immediate next day state-space lapse prediction model to our next day traditional machine learning model (from study 3). The second set of contrasts will compare our three state-space models (immediate/no lag, 2-week lag, and 1-month lag). auROCs will be transformed using the logit function and regressed as a function of model contrast.</w:t>
      </w:r>
    </w:p>
    <w:p>
      <w:pPr>
        <w:pStyle w:val="BodyText"/>
      </w:pPr>
      <w:r>
        <w:t xml:space="preserve">From the Bayesian model we will obtain the posterior distribution (transformed back from logit) and Bayeisan CIs for auROCs for the three state-space models and comparative traditional machine learning model. To evaluate our models’ overall performance we will report the median posterior probability for auROC and Bayesian CIs. We will then conducted Bayesian model comparisons using our two sets of contrasts. For both model comparisons, we will determine the probability that the models’ performances differed systematically from each other and report the precise posterior probability for the difference in auROCs and the 95% Bayesian CIs.</w:t>
      </w:r>
    </w:p>
    <w:bookmarkEnd w:id="167"/>
    <w:bookmarkStart w:id="338" w:name="model-fairness-1"/>
    <w:p>
      <w:pPr>
        <w:pStyle w:val="Heading4"/>
      </w:pPr>
      <w:r>
        <w:t xml:space="preserve">5.3.1.4 Model Fairness</w:t>
      </w:r>
    </w:p>
    <w:p>
      <w:pPr>
        <w:pStyle w:val="FirstParagraph"/>
      </w:pPr>
      <w:r>
        <w:t xml:space="preserve">We will calculate the median posterior probability and 95% Bayesian CI for auROC for our immediate model separately by race/ethnicity (not White vs. non-Hispanic White), income (below $25,000 vs. above $25,000), sex at birth (female vs. male), and location (rural vs. other). We will conduct Bayesian group comparisons to assess the likelihood that each model performs differently by group. We will report the precise posterior probability for the difference in auROCs and the 95% Bayesian CIs for each model comparison.</w:t>
      </w:r>
    </w:p>
    <w:bookmarkStart w:id="337" w:name="refs"/>
    <w:bookmarkStart w:id="169"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168">
        <w:r>
          <w:rPr>
            <w:rStyle w:val="Hyperlink"/>
          </w:rPr>
          <w:t xml:space="preserve">https://doi.org/10.1007/s40429-023-00492-5</w:t>
        </w:r>
      </w:hyperlink>
    </w:p>
    <w:bookmarkEnd w:id="169"/>
    <w:bookmarkStart w:id="170"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170"/>
    <w:bookmarkStart w:id="172"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171">
        <w:r>
          <w:rPr>
            <w:rStyle w:val="Hyperlink"/>
          </w:rPr>
          <w:t xml:space="preserve">https://doi.org/10.2196/39862</w:t>
        </w:r>
      </w:hyperlink>
    </w:p>
    <w:bookmarkEnd w:id="172"/>
    <w:bookmarkStart w:id="174"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173">
        <w:r>
          <w:rPr>
            <w:rStyle w:val="Hyperlink"/>
          </w:rPr>
          <w:t xml:space="preserve">https://doi.org/10.1016/j.addbeh.2017.11.039</w:t>
        </w:r>
      </w:hyperlink>
    </w:p>
    <w:bookmarkEnd w:id="174"/>
    <w:bookmarkStart w:id="176" w:name="Xcd2a85c20fa64fe73393ec84466f017ea0f82e1"/>
    <w:p>
      <w:pPr>
        <w:pStyle w:val="Bibliography"/>
      </w:pPr>
      <w:r>
        <w:t xml:space="preserve">Bharat, C., Webb, P., Wilkinson, Z., McKetin, R., Grebely, J., Farrell, M., Holland, A., Hickman, M., Tran, L. T., Clark, B., Peacock, A., Darke, S., Li, J.-H., &amp; Degenhardt, L. (2023). Agreement between self-reported illicit drug use and biological samples: A systematic review and meta-analysis.</w:t>
      </w:r>
      <w:r>
        <w:t xml:space="preserve"> </w:t>
      </w:r>
      <w:r>
        <w:rPr>
          <w:i/>
          <w:iCs/>
        </w:rPr>
        <w:t xml:space="preserve">Addiction</w:t>
      </w:r>
      <w:r>
        <w:t xml:space="preserve">,</w:t>
      </w:r>
      <w:r>
        <w:t xml:space="preserve"> </w:t>
      </w:r>
      <w:r>
        <w:rPr>
          <w:i/>
          <w:iCs/>
        </w:rPr>
        <w:t xml:space="preserve">118</w:t>
      </w:r>
      <w:r>
        <w:t xml:space="preserve">(9), 1624–1648.</w:t>
      </w:r>
      <w:r>
        <w:t xml:space="preserve"> </w:t>
      </w:r>
      <w:hyperlink r:id="rId175">
        <w:r>
          <w:rPr>
            <w:rStyle w:val="Hyperlink"/>
          </w:rPr>
          <w:t xml:space="preserve">https://doi.org/10.1111/add.16200</w:t>
        </w:r>
      </w:hyperlink>
    </w:p>
    <w:bookmarkEnd w:id="176"/>
    <w:bookmarkStart w:id="178"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177">
        <w:r>
          <w:rPr>
            <w:rStyle w:val="Hyperlink"/>
          </w:rPr>
          <w:t xml:space="preserve">https://doi.org/10.1007/s10488-016-0718-5</w:t>
        </w:r>
      </w:hyperlink>
    </w:p>
    <w:bookmarkEnd w:id="178"/>
    <w:bookmarkStart w:id="179"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179"/>
    <w:bookmarkStart w:id="181"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180">
        <w:r>
          <w:rPr>
            <w:rStyle w:val="Hyperlink"/>
          </w:rPr>
          <w:t xml:space="preserve">https://doi.org/10.1001/jamapsychiatry.2013.4546</w:t>
        </w:r>
      </w:hyperlink>
    </w:p>
    <w:bookmarkEnd w:id="181"/>
    <w:bookmarkStart w:id="183"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182">
        <w:r>
          <w:rPr>
            <w:rStyle w:val="Hyperlink"/>
          </w:rPr>
          <w:t xml:space="preserve">https://doi.org/10.1146/annurev.clinpsy.3.022806.091455</w:t>
        </w:r>
      </w:hyperlink>
    </w:p>
    <w:bookmarkEnd w:id="183"/>
    <w:bookmarkStart w:id="185"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184">
        <w:r>
          <w:rPr>
            <w:rStyle w:val="Hyperlink"/>
          </w:rPr>
          <w:t xml:space="preserve">https://doi.org/10.1016/j.drugalcdep.2022.109362</w:t>
        </w:r>
      </w:hyperlink>
    </w:p>
    <w:bookmarkEnd w:id="185"/>
    <w:bookmarkStart w:id="187"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186">
        <w:r>
          <w:rPr>
            <w:rStyle w:val="Hyperlink"/>
          </w:rPr>
          <w:t xml:space="preserve">https://doi.org/10.1111/ajad.12784</w:t>
        </w:r>
      </w:hyperlink>
    </w:p>
    <w:bookmarkEnd w:id="187"/>
    <w:bookmarkStart w:id="189"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188">
        <w:r>
          <w:rPr>
            <w:rStyle w:val="Hyperlink"/>
          </w:rPr>
          <w:t xml:space="preserve">https://doi.org/10.1176/appi.ajp.2014.13081055</w:t>
        </w:r>
      </w:hyperlink>
    </w:p>
    <w:bookmarkEnd w:id="189"/>
    <w:bookmarkStart w:id="191"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190">
        <w:r>
          <w:rPr>
            <w:rStyle w:val="Hyperlink"/>
          </w:rPr>
          <w:t xml:space="preserve">https://doi.org/10.21231/GNT1-HW21</w:t>
        </w:r>
      </w:hyperlink>
    </w:p>
    <w:bookmarkEnd w:id="191"/>
    <w:bookmarkStart w:id="192"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192"/>
    <w:bookmarkStart w:id="194"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193">
        <w:r>
          <w:rPr>
            <w:rStyle w:val="Hyperlink"/>
          </w:rPr>
          <w:t xml:space="preserve">https://doi.org/10.1016/j.jsat.2013.08.004</w:t>
        </w:r>
      </w:hyperlink>
    </w:p>
    <w:bookmarkEnd w:id="194"/>
    <w:bookmarkStart w:id="196"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195">
        <w:r>
          <w:rPr>
            <w:rStyle w:val="Hyperlink"/>
          </w:rPr>
          <w:t xml:space="preserve">https://doi.org/10.1016/j.drugalcdep.2014.10.004</w:t>
        </w:r>
      </w:hyperlink>
    </w:p>
    <w:bookmarkEnd w:id="196"/>
    <w:bookmarkStart w:id="19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197">
        <w:r>
          <w:rPr>
            <w:rStyle w:val="Hyperlink"/>
          </w:rPr>
          <w:t xml:space="preserve">https://doi.org/10.1007/978-3-319-72206-1</w:t>
        </w:r>
      </w:hyperlink>
    </w:p>
    <w:bookmarkEnd w:id="198"/>
    <w:bookmarkStart w:id="200" w:name="ref-dennisManagingAddictionChronic2007"/>
    <w:p>
      <w:pPr>
        <w:pStyle w:val="Bibliography"/>
      </w:pPr>
      <w:r>
        <w:t xml:space="preserve">Dennis, M., &amp; Scott, C. K. (2007).</w:t>
      </w:r>
      <w:r>
        <w:t xml:space="preserve"> </w:t>
      </w:r>
      <w:hyperlink r:id="rId199">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00"/>
    <w:bookmarkStart w:id="201"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01"/>
    <w:bookmarkStart w:id="203"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02">
        <w:r>
          <w:rPr>
            <w:rStyle w:val="Hyperlink"/>
          </w:rPr>
          <w:t xml:space="preserve">https://doi.org/10.1016/j.brat.2019.103506</w:t>
        </w:r>
      </w:hyperlink>
    </w:p>
    <w:bookmarkEnd w:id="203"/>
    <w:bookmarkStart w:id="20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04">
        <w:r>
          <w:rPr>
            <w:rStyle w:val="Hyperlink"/>
          </w:rPr>
          <w:t xml:space="preserve">https://doi.org/10.1037/adb0000292</w:t>
        </w:r>
      </w:hyperlink>
    </w:p>
    <w:bookmarkEnd w:id="205"/>
    <w:bookmarkStart w:id="20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06">
        <w:r>
          <w:rPr>
            <w:rStyle w:val="Hyperlink"/>
          </w:rPr>
          <w:t xml:space="preserve">https://doi.org/10.1016/j.cmpb.2016.09.016</w:t>
        </w:r>
      </w:hyperlink>
    </w:p>
    <w:bookmarkEnd w:id="207"/>
    <w:bookmarkStart w:id="20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08">
        <w:r>
          <w:rPr>
            <w:rStyle w:val="Hyperlink"/>
          </w:rPr>
          <w:t xml:space="preserve">https://doi.org/10.1037/a0037157</w:t>
        </w:r>
      </w:hyperlink>
    </w:p>
    <w:bookmarkEnd w:id="209"/>
    <w:bookmarkStart w:id="21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10">
        <w:r>
          <w:rPr>
            <w:rStyle w:val="Hyperlink"/>
          </w:rPr>
          <w:t xml:space="preserve">https://doi.org/10.1037/pha0000210</w:t>
        </w:r>
      </w:hyperlink>
    </w:p>
    <w:bookmarkEnd w:id="211"/>
    <w:bookmarkStart w:id="21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12">
        <w:r>
          <w:rPr>
            <w:rStyle w:val="Hyperlink"/>
          </w:rPr>
          <w:t xml:space="preserve">https://doi.org/10/ghqvcw</w:t>
        </w:r>
      </w:hyperlink>
    </w:p>
    <w:bookmarkEnd w:id="213"/>
    <w:bookmarkStart w:id="215"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14">
        <w:r>
          <w:rPr>
            <w:rStyle w:val="Hyperlink"/>
          </w:rPr>
          <w:t xml:space="preserve">https://doi.org/10.1016/j.brat.2019.01.010</w:t>
        </w:r>
      </w:hyperlink>
    </w:p>
    <w:bookmarkEnd w:id="215"/>
    <w:bookmarkStart w:id="217"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16">
        <w:r>
          <w:rPr>
            <w:rStyle w:val="Hyperlink"/>
          </w:rPr>
          <w:t xml:space="preserve">https://doi.org/10.1016/j.drugalcdep.2020.108350</w:t>
        </w:r>
      </w:hyperlink>
    </w:p>
    <w:bookmarkEnd w:id="217"/>
    <w:bookmarkStart w:id="219"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18">
        <w:r>
          <w:rPr>
            <w:rStyle w:val="Hyperlink"/>
          </w:rPr>
          <w:t xml:space="preserve">https://doi.org/10.1001/jama.2022.2847</w:t>
        </w:r>
      </w:hyperlink>
    </w:p>
    <w:bookmarkEnd w:id="219"/>
    <w:bookmarkStart w:id="221"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20">
        <w:r>
          <w:rPr>
            <w:rStyle w:val="Hyperlink"/>
          </w:rPr>
          <w:t xml:space="preserve">https://doi.org/10.1146/annurev-clinpsy-102419-125016</w:t>
        </w:r>
      </w:hyperlink>
    </w:p>
    <w:bookmarkEnd w:id="221"/>
    <w:bookmarkStart w:id="222"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22"/>
    <w:bookmarkStart w:id="223"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23"/>
    <w:bookmarkStart w:id="225"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24">
        <w:r>
          <w:rPr>
            <w:rStyle w:val="Hyperlink"/>
          </w:rPr>
          <w:t xml:space="preserve">https://doi.org/10.1001/jamapsychiatry.2015.0584</w:t>
        </w:r>
      </w:hyperlink>
    </w:p>
    <w:bookmarkEnd w:id="225"/>
    <w:bookmarkStart w:id="22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26">
        <w:r>
          <w:rPr>
            <w:rStyle w:val="Hyperlink"/>
          </w:rPr>
          <w:t xml:space="preserve">https://doi.org/10.1016/j.drugalcdep.2006.05.012</w:t>
        </w:r>
      </w:hyperlink>
    </w:p>
    <w:bookmarkEnd w:id="227"/>
    <w:bookmarkStart w:id="229"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28">
        <w:r>
          <w:rPr>
            <w:rStyle w:val="Hyperlink"/>
          </w:rPr>
          <w:t xml:space="preserve">https://doi.org/10.1016/j.drugalcdep.2013.07.027</w:t>
        </w:r>
      </w:hyperlink>
    </w:p>
    <w:bookmarkEnd w:id="229"/>
    <w:bookmarkStart w:id="231"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30">
        <w:r>
          <w:rPr>
            <w:rStyle w:val="Hyperlink"/>
          </w:rPr>
          <w:t xml:space="preserve">https://doi.org/10.1001/jamapsychiatry.2013.4642</w:t>
        </w:r>
      </w:hyperlink>
    </w:p>
    <w:bookmarkEnd w:id="231"/>
    <w:bookmarkStart w:id="233"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32">
        <w:r>
          <w:rPr>
            <w:rStyle w:val="Hyperlink"/>
          </w:rPr>
          <w:t xml:space="preserve">https://doi.org/10.1176/appi.ajp.21090963</w:t>
        </w:r>
      </w:hyperlink>
    </w:p>
    <w:bookmarkEnd w:id="233"/>
    <w:bookmarkStart w:id="234"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34"/>
    <w:bookmarkStart w:id="236"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35">
        <w:r>
          <w:rPr>
            <w:rStyle w:val="Hyperlink"/>
          </w:rPr>
          <w:t xml:space="preserve">https://doi.org/10.2196/mental.9777</w:t>
        </w:r>
      </w:hyperlink>
    </w:p>
    <w:bookmarkEnd w:id="236"/>
    <w:bookmarkStart w:id="238"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37">
        <w:r>
          <w:rPr>
            <w:rStyle w:val="Hyperlink"/>
          </w:rPr>
          <w:t xml:space="preserve">https://doi.org/10.1016/j.josat.2025.209685</w:t>
        </w:r>
      </w:hyperlink>
    </w:p>
    <w:bookmarkEnd w:id="238"/>
    <w:bookmarkStart w:id="239"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39"/>
    <w:bookmarkStart w:id="240"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240"/>
    <w:bookmarkStart w:id="241"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241"/>
    <w:bookmarkStart w:id="243"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242">
        <w:r>
          <w:rPr>
            <w:rStyle w:val="Hyperlink"/>
          </w:rPr>
          <w:t xml:space="preserve">https://doi.org/10.1023/A:1008987426876</w:t>
        </w:r>
      </w:hyperlink>
    </w:p>
    <w:bookmarkEnd w:id="243"/>
    <w:bookmarkStart w:id="245"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244">
        <w:r>
          <w:rPr>
            <w:rStyle w:val="Hyperlink"/>
          </w:rPr>
          <w:t xml:space="preserve">https://doi.org/10/gfsjzg</w:t>
        </w:r>
      </w:hyperlink>
    </w:p>
    <w:bookmarkEnd w:id="245"/>
    <w:bookmarkStart w:id="246"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246"/>
    <w:bookmarkStart w:id="248" w:name="ref-kennedySexDifferencesCocaine2013"/>
    <w:p>
      <w:pPr>
        <w:pStyle w:val="Bibliography"/>
      </w:pPr>
      <w:r>
        <w:t xml:space="preserve">Kennedy, A. P., Epstein, D. H., Phillips, K. A., &amp; Preston, K. L. (2013). Sex differences in cocaine/heroin users: Drug-use triggers and craving in daily life.</w:t>
      </w:r>
      <w:r>
        <w:t xml:space="preserve"> </w:t>
      </w:r>
      <w:r>
        <w:rPr>
          <w:i/>
          <w:iCs/>
        </w:rPr>
        <w:t xml:space="preserve">Drug and Alcohol Dependence</w:t>
      </w:r>
      <w:r>
        <w:t xml:space="preserve">,</w:t>
      </w:r>
      <w:r>
        <w:t xml:space="preserve"> </w:t>
      </w:r>
      <w:r>
        <w:rPr>
          <w:i/>
          <w:iCs/>
        </w:rPr>
        <w:t xml:space="preserve">132</w:t>
      </w:r>
      <w:r>
        <w:t xml:space="preserve">(1-2), 29–37.</w:t>
      </w:r>
      <w:r>
        <w:t xml:space="preserve"> </w:t>
      </w:r>
      <w:hyperlink r:id="rId247">
        <w:r>
          <w:rPr>
            <w:rStyle w:val="Hyperlink"/>
          </w:rPr>
          <w:t xml:space="preserve">https://doi.org/10.1016/j.drugalcdep.2012.12.025</w:t>
        </w:r>
      </w:hyperlink>
    </w:p>
    <w:bookmarkEnd w:id="248"/>
    <w:bookmarkStart w:id="250"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249">
        <w:r>
          <w:rPr>
            <w:rStyle w:val="Hyperlink"/>
          </w:rPr>
          <w:t xml:space="preserve">https://doi.org/10.1001/jamanetworkopen.2020.5852</w:t>
        </w:r>
      </w:hyperlink>
    </w:p>
    <w:bookmarkEnd w:id="250"/>
    <w:bookmarkStart w:id="25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251">
        <w:r>
          <w:rPr>
            <w:rStyle w:val="Hyperlink"/>
          </w:rPr>
          <w:t xml:space="preserve">https://doi.org/10.1007/s11920-012-0296-5</w:t>
        </w:r>
      </w:hyperlink>
    </w:p>
    <w:bookmarkEnd w:id="252"/>
    <w:bookmarkStart w:id="25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253">
        <w:r>
          <w:rPr>
            <w:rStyle w:val="Hyperlink"/>
          </w:rPr>
          <w:t xml:space="preserve">https://doi.org/10.1016/j.amepre.2019.08.034</w:t>
        </w:r>
      </w:hyperlink>
    </w:p>
    <w:bookmarkEnd w:id="254"/>
    <w:bookmarkStart w:id="25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255">
        <w:r>
          <w:rPr>
            <w:rStyle w:val="Hyperlink"/>
          </w:rPr>
          <w:t xml:space="preserve">https://doi.org/10.1016/j.cger.2014.04.008</w:t>
        </w:r>
      </w:hyperlink>
    </w:p>
    <w:bookmarkEnd w:id="256"/>
    <w:bookmarkStart w:id="25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257"/>
    <w:bookmarkStart w:id="25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258">
        <w:r>
          <w:rPr>
            <w:rStyle w:val="Hyperlink"/>
          </w:rPr>
          <w:t xml:space="preserve">https://doi.org/10.1007/978-1-4614-6849-3</w:t>
        </w:r>
      </w:hyperlink>
    </w:p>
    <w:bookmarkEnd w:id="259"/>
    <w:bookmarkStart w:id="26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260"/>
    <w:bookmarkStart w:id="262"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261">
        <w:r>
          <w:rPr>
            <w:rStyle w:val="Hyperlink"/>
          </w:rPr>
          <w:t xml:space="preserve">https://doi.org/10.1214/17-EJS1338SI</w:t>
        </w:r>
      </w:hyperlink>
    </w:p>
    <w:bookmarkEnd w:id="262"/>
    <w:bookmarkStart w:id="263"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263"/>
    <w:bookmarkStart w:id="265"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264">
        <w:r>
          <w:rPr>
            <w:rStyle w:val="Hyperlink"/>
          </w:rPr>
          <w:t xml:space="preserve">https://doi.org/10.1080/00952990.2019.1694536</w:t>
        </w:r>
      </w:hyperlink>
    </w:p>
    <w:bookmarkEnd w:id="265"/>
    <w:bookmarkStart w:id="26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266"/>
    <w:bookmarkStart w:id="26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267">
        <w:r>
          <w:rPr>
            <w:rStyle w:val="Hyperlink"/>
          </w:rPr>
          <w:t xml:space="preserve">https://doi.org/10.1097/JTO.0b013e3181ec173d</w:t>
        </w:r>
      </w:hyperlink>
    </w:p>
    <w:bookmarkEnd w:id="268"/>
    <w:bookmarkStart w:id="26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269"/>
    <w:bookmarkStart w:id="270"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270"/>
    <w:bookmarkStart w:id="271"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271"/>
    <w:bookmarkStart w:id="27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272">
        <w:r>
          <w:rPr>
            <w:rStyle w:val="Hyperlink"/>
          </w:rPr>
          <w:t xml:space="preserve">https://doi.org/10.1016/j.cpr.2017.10.012</w:t>
        </w:r>
      </w:hyperlink>
    </w:p>
    <w:bookmarkEnd w:id="273"/>
    <w:bookmarkStart w:id="275"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274">
        <w:r>
          <w:rPr>
            <w:rStyle w:val="Hyperlink"/>
          </w:rPr>
          <w:t xml:space="preserve">https://doi.org/10.35946/arcr.v41.1.01</w:t>
        </w:r>
      </w:hyperlink>
    </w:p>
    <w:bookmarkEnd w:id="275"/>
    <w:bookmarkStart w:id="27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276">
        <w:r>
          <w:rPr>
            <w:rStyle w:val="Hyperlink"/>
          </w:rPr>
          <w:t xml:space="preserve">https://doi.org/10.1001/jama.284.13.1689</w:t>
        </w:r>
      </w:hyperlink>
    </w:p>
    <w:bookmarkEnd w:id="277"/>
    <w:bookmarkStart w:id="279"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278">
        <w:r>
          <w:rPr>
            <w:rStyle w:val="Hyperlink"/>
          </w:rPr>
          <w:t xml:space="preserve">https://doi.org/10.1016/j.drugalcdep.2021.108706</w:t>
        </w:r>
      </w:hyperlink>
    </w:p>
    <w:bookmarkEnd w:id="279"/>
    <w:bookmarkStart w:id="28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280">
        <w:r>
          <w:rPr>
            <w:rStyle w:val="Hyperlink"/>
          </w:rPr>
          <w:t xml:space="preserve">https://doi.org/10.1146/annurev-clinpsy-032816-044949</w:t>
        </w:r>
      </w:hyperlink>
    </w:p>
    <w:bookmarkEnd w:id="281"/>
    <w:bookmarkStart w:id="282"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282"/>
    <w:bookmarkStart w:id="284"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283">
        <w:r>
          <w:rPr>
            <w:rStyle w:val="Hyperlink"/>
          </w:rPr>
          <w:t xml:space="preserve">https://doi.org/10.2196/29563</w:t>
        </w:r>
      </w:hyperlink>
    </w:p>
    <w:bookmarkEnd w:id="284"/>
    <w:bookmarkStart w:id="285" w:name="ref-DemographicsMobileDevice2025"/>
    <w:p>
      <w:pPr>
        <w:pStyle w:val="Bibliography"/>
      </w:pPr>
      <w:r>
        <w:t xml:space="preserve">No.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285"/>
    <w:bookmarkStart w:id="287" w:name="X8bb79cdd23e0a8d99e4f9b0c203aaa22c56a953"/>
    <w:p>
      <w:pPr>
        <w:pStyle w:val="Bibliography"/>
      </w:pPr>
      <w:r>
        <w:t xml:space="preserve">Office of the Surgeon General (US), Center for Mental Health Services (US), &amp; National Institute of Mental Health (US). (2001).</w:t>
      </w:r>
      <w:r>
        <w:t xml:space="preserve"> </w:t>
      </w:r>
      <w:hyperlink r:id="rId286">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287"/>
    <w:bookmarkStart w:id="289"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288">
        <w:r>
          <w:rPr>
            <w:rStyle w:val="Hyperlink"/>
          </w:rPr>
          <w:t xml:space="preserve">https://doi.org/10.1016/j.jsat.2021.108710</w:t>
        </w:r>
      </w:hyperlink>
    </w:p>
    <w:bookmarkEnd w:id="289"/>
    <w:bookmarkStart w:id="291"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290">
        <w:r>
          <w:rPr>
            <w:rStyle w:val="Hyperlink"/>
          </w:rPr>
          <w:t xml:space="preserve">https://doi.org/10.1037/tps0000250</w:t>
        </w:r>
      </w:hyperlink>
    </w:p>
    <w:bookmarkEnd w:id="291"/>
    <w:bookmarkStart w:id="29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292">
        <w:r>
          <w:rPr>
            <w:rStyle w:val="Hyperlink"/>
          </w:rPr>
          <w:t xml:space="preserve">https://doi.org/10.1016/j.drugalcdep.2019.05.017</w:t>
        </w:r>
      </w:hyperlink>
    </w:p>
    <w:bookmarkEnd w:id="293"/>
    <w:bookmarkStart w:id="295"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294">
        <w:r>
          <w:rPr>
            <w:rStyle w:val="Hyperlink"/>
          </w:rPr>
          <w:t xml:space="preserve">https://doi.org/10.1037/0003-066X.47.9.1102</w:t>
        </w:r>
      </w:hyperlink>
    </w:p>
    <w:bookmarkEnd w:id="295"/>
    <w:bookmarkStart w:id="296"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296"/>
    <w:bookmarkStart w:id="298"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297">
        <w:r>
          <w:rPr>
            <w:rStyle w:val="Hyperlink"/>
          </w:rPr>
          <w:t xml:space="preserve">https://doi.org/10.1037/adb0000550</w:t>
        </w:r>
      </w:hyperlink>
    </w:p>
    <w:bookmarkEnd w:id="298"/>
    <w:bookmarkStart w:id="299"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299"/>
    <w:bookmarkStart w:id="301"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00">
        <w:r>
          <w:rPr>
            <w:rStyle w:val="Hyperlink"/>
          </w:rPr>
          <w:t xml:space="preserve">https://doi.org/10.1146/annurev-clinpsy-021815-093351</w:t>
        </w:r>
      </w:hyperlink>
    </w:p>
    <w:bookmarkEnd w:id="301"/>
    <w:bookmarkStart w:id="303"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02">
        <w:r>
          <w:rPr>
            <w:rStyle w:val="Hyperlink"/>
          </w:rPr>
          <w:t xml:space="preserve">https://doi.org/10.1111/j.1530-0277.2006.00263.x</w:t>
        </w:r>
      </w:hyperlink>
    </w:p>
    <w:bookmarkEnd w:id="303"/>
    <w:bookmarkStart w:id="305"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04">
        <w:r>
          <w:rPr>
            <w:rStyle w:val="Hyperlink"/>
          </w:rPr>
          <w:t xml:space="preserve">https://doi.org/10.1111/add.13479</w:t>
        </w:r>
      </w:hyperlink>
    </w:p>
    <w:bookmarkEnd w:id="305"/>
    <w:bookmarkStart w:id="307"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06">
        <w:r>
          <w:rPr>
            <w:rStyle w:val="Hyperlink"/>
          </w:rPr>
          <w:t xml:space="preserve">https://doi.org/10.1037/adb0000666</w:t>
        </w:r>
      </w:hyperlink>
    </w:p>
    <w:bookmarkEnd w:id="307"/>
    <w:bookmarkStart w:id="309"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08">
        <w:r>
          <w:rPr>
            <w:rStyle w:val="Hyperlink"/>
          </w:rPr>
          <w:t xml:space="preserve">https://doi.org/10.1177/1178221820976988</w:t>
        </w:r>
      </w:hyperlink>
    </w:p>
    <w:bookmarkEnd w:id="309"/>
    <w:bookmarkStart w:id="310"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10"/>
    <w:bookmarkStart w:id="312" w:name="Xb4363def9a086869984bb1996514c38c4a5108e"/>
    <w:p>
      <w:pPr>
        <w:pStyle w:val="Bibliography"/>
      </w:pPr>
      <w:r>
        <w:t xml:space="preserve">Substance Abuse and Mental Health Services Administration (US), &amp; Office of the Surgeon General (US). (2016).</w:t>
      </w:r>
      <w:r>
        <w:t xml:space="preserve"> </w:t>
      </w:r>
      <w:hyperlink r:id="rId31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hyperlink>
      <w:r>
        <w:t xml:space="preserve">.</w:t>
      </w:r>
      <w:r>
        <w:t xml:space="preserve"> </w:t>
      </w:r>
      <w:r>
        <w:t xml:space="preserve">US Department of Health and Human Services</w:t>
      </w:r>
      <w:r>
        <w:t xml:space="preserve">.</w:t>
      </w:r>
    </w:p>
    <w:bookmarkEnd w:id="312"/>
    <w:bookmarkStart w:id="31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13">
        <w:r>
          <w:rPr>
            <w:rStyle w:val="Hyperlink"/>
          </w:rPr>
          <w:t xml:space="preserve">https://doi.org/10.1080/19371918.2013.758975</w:t>
        </w:r>
      </w:hyperlink>
    </w:p>
    <w:bookmarkEnd w:id="314"/>
    <w:bookmarkStart w:id="316"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315">
        <w:r>
          <w:rPr>
            <w:rStyle w:val="Hyperlink"/>
          </w:rPr>
          <w:t xml:space="preserve">https://doi.org/10.1177/17456916221134490</w:t>
        </w:r>
      </w:hyperlink>
    </w:p>
    <w:bookmarkEnd w:id="316"/>
    <w:bookmarkStart w:id="317" w:name="Xd4028ce73c50441a8dee35a72bb1ae76ff66c9d"/>
    <w:p>
      <w:pPr>
        <w:pStyle w:val="Bibliography"/>
      </w:pPr>
      <w:r>
        <w:t xml:space="preserve">United States. Department of Transportation. National Highway Traffic Safety Administration. National Center for Statistics and Analysis.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317"/>
    <w:bookmarkStart w:id="319"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318">
        <w:r>
          <w:rPr>
            <w:rStyle w:val="Hyperlink"/>
          </w:rPr>
          <w:t xml:space="preserve">https://doi.org/10.1111/j.1530-0277.1984.tb05523.x</w:t>
        </w:r>
      </w:hyperlink>
    </w:p>
    <w:bookmarkEnd w:id="319"/>
    <w:bookmarkStart w:id="321"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320">
        <w:r>
          <w:rPr>
            <w:rStyle w:val="Hyperlink"/>
          </w:rPr>
          <w:t xml:space="preserve">https://doi.org/10.1093/jamia/ocy052</w:t>
        </w:r>
      </w:hyperlink>
    </w:p>
    <w:bookmarkEnd w:id="321"/>
    <w:bookmarkStart w:id="32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322">
        <w:r>
          <w:rPr>
            <w:rStyle w:val="Hyperlink"/>
          </w:rPr>
          <w:t xml:space="preserve">https://doi.org/10.1016/j.jsat.2021.108417</w:t>
        </w:r>
      </w:hyperlink>
    </w:p>
    <w:bookmarkEnd w:id="323"/>
    <w:bookmarkStart w:id="325" w:name="X2d30c84041d97351f676569bf3de3da0c8a9d6d"/>
    <w:p>
      <w:pPr>
        <w:pStyle w:val="Bibliography"/>
      </w:pPr>
      <w:r>
        <w:t xml:space="preserve">WHO ASSIST Working Group. (2002).</w:t>
      </w:r>
      <w:r>
        <w:t xml:space="preserve"> </w:t>
      </w:r>
      <w:hyperlink r:id="rId324">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325"/>
    <w:bookmarkStart w:id="326"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326"/>
    <w:bookmarkStart w:id="328"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327">
        <w:r>
          <w:rPr>
            <w:rStyle w:val="Hyperlink"/>
          </w:rPr>
          <w:t xml:space="preserve">https://doi.org/10.1037/0003-066X.59.4.224</w:t>
        </w:r>
      </w:hyperlink>
    </w:p>
    <w:bookmarkEnd w:id="328"/>
    <w:bookmarkStart w:id="330"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329">
        <w:r>
          <w:rPr>
            <w:rStyle w:val="Hyperlink"/>
          </w:rPr>
          <w:t xml:space="preserve">https://doi.org/10.1016/j.cpr.2007.01.002</w:t>
        </w:r>
      </w:hyperlink>
    </w:p>
    <w:bookmarkEnd w:id="330"/>
    <w:bookmarkStart w:id="332"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331">
        <w:r>
          <w:rPr>
            <w:rStyle w:val="Hyperlink"/>
          </w:rPr>
          <w:t xml:space="preserve">https://doi.org/10.1037/pas0000685</w:t>
        </w:r>
      </w:hyperlink>
    </w:p>
    <w:bookmarkEnd w:id="332"/>
    <w:bookmarkStart w:id="334"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333">
        <w:r>
          <w:rPr>
            <w:rStyle w:val="Hyperlink"/>
          </w:rPr>
          <w:t xml:space="preserve">https://doi.org/10.2196/41833</w:t>
        </w:r>
      </w:hyperlink>
    </w:p>
    <w:bookmarkEnd w:id="334"/>
    <w:bookmarkStart w:id="336"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335">
        <w:r>
          <w:rPr>
            <w:rStyle w:val="Hyperlink"/>
          </w:rPr>
          <w:t xml:space="preserve">https://doi.org/10.2196/mhealth.9117</w:t>
        </w:r>
      </w:hyperlink>
    </w:p>
    <w:bookmarkEnd w:id="336"/>
    <w:bookmarkEnd w:id="337"/>
    <w:bookmarkEnd w:id="338"/>
    <w:bookmarkEnd w:id="339"/>
    <w:bookmarkEnd w:id="340"/>
    <w:bookmarkEnd w:id="3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Features for income and employment were inadvertently excluded from all models.</w:t>
      </w:r>
    </w:p>
  </w:footnote>
  <w:footnote w:id="41">
    <w:p>
      <w:pPr>
        <w:pStyle w:val="FootnoteText"/>
      </w:pPr>
      <w:r>
        <w:rPr>
          <w:rStyle w:val="FootnoteReference"/>
        </w:rPr>
        <w:footnoteRef/>
      </w:r>
      <w:r>
        <w:t xml:space="preserve"> </w:t>
      </w:r>
      <w:r>
        <w:t xml:space="preserve">In early exploratory analyses, we evaluated auROCs of all four algorithms using grouped k-fold cross-validation for models based on preliminary feature engineering using the EMAs. XGBoost models consistently outperformed other algorithms such that we focused all further development on XGBoost to reduce the substantial computational time associated with model training and evaluation.</w:t>
      </w:r>
    </w:p>
  </w:footnote>
  <w:footnote w:id="84">
    <w:p>
      <w:pPr>
        <w:pStyle w:val="FootnoteText"/>
      </w:pPr>
      <w:r>
        <w:rPr>
          <w:rStyle w:val="FootnoteReference"/>
        </w:rPr>
        <w:footnoteRef/>
      </w:r>
      <w:r>
        <w:t xml:space="preserve"> </w:t>
      </w:r>
      <w:r>
        <w:t xml:space="preserve">Although XGBoost ignores participant-level information, we do leverage this information to some degree by including change features that anchor participants’ EMA responses to their own previous responses.</w:t>
      </w:r>
    </w:p>
  </w:footnote>
  <w:footnote w:id="92">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p>
  </w:footnote>
  <w:footnote w:id="104">
    <w:p>
      <w:pPr>
        <w:pStyle w:val="FootnoteText"/>
      </w:pPr>
      <w:r>
        <w:rPr>
          <w:rStyle w:val="FootnoteReference"/>
        </w:rPr>
        <w:footnoteRef/>
      </w:r>
      <w:r>
        <w:t xml:space="preserve"> </w:t>
      </w:r>
      <w:r>
        <w:t xml:space="preserve">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footnote>
  <w:footnote w:id="10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111">
    <w:p>
      <w:pPr>
        <w:pStyle w:val="FootnoteText"/>
      </w:pPr>
      <w:r>
        <w:rPr>
          <w:rStyle w:val="FootnoteReference"/>
        </w:rPr>
        <w:footnoteRef/>
      </w:r>
      <w:r>
        <w:t xml:space="preserve"> </w:t>
      </w:r>
      <w:r>
        <w:t xml:space="preserve">The poverty cutoff was defined from the 2024 federal poverty line for the 48 contiguous United States. Participants at or below $15,060 annual income were categorized as below poverty.</w:t>
      </w:r>
    </w:p>
  </w:footnote>
  <w:footnote w:id="11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non-advantaged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jpg" /><Relationship Type="http://schemas.openxmlformats.org/officeDocument/2006/relationships/image" Id="rId65" Target="media/rId65.jpg" /><Relationship Type="http://schemas.openxmlformats.org/officeDocument/2006/relationships/image" Id="rId120" Target="media/rId120.png" /><Relationship Type="http://schemas.openxmlformats.org/officeDocument/2006/relationships/image" Id="rId72" Target="media/rId72.jpg" /><Relationship Type="http://schemas.openxmlformats.org/officeDocument/2006/relationships/image" Id="rId132" Target="media/rId132.png" /><Relationship Type="http://schemas.openxmlformats.org/officeDocument/2006/relationships/image" Id="rId98" Target="media/rId98.png" /><Relationship Type="http://schemas.openxmlformats.org/officeDocument/2006/relationships/hyperlink" Id="rId218" Target="https://doi.org/10.1001/jama.2022.2847" TargetMode="External" /><Relationship Type="http://schemas.openxmlformats.org/officeDocument/2006/relationships/hyperlink" Id="rId276" Target="https://doi.org/10.1001/jama.284.13.1689" TargetMode="External" /><Relationship Type="http://schemas.openxmlformats.org/officeDocument/2006/relationships/hyperlink" Id="rId249" Target="https://doi.org/10.1001/jamanetworkopen.2020.5852" TargetMode="External" /><Relationship Type="http://schemas.openxmlformats.org/officeDocument/2006/relationships/hyperlink" Id="rId180" Target="https://doi.org/10.1001/jamapsychiatry.2013.4546" TargetMode="External" /><Relationship Type="http://schemas.openxmlformats.org/officeDocument/2006/relationships/hyperlink" Id="rId230" Target="https://doi.org/10.1001/jamapsychiatry.2013.4642" TargetMode="External" /><Relationship Type="http://schemas.openxmlformats.org/officeDocument/2006/relationships/hyperlink" Id="rId224" Target="https://doi.org/10.1001/jamapsychiatry.2015.0584" TargetMode="External" /><Relationship Type="http://schemas.openxmlformats.org/officeDocument/2006/relationships/hyperlink" Id="rId258" Target="https://doi.org/10.1007/978-1-4614-6849-3" TargetMode="External" /><Relationship Type="http://schemas.openxmlformats.org/officeDocument/2006/relationships/hyperlink" Id="rId197" Target="https://doi.org/10.1007/978-3-319-72206-1" TargetMode="External" /><Relationship Type="http://schemas.openxmlformats.org/officeDocument/2006/relationships/hyperlink" Id="rId177" Target="https://doi.org/10.1007/s10488-016-0718-5" TargetMode="External" /><Relationship Type="http://schemas.openxmlformats.org/officeDocument/2006/relationships/hyperlink" Id="rId251" Target="https://doi.org/10.1007/s11920-012-0296-5" TargetMode="External" /><Relationship Type="http://schemas.openxmlformats.org/officeDocument/2006/relationships/hyperlink" Id="rId168" Target="https://doi.org/10.1007/s40429-023-00492-5" TargetMode="External" /><Relationship Type="http://schemas.openxmlformats.org/officeDocument/2006/relationships/hyperlink" Id="rId173" Target="https://doi.org/10.1016/j.addbeh.2017.11.039" TargetMode="External" /><Relationship Type="http://schemas.openxmlformats.org/officeDocument/2006/relationships/hyperlink" Id="rId253" Target="https://doi.org/10.1016/j.amepre.2019.08.034" TargetMode="External" /><Relationship Type="http://schemas.openxmlformats.org/officeDocument/2006/relationships/hyperlink" Id="rId214" Target="https://doi.org/10.1016/j.brat.2019.01.010" TargetMode="External" /><Relationship Type="http://schemas.openxmlformats.org/officeDocument/2006/relationships/hyperlink" Id="rId202" Target="https://doi.org/10.1016/j.brat.2019.103506" TargetMode="External" /><Relationship Type="http://schemas.openxmlformats.org/officeDocument/2006/relationships/hyperlink" Id="rId255" Target="https://doi.org/10.1016/j.cger.2014.04.008" TargetMode="External" /><Relationship Type="http://schemas.openxmlformats.org/officeDocument/2006/relationships/hyperlink" Id="rId206" Target="https://doi.org/10.1016/j.cmpb.2016.09.016" TargetMode="External" /><Relationship Type="http://schemas.openxmlformats.org/officeDocument/2006/relationships/hyperlink" Id="rId329" Target="https://doi.org/10.1016/j.cpr.2007.01.002" TargetMode="External" /><Relationship Type="http://schemas.openxmlformats.org/officeDocument/2006/relationships/hyperlink" Id="rId272" Target="https://doi.org/10.1016/j.cpr.2017.10.012" TargetMode="External" /><Relationship Type="http://schemas.openxmlformats.org/officeDocument/2006/relationships/hyperlink" Id="rId226" Target="https://doi.org/10.1016/j.drugalcdep.2006.05.012" TargetMode="External" /><Relationship Type="http://schemas.openxmlformats.org/officeDocument/2006/relationships/hyperlink" Id="rId247" Target="https://doi.org/10.1016/j.drugalcdep.2012.12.025" TargetMode="External" /><Relationship Type="http://schemas.openxmlformats.org/officeDocument/2006/relationships/hyperlink" Id="rId228" Target="https://doi.org/10.1016/j.drugalcdep.2013.07.027" TargetMode="External" /><Relationship Type="http://schemas.openxmlformats.org/officeDocument/2006/relationships/hyperlink" Id="rId195" Target="https://doi.org/10.1016/j.drugalcdep.2014.10.004" TargetMode="External" /><Relationship Type="http://schemas.openxmlformats.org/officeDocument/2006/relationships/hyperlink" Id="rId292" Target="https://doi.org/10.1016/j.drugalcdep.2019.05.017" TargetMode="External" /><Relationship Type="http://schemas.openxmlformats.org/officeDocument/2006/relationships/hyperlink" Id="rId216" Target="https://doi.org/10.1016/j.drugalcdep.2020.108350" TargetMode="External" /><Relationship Type="http://schemas.openxmlformats.org/officeDocument/2006/relationships/hyperlink" Id="rId278" Target="https://doi.org/10.1016/j.drugalcdep.2021.108706" TargetMode="External" /><Relationship Type="http://schemas.openxmlformats.org/officeDocument/2006/relationships/hyperlink" Id="rId184" Target="https://doi.org/10.1016/j.drugalcdep.2022.109362" TargetMode="External" /><Relationship Type="http://schemas.openxmlformats.org/officeDocument/2006/relationships/hyperlink" Id="rId237" Target="https://doi.org/10.1016/j.josat.2025.209685" TargetMode="External" /><Relationship Type="http://schemas.openxmlformats.org/officeDocument/2006/relationships/hyperlink" Id="rId193" Target="https://doi.org/10.1016/j.jsat.2013.08.004" TargetMode="External" /><Relationship Type="http://schemas.openxmlformats.org/officeDocument/2006/relationships/hyperlink" Id="rId322" Target="https://doi.org/10.1016/j.jsat.2021.108417" TargetMode="External" /><Relationship Type="http://schemas.openxmlformats.org/officeDocument/2006/relationships/hyperlink" Id="rId288" Target="https://doi.org/10.1016/j.jsat.2021.108710" TargetMode="External" /><Relationship Type="http://schemas.openxmlformats.org/officeDocument/2006/relationships/hyperlink" Id="rId242" Target="https://doi.org/10.1023/A:1008987426876" TargetMode="External" /><Relationship Type="http://schemas.openxmlformats.org/officeDocument/2006/relationships/hyperlink" Id="rId294" Target="https://doi.org/10.1037/0003-066X.47.9.1102" TargetMode="External" /><Relationship Type="http://schemas.openxmlformats.org/officeDocument/2006/relationships/hyperlink" Id="rId327" Target="https://doi.org/10.1037/0003-066X.59.4.224" TargetMode="External" /><Relationship Type="http://schemas.openxmlformats.org/officeDocument/2006/relationships/hyperlink" Id="rId208" Target="https://doi.org/10.1037/a0037157" TargetMode="External" /><Relationship Type="http://schemas.openxmlformats.org/officeDocument/2006/relationships/hyperlink" Id="rId204" Target="https://doi.org/10.1037/adb0000292" TargetMode="External" /><Relationship Type="http://schemas.openxmlformats.org/officeDocument/2006/relationships/hyperlink" Id="rId297" Target="https://doi.org/10.1037/adb0000550" TargetMode="External" /><Relationship Type="http://schemas.openxmlformats.org/officeDocument/2006/relationships/hyperlink" Id="rId306" Target="https://doi.org/10.1037/adb0000666" TargetMode="External" /><Relationship Type="http://schemas.openxmlformats.org/officeDocument/2006/relationships/hyperlink" Id="rId331" Target="https://doi.org/10.1037/pas0000685" TargetMode="External" /><Relationship Type="http://schemas.openxmlformats.org/officeDocument/2006/relationships/hyperlink" Id="rId210" Target="https://doi.org/10.1037/pha0000210" TargetMode="External" /><Relationship Type="http://schemas.openxmlformats.org/officeDocument/2006/relationships/hyperlink" Id="rId290" Target="https://doi.org/10.1037/tps0000250" TargetMode="External" /><Relationship Type="http://schemas.openxmlformats.org/officeDocument/2006/relationships/hyperlink" Id="rId264" Target="https://doi.org/10.1080/00952990.2019.1694536" TargetMode="External" /><Relationship Type="http://schemas.openxmlformats.org/officeDocument/2006/relationships/hyperlink" Id="rId313" Target="https://doi.org/10.1080/19371918.2013.758975" TargetMode="External" /><Relationship Type="http://schemas.openxmlformats.org/officeDocument/2006/relationships/hyperlink" Id="rId320" Target="https://doi.org/10.1093/jamia/ocy052" TargetMode="External" /><Relationship Type="http://schemas.openxmlformats.org/officeDocument/2006/relationships/hyperlink" Id="rId267" Target="https://doi.org/10.1097/JTO.0b013e3181ec173d" TargetMode="External" /><Relationship Type="http://schemas.openxmlformats.org/officeDocument/2006/relationships/hyperlink" Id="rId304" Target="https://doi.org/10.1111/add.13479" TargetMode="External" /><Relationship Type="http://schemas.openxmlformats.org/officeDocument/2006/relationships/hyperlink" Id="rId175" Target="https://doi.org/10.1111/add.16200" TargetMode="External" /><Relationship Type="http://schemas.openxmlformats.org/officeDocument/2006/relationships/hyperlink" Id="rId186" Target="https://doi.org/10.1111/ajad.12784" TargetMode="External" /><Relationship Type="http://schemas.openxmlformats.org/officeDocument/2006/relationships/hyperlink" Id="rId318" Target="https://doi.org/10.1111/j.1530-0277.1984.tb05523.x" TargetMode="External" /><Relationship Type="http://schemas.openxmlformats.org/officeDocument/2006/relationships/hyperlink" Id="rId302" Target="https://doi.org/10.1111/j.1530-0277.2006.00263.x" TargetMode="External" /><Relationship Type="http://schemas.openxmlformats.org/officeDocument/2006/relationships/hyperlink" Id="rId300" Target="https://doi.org/10.1146/annurev-clinpsy-021815-093351" TargetMode="External" /><Relationship Type="http://schemas.openxmlformats.org/officeDocument/2006/relationships/hyperlink" Id="rId280" Target="https://doi.org/10.1146/annurev-clinpsy-032816-044949" TargetMode="External" /><Relationship Type="http://schemas.openxmlformats.org/officeDocument/2006/relationships/hyperlink" Id="rId220" Target="https://doi.org/10.1146/annurev-clinpsy-102419-125016" TargetMode="External" /><Relationship Type="http://schemas.openxmlformats.org/officeDocument/2006/relationships/hyperlink" Id="rId182" Target="https://doi.org/10.1146/annurev.clinpsy.3.022806.091455" TargetMode="External" /><Relationship Type="http://schemas.openxmlformats.org/officeDocument/2006/relationships/hyperlink" Id="rId188" Target="https://doi.org/10.1176/appi.ajp.2014.13081055" TargetMode="External" /><Relationship Type="http://schemas.openxmlformats.org/officeDocument/2006/relationships/hyperlink" Id="rId232" Target="https://doi.org/10.1176/appi.ajp.21090963" TargetMode="External" /><Relationship Type="http://schemas.openxmlformats.org/officeDocument/2006/relationships/hyperlink" Id="rId308" Target="https://doi.org/10.1177/1178221820976988" TargetMode="External" /><Relationship Type="http://schemas.openxmlformats.org/officeDocument/2006/relationships/hyperlink" Id="rId315" Target="https://doi.org/10.1177/17456916221134490" TargetMode="External" /><Relationship Type="http://schemas.openxmlformats.org/officeDocument/2006/relationships/hyperlink" Id="rId261" Target="https://doi.org/10.1214/17-EJS1338SI" TargetMode="External" /><Relationship Type="http://schemas.openxmlformats.org/officeDocument/2006/relationships/hyperlink" Id="rId190" Target="https://doi.org/10.21231/GNT1-HW21" TargetMode="External" /><Relationship Type="http://schemas.openxmlformats.org/officeDocument/2006/relationships/hyperlink" Id="rId283" Target="https://doi.org/10.2196/29563" TargetMode="External" /><Relationship Type="http://schemas.openxmlformats.org/officeDocument/2006/relationships/hyperlink" Id="rId171" Target="https://doi.org/10.2196/39862" TargetMode="External" /><Relationship Type="http://schemas.openxmlformats.org/officeDocument/2006/relationships/hyperlink" Id="rId333" Target="https://doi.org/10.2196/41833" TargetMode="External" /><Relationship Type="http://schemas.openxmlformats.org/officeDocument/2006/relationships/hyperlink" Id="rId235" Target="https://doi.org/10.2196/mental.9777" TargetMode="External" /><Relationship Type="http://schemas.openxmlformats.org/officeDocument/2006/relationships/hyperlink" Id="rId335" Target="https://doi.org/10.2196/mhealth.9117" TargetMode="External" /><Relationship Type="http://schemas.openxmlformats.org/officeDocument/2006/relationships/hyperlink" Id="rId274" Target="https://doi.org/10.35946/arcr.v41.1.01" TargetMode="External" /><Relationship Type="http://schemas.openxmlformats.org/officeDocument/2006/relationships/hyperlink" Id="rId244" Target="https://doi.org/10/gfsjzg" TargetMode="External" /><Relationship Type="http://schemas.openxmlformats.org/officeDocument/2006/relationships/hyperlink" Id="rId212"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4"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6"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7"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30"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199" Target="https://www.ncbi.nlm.nih.gov/pmc/articles/PMC2797101" TargetMode="External" /><Relationship Type="http://schemas.openxmlformats.org/officeDocument/2006/relationships/hyperlink" Id="rId324" Target="https://www.ncbi.nlm.nih.gov/pubmed/12199834" TargetMode="External" /><Relationship Type="http://schemas.openxmlformats.org/officeDocument/2006/relationships/hyperlink" Id="rId286" Target="https://www.ncbi.nlm.nih.gov/pubmed/20669516" TargetMode="External" /><Relationship Type="http://schemas.openxmlformats.org/officeDocument/2006/relationships/hyperlink" Id="rId31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18" Target="https://doi.org/10.1001/jama.2022.2847" TargetMode="External" /><Relationship Type="http://schemas.openxmlformats.org/officeDocument/2006/relationships/hyperlink" Id="rId276" Target="https://doi.org/10.1001/jama.284.13.1689" TargetMode="External" /><Relationship Type="http://schemas.openxmlformats.org/officeDocument/2006/relationships/hyperlink" Id="rId249" Target="https://doi.org/10.1001/jamanetworkopen.2020.5852" TargetMode="External" /><Relationship Type="http://schemas.openxmlformats.org/officeDocument/2006/relationships/hyperlink" Id="rId180" Target="https://doi.org/10.1001/jamapsychiatry.2013.4546" TargetMode="External" /><Relationship Type="http://schemas.openxmlformats.org/officeDocument/2006/relationships/hyperlink" Id="rId230" Target="https://doi.org/10.1001/jamapsychiatry.2013.4642" TargetMode="External" /><Relationship Type="http://schemas.openxmlformats.org/officeDocument/2006/relationships/hyperlink" Id="rId224" Target="https://doi.org/10.1001/jamapsychiatry.2015.0584" TargetMode="External" /><Relationship Type="http://schemas.openxmlformats.org/officeDocument/2006/relationships/hyperlink" Id="rId258" Target="https://doi.org/10.1007/978-1-4614-6849-3" TargetMode="External" /><Relationship Type="http://schemas.openxmlformats.org/officeDocument/2006/relationships/hyperlink" Id="rId197" Target="https://doi.org/10.1007/978-3-319-72206-1" TargetMode="External" /><Relationship Type="http://schemas.openxmlformats.org/officeDocument/2006/relationships/hyperlink" Id="rId177" Target="https://doi.org/10.1007/s10488-016-0718-5" TargetMode="External" /><Relationship Type="http://schemas.openxmlformats.org/officeDocument/2006/relationships/hyperlink" Id="rId251" Target="https://doi.org/10.1007/s11920-012-0296-5" TargetMode="External" /><Relationship Type="http://schemas.openxmlformats.org/officeDocument/2006/relationships/hyperlink" Id="rId168" Target="https://doi.org/10.1007/s40429-023-00492-5" TargetMode="External" /><Relationship Type="http://schemas.openxmlformats.org/officeDocument/2006/relationships/hyperlink" Id="rId173" Target="https://doi.org/10.1016/j.addbeh.2017.11.039" TargetMode="External" /><Relationship Type="http://schemas.openxmlformats.org/officeDocument/2006/relationships/hyperlink" Id="rId253" Target="https://doi.org/10.1016/j.amepre.2019.08.034" TargetMode="External" /><Relationship Type="http://schemas.openxmlformats.org/officeDocument/2006/relationships/hyperlink" Id="rId214" Target="https://doi.org/10.1016/j.brat.2019.01.010" TargetMode="External" /><Relationship Type="http://schemas.openxmlformats.org/officeDocument/2006/relationships/hyperlink" Id="rId202" Target="https://doi.org/10.1016/j.brat.2019.103506" TargetMode="External" /><Relationship Type="http://schemas.openxmlformats.org/officeDocument/2006/relationships/hyperlink" Id="rId255" Target="https://doi.org/10.1016/j.cger.2014.04.008" TargetMode="External" /><Relationship Type="http://schemas.openxmlformats.org/officeDocument/2006/relationships/hyperlink" Id="rId206" Target="https://doi.org/10.1016/j.cmpb.2016.09.016" TargetMode="External" /><Relationship Type="http://schemas.openxmlformats.org/officeDocument/2006/relationships/hyperlink" Id="rId329" Target="https://doi.org/10.1016/j.cpr.2007.01.002" TargetMode="External" /><Relationship Type="http://schemas.openxmlformats.org/officeDocument/2006/relationships/hyperlink" Id="rId272" Target="https://doi.org/10.1016/j.cpr.2017.10.012" TargetMode="External" /><Relationship Type="http://schemas.openxmlformats.org/officeDocument/2006/relationships/hyperlink" Id="rId226" Target="https://doi.org/10.1016/j.drugalcdep.2006.05.012" TargetMode="External" /><Relationship Type="http://schemas.openxmlformats.org/officeDocument/2006/relationships/hyperlink" Id="rId247" Target="https://doi.org/10.1016/j.drugalcdep.2012.12.025" TargetMode="External" /><Relationship Type="http://schemas.openxmlformats.org/officeDocument/2006/relationships/hyperlink" Id="rId228" Target="https://doi.org/10.1016/j.drugalcdep.2013.07.027" TargetMode="External" /><Relationship Type="http://schemas.openxmlformats.org/officeDocument/2006/relationships/hyperlink" Id="rId195" Target="https://doi.org/10.1016/j.drugalcdep.2014.10.004" TargetMode="External" /><Relationship Type="http://schemas.openxmlformats.org/officeDocument/2006/relationships/hyperlink" Id="rId292" Target="https://doi.org/10.1016/j.drugalcdep.2019.05.017" TargetMode="External" /><Relationship Type="http://schemas.openxmlformats.org/officeDocument/2006/relationships/hyperlink" Id="rId216" Target="https://doi.org/10.1016/j.drugalcdep.2020.108350" TargetMode="External" /><Relationship Type="http://schemas.openxmlformats.org/officeDocument/2006/relationships/hyperlink" Id="rId278" Target="https://doi.org/10.1016/j.drugalcdep.2021.108706" TargetMode="External" /><Relationship Type="http://schemas.openxmlformats.org/officeDocument/2006/relationships/hyperlink" Id="rId184" Target="https://doi.org/10.1016/j.drugalcdep.2022.109362" TargetMode="External" /><Relationship Type="http://schemas.openxmlformats.org/officeDocument/2006/relationships/hyperlink" Id="rId237" Target="https://doi.org/10.1016/j.josat.2025.209685" TargetMode="External" /><Relationship Type="http://schemas.openxmlformats.org/officeDocument/2006/relationships/hyperlink" Id="rId193" Target="https://doi.org/10.1016/j.jsat.2013.08.004" TargetMode="External" /><Relationship Type="http://schemas.openxmlformats.org/officeDocument/2006/relationships/hyperlink" Id="rId322" Target="https://doi.org/10.1016/j.jsat.2021.108417" TargetMode="External" /><Relationship Type="http://schemas.openxmlformats.org/officeDocument/2006/relationships/hyperlink" Id="rId288" Target="https://doi.org/10.1016/j.jsat.2021.108710" TargetMode="External" /><Relationship Type="http://schemas.openxmlformats.org/officeDocument/2006/relationships/hyperlink" Id="rId242" Target="https://doi.org/10.1023/A:1008987426876" TargetMode="External" /><Relationship Type="http://schemas.openxmlformats.org/officeDocument/2006/relationships/hyperlink" Id="rId294" Target="https://doi.org/10.1037/0003-066X.47.9.1102" TargetMode="External" /><Relationship Type="http://schemas.openxmlformats.org/officeDocument/2006/relationships/hyperlink" Id="rId327" Target="https://doi.org/10.1037/0003-066X.59.4.224" TargetMode="External" /><Relationship Type="http://schemas.openxmlformats.org/officeDocument/2006/relationships/hyperlink" Id="rId208" Target="https://doi.org/10.1037/a0037157" TargetMode="External" /><Relationship Type="http://schemas.openxmlformats.org/officeDocument/2006/relationships/hyperlink" Id="rId204" Target="https://doi.org/10.1037/adb0000292" TargetMode="External" /><Relationship Type="http://schemas.openxmlformats.org/officeDocument/2006/relationships/hyperlink" Id="rId297" Target="https://doi.org/10.1037/adb0000550" TargetMode="External" /><Relationship Type="http://schemas.openxmlformats.org/officeDocument/2006/relationships/hyperlink" Id="rId306" Target="https://doi.org/10.1037/adb0000666" TargetMode="External" /><Relationship Type="http://schemas.openxmlformats.org/officeDocument/2006/relationships/hyperlink" Id="rId331" Target="https://doi.org/10.1037/pas0000685" TargetMode="External" /><Relationship Type="http://schemas.openxmlformats.org/officeDocument/2006/relationships/hyperlink" Id="rId210" Target="https://doi.org/10.1037/pha0000210" TargetMode="External" /><Relationship Type="http://schemas.openxmlformats.org/officeDocument/2006/relationships/hyperlink" Id="rId290" Target="https://doi.org/10.1037/tps0000250" TargetMode="External" /><Relationship Type="http://schemas.openxmlformats.org/officeDocument/2006/relationships/hyperlink" Id="rId264" Target="https://doi.org/10.1080/00952990.2019.1694536" TargetMode="External" /><Relationship Type="http://schemas.openxmlformats.org/officeDocument/2006/relationships/hyperlink" Id="rId313" Target="https://doi.org/10.1080/19371918.2013.758975" TargetMode="External" /><Relationship Type="http://schemas.openxmlformats.org/officeDocument/2006/relationships/hyperlink" Id="rId320" Target="https://doi.org/10.1093/jamia/ocy052" TargetMode="External" /><Relationship Type="http://schemas.openxmlformats.org/officeDocument/2006/relationships/hyperlink" Id="rId267" Target="https://doi.org/10.1097/JTO.0b013e3181ec173d" TargetMode="External" /><Relationship Type="http://schemas.openxmlformats.org/officeDocument/2006/relationships/hyperlink" Id="rId304" Target="https://doi.org/10.1111/add.13479" TargetMode="External" /><Relationship Type="http://schemas.openxmlformats.org/officeDocument/2006/relationships/hyperlink" Id="rId175" Target="https://doi.org/10.1111/add.16200" TargetMode="External" /><Relationship Type="http://schemas.openxmlformats.org/officeDocument/2006/relationships/hyperlink" Id="rId186" Target="https://doi.org/10.1111/ajad.12784" TargetMode="External" /><Relationship Type="http://schemas.openxmlformats.org/officeDocument/2006/relationships/hyperlink" Id="rId318" Target="https://doi.org/10.1111/j.1530-0277.1984.tb05523.x" TargetMode="External" /><Relationship Type="http://schemas.openxmlformats.org/officeDocument/2006/relationships/hyperlink" Id="rId302" Target="https://doi.org/10.1111/j.1530-0277.2006.00263.x" TargetMode="External" /><Relationship Type="http://schemas.openxmlformats.org/officeDocument/2006/relationships/hyperlink" Id="rId300" Target="https://doi.org/10.1146/annurev-clinpsy-021815-093351" TargetMode="External" /><Relationship Type="http://schemas.openxmlformats.org/officeDocument/2006/relationships/hyperlink" Id="rId280" Target="https://doi.org/10.1146/annurev-clinpsy-032816-044949" TargetMode="External" /><Relationship Type="http://schemas.openxmlformats.org/officeDocument/2006/relationships/hyperlink" Id="rId220" Target="https://doi.org/10.1146/annurev-clinpsy-102419-125016" TargetMode="External" /><Relationship Type="http://schemas.openxmlformats.org/officeDocument/2006/relationships/hyperlink" Id="rId182" Target="https://doi.org/10.1146/annurev.clinpsy.3.022806.091455" TargetMode="External" /><Relationship Type="http://schemas.openxmlformats.org/officeDocument/2006/relationships/hyperlink" Id="rId188" Target="https://doi.org/10.1176/appi.ajp.2014.13081055" TargetMode="External" /><Relationship Type="http://schemas.openxmlformats.org/officeDocument/2006/relationships/hyperlink" Id="rId232" Target="https://doi.org/10.1176/appi.ajp.21090963" TargetMode="External" /><Relationship Type="http://schemas.openxmlformats.org/officeDocument/2006/relationships/hyperlink" Id="rId308" Target="https://doi.org/10.1177/1178221820976988" TargetMode="External" /><Relationship Type="http://schemas.openxmlformats.org/officeDocument/2006/relationships/hyperlink" Id="rId315" Target="https://doi.org/10.1177/17456916221134490" TargetMode="External" /><Relationship Type="http://schemas.openxmlformats.org/officeDocument/2006/relationships/hyperlink" Id="rId261" Target="https://doi.org/10.1214/17-EJS1338SI" TargetMode="External" /><Relationship Type="http://schemas.openxmlformats.org/officeDocument/2006/relationships/hyperlink" Id="rId190" Target="https://doi.org/10.21231/GNT1-HW21" TargetMode="External" /><Relationship Type="http://schemas.openxmlformats.org/officeDocument/2006/relationships/hyperlink" Id="rId283" Target="https://doi.org/10.2196/29563" TargetMode="External" /><Relationship Type="http://schemas.openxmlformats.org/officeDocument/2006/relationships/hyperlink" Id="rId171" Target="https://doi.org/10.2196/39862" TargetMode="External" /><Relationship Type="http://schemas.openxmlformats.org/officeDocument/2006/relationships/hyperlink" Id="rId333" Target="https://doi.org/10.2196/41833" TargetMode="External" /><Relationship Type="http://schemas.openxmlformats.org/officeDocument/2006/relationships/hyperlink" Id="rId235" Target="https://doi.org/10.2196/mental.9777" TargetMode="External" /><Relationship Type="http://schemas.openxmlformats.org/officeDocument/2006/relationships/hyperlink" Id="rId335" Target="https://doi.org/10.2196/mhealth.9117" TargetMode="External" /><Relationship Type="http://schemas.openxmlformats.org/officeDocument/2006/relationships/hyperlink" Id="rId274" Target="https://doi.org/10.35946/arcr.v41.1.01" TargetMode="External" /><Relationship Type="http://schemas.openxmlformats.org/officeDocument/2006/relationships/hyperlink" Id="rId244" Target="https://doi.org/10/gfsjzg" TargetMode="External" /><Relationship Type="http://schemas.openxmlformats.org/officeDocument/2006/relationships/hyperlink" Id="rId212" Target="https://doi.org/10/ghqvcw" TargetMode="External" /><Relationship Type="http://schemas.openxmlformats.org/officeDocument/2006/relationships/hyperlink" Id="rId90" Target="https://jjcurtin.github.io/study_lag/" TargetMode="External" /><Relationship Type="http://schemas.openxmlformats.org/officeDocument/2006/relationships/hyperlink" Id="rId20" Target="https://kendrapaquette.github.io/study_dissertation/index.qmd.html" TargetMode="External" /><Relationship Type="http://schemas.openxmlformats.org/officeDocument/2006/relationships/hyperlink" Id="rId59" Target="https://kendrapaquette.github.io/study_dissertation/notebooks\figures-preview.html#cell-fig-1-ema" TargetMode="External" /><Relationship Type="http://schemas.openxmlformats.org/officeDocument/2006/relationships/hyperlink" Id="rId69" Target="https://kendrapaquette.github.io/study_dissertation/notebooks\figures-preview.html#cell-fig-2-ema" TargetMode="External" /><Relationship Type="http://schemas.openxmlformats.org/officeDocument/2006/relationships/hyperlink" Id="rId124" Target="https://kendrapaquette.github.io/study_dissertation/notebooks\figures-preview.html#cell-fig-2-lag" TargetMode="External" /><Relationship Type="http://schemas.openxmlformats.org/officeDocument/2006/relationships/hyperlink" Id="rId76" Target="https://kendrapaquette.github.io/study_dissertation/notebooks\figures-preview.html#cell-fig-3-ema" TargetMode="External" /><Relationship Type="http://schemas.openxmlformats.org/officeDocument/2006/relationships/hyperlink" Id="rId136" Target="https://kendrapaquette.github.io/study_dissertation/notebooks\figures-preview.html#cell-fig-3-lag" TargetMode="External" /><Relationship Type="http://schemas.openxmlformats.org/officeDocument/2006/relationships/hyperlink" Id="rId102" Target="https://kendrapaquette.github.io/study_dissertation/notebooks\figures-preview.html#cell-fig-methods-lag" TargetMode="External" /><Relationship Type="http://schemas.openxmlformats.org/officeDocument/2006/relationships/hyperlink" Id="rId127" Target="https://kendrapaquette.github.io/study_dissertation/notebooks\tables-preview.html#cell-tbl-contrast-lag" TargetMode="External" /><Relationship Type="http://schemas.openxmlformats.org/officeDocument/2006/relationships/hyperlink" Id="rId51" Target="https://kendrapaquette.github.io/study_dissertation/notebooks\tables-preview.html#cell-tbl-dem" TargetMode="External" /><Relationship Type="http://schemas.openxmlformats.org/officeDocument/2006/relationships/hyperlink" Id="rId130" Target="https://kendrapaquette.github.io/study_dissertation/notebooks\tables-preview.html#cell-tbl-fairness" TargetMode="External" /><Relationship Type="http://schemas.openxmlformats.org/officeDocument/2006/relationships/hyperlink" Id="rId64" Target="https://kendrapaquette.github.io/study_dissertation/notebooks\tables-preview.html#cell-tbl-perf-ema" TargetMode="External" /><Relationship Type="http://schemas.openxmlformats.org/officeDocument/2006/relationships/hyperlink" Id="rId31" Target="https://osf.io/w5h9y/" TargetMode="External" /><Relationship Type="http://schemas.openxmlformats.org/officeDocument/2006/relationships/hyperlink" Id="rId89" Target="https://osf.io/xta67/" TargetMode="External" /><Relationship Type="http://schemas.openxmlformats.org/officeDocument/2006/relationships/hyperlink" Id="rId199" Target="https://www.ncbi.nlm.nih.gov/pmc/articles/PMC2797101" TargetMode="External" /><Relationship Type="http://schemas.openxmlformats.org/officeDocument/2006/relationships/hyperlink" Id="rId324" Target="https://www.ncbi.nlm.nih.gov/pubmed/12199834" TargetMode="External" /><Relationship Type="http://schemas.openxmlformats.org/officeDocument/2006/relationships/hyperlink" Id="rId286" Target="https://www.ncbi.nlm.nih.gov/pubmed/20669516" TargetMode="External" /><Relationship Type="http://schemas.openxmlformats.org/officeDocument/2006/relationships/hyperlink" Id="rId31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Dissertation Proposal</dc:title>
  <dc:creator>Kendra Wyant</dc:creator>
  <cp:keywords/>
  <dcterms:created xsi:type="dcterms:W3CDTF">2026-03-16T18:23:03Z</dcterms:created>
  <dcterms:modified xsi:type="dcterms:W3CDTF">2026-03-16T18:23:03Z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2026-03-16</vt:lpwstr>
  </property>
  <property fmtid="{D5CDD505-2E9C-101B-9397-08002B2CF9AE}" pid="9" name="editor_option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