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1.jpg" ContentType="image/jpeg"/>
  <Override PartName="/word/media/rId51.jpg" ContentType="image/jpeg"/>
  <Override PartName="/word/media/rId58.jpg" ContentType="image/jpeg"/>
  <Override PartName="/word/media/rId84.png" ContentType="image/png"/>
  <Override PartName="/word/media/rId166.png" ContentType="image/png"/>
  <Override PartName="/word/media/rId103.png" ContentType="image/png"/>
  <Override PartName="/word/media/rId173.png" ContentType="image/png"/>
  <Override PartName="/word/media/rId179.png" ContentType="image/png"/>
  <Override PartName="/word/media/rId121.png" ContentType="image/png"/>
  <Override PartName="/word/media/rId185.png" ContentType="image/png"/>
  <Override PartName="/word/media/rId11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Toward Precision Continuing Care</w:t>
      </w:r>
    </w:p>
    <w:p>
      <w:pPr>
        <w:pStyle w:val="Subtitle"/>
      </w:pPr>
      <w:r>
        <w:t xml:space="preserve">Predicting Lapse Risk in Substance Use Disorders Using Machine Learning</w:t>
      </w:r>
    </w:p>
    <w:p>
      <w:pPr>
        <w:pStyle w:val="Author"/>
      </w:pPr>
      <w:r>
        <w:t xml:space="preserve">Kendra Wyant</w:t>
      </w:r>
    </w:p>
    <w:p>
      <w:pPr>
        <w:pStyle w:val="Date"/>
      </w:pPr>
      <w:r>
        <w:t xml:space="preserve">2026-03-30</w:t>
      </w:r>
    </w:p>
    <w:p>
      <w:pPr>
        <w:pStyle w:val="FirstParagraph"/>
      </w:pPr>
      <w:r>
        <w:rPr>
          <w:vertAlign w:val="subscript"/>
        </w:rPr>
        <w:t xml:space="preserve">Source:</w:t>
      </w:r>
      <w:r>
        <w:rPr>
          <w:vertAlign w:val="subscript"/>
        </w:rPr>
        <w:t xml:space="preserve"> </w:t>
      </w:r>
      <w:hyperlink r:id="rId9">
        <w:r>
          <w:rPr>
            <w:rStyle w:val="Hyperlink"/>
            <w:vertAlign w:val="subscript"/>
          </w:rPr>
          <w:t xml:space="preserve">Article Notebook</w:t>
        </w:r>
      </w:hyperlink>
    </w:p>
    <w:p>
      <w:pPr>
        <w:pStyle w:val="BodyText"/>
      </w:pPr>
      <w:r>
        <w:rPr>
          <w:vertAlign w:val="subscript"/>
        </w:rPr>
        <w:t xml:space="preserve">Source:</w:t>
      </w:r>
      <w:r>
        <w:rPr>
          <w:vertAlign w:val="subscript"/>
        </w:rPr>
        <w:t xml:space="preserve"> </w:t>
      </w:r>
      <w:hyperlink r:id="rId9">
        <w:r>
          <w:rPr>
            <w:rStyle w:val="Hyperlink"/>
            <w:vertAlign w:val="subscript"/>
          </w:rPr>
          <w:t xml:space="preserve">Article Notebook</w:t>
        </w:r>
      </w:hyperlink>
    </w:p>
    <w:bookmarkStart w:id="14" w:name="introduction"/>
    <w:p>
      <w:pPr>
        <w:pStyle w:val="Heading1"/>
      </w:pPr>
      <w:r>
        <w:t xml:space="preserve">1. Introduction</w:t>
      </w:r>
    </w:p>
    <w:bookmarkStart w:id="10" w:name="substance-use-disorders"/>
    <w:p>
      <w:pPr>
        <w:pStyle w:val="Heading2"/>
      </w:pPr>
      <w:r>
        <w:t xml:space="preserve">1.1 Substance Use Disorders</w:t>
      </w:r>
    </w:p>
    <w:p>
      <w:pPr>
        <w:pStyle w:val="FirstParagraph"/>
      </w:pPr>
      <w:r>
        <w:t xml:space="preserve">In 2024, over 46 million U.S. adults had a substance use disorder (SUD) in the past year</w:t>
      </w:r>
      <w:r>
        <w:t xml:space="preserve"> </w:t>
      </w:r>
      <w:r>
        <w:t xml:space="preserve">(Substance Abuse and Mental Health Services Administration, n.d.)</w:t>
      </w:r>
      <w:r>
        <w:t xml:space="preserve">. SUDs are associated with high rates of morbidity and mortality. Opioid overdose rates remain high and continue to increase each year</w:t>
      </w:r>
      <w:r>
        <w:t xml:space="preserve"> </w:t>
      </w:r>
      <w:r>
        <w:t xml:space="preserve">(Friedman et al., 2022;</w:t>
      </w:r>
      <w:r>
        <w:t xml:space="preserve"> </w:t>
      </w:r>
      <w:r>
        <w:rPr>
          <w:i/>
          <w:iCs/>
        </w:rPr>
        <w:t xml:space="preserve">Increases in</w:t>
      </w:r>
      <w:r>
        <w:rPr>
          <w:i/>
          <w:iCs/>
        </w:rPr>
        <w:t xml:space="preserve"> </w:t>
      </w:r>
      <w:r>
        <w:rPr>
          <w:i/>
          <w:iCs/>
        </w:rPr>
        <w:t xml:space="preserve">Drug</w:t>
      </w:r>
      <w:r>
        <w:rPr>
          <w:i/>
          <w:iCs/>
        </w:rPr>
        <w:t xml:space="preserve"> </w:t>
      </w:r>
      <w:r>
        <w:rPr>
          <w:i/>
          <w:iCs/>
        </w:rPr>
        <w:t xml:space="preserve">and</w:t>
      </w:r>
      <w:r>
        <w:rPr>
          <w:i/>
          <w:iCs/>
        </w:rPr>
        <w:t xml:space="preserve"> </w:t>
      </w:r>
      <w:r>
        <w:rPr>
          <w:i/>
          <w:iCs/>
        </w:rPr>
        <w:t xml:space="preserve">Opioid Overdose Deaths</w:t>
      </w:r>
      <w:r>
        <w:rPr>
          <w:i/>
          <w:iCs/>
        </w:rPr>
        <w:t xml:space="preserve"> </w:t>
      </w:r>
      <w:r>
        <w:rPr>
          <w:i/>
          <w:iCs/>
        </w:rPr>
        <w:t xml:space="preserve">—</w:t>
      </w:r>
      <w:r>
        <w:rPr>
          <w:i/>
          <w:iCs/>
        </w:rPr>
        <w:t xml:space="preserve"> </w:t>
      </w:r>
      <w:r>
        <w:rPr>
          <w:i/>
          <w:iCs/>
        </w:rPr>
        <w:t xml:space="preserve">United States</w:t>
      </w:r>
      <w:r>
        <w:rPr>
          <w:i/>
          <w:iCs/>
        </w:rPr>
        <w:t xml:space="preserve">, 2000–2014</w:t>
      </w:r>
      <w:r>
        <w:t xml:space="preserve">, n.d.)</w:t>
      </w:r>
      <w:r>
        <w:t xml:space="preserve">. Excessive alcohol use is a leading preventable cause of death, with the majority of these deaths caused by alcohol-attributed cancer, heart problems and stroke, and liver cirrhosis</w:t>
      </w:r>
      <w:r>
        <w:t xml:space="preserve"> </w:t>
      </w:r>
      <w:r>
        <w:t xml:space="preserve">(</w:t>
      </w:r>
      <w:r>
        <w:rPr>
          <w:i/>
          <w:iCs/>
        </w:rPr>
        <w:t xml:space="preserve">ARDI Alcohol-Attributable Deaths</w:t>
      </w:r>
      <w:r>
        <w:rPr>
          <w:i/>
          <w:iCs/>
        </w:rPr>
        <w:t xml:space="preserve">,</w:t>
      </w:r>
      <w:r>
        <w:rPr>
          <w:i/>
          <w:iCs/>
        </w:rPr>
        <w:t xml:space="preserve"> </w:t>
      </w:r>
      <w:r>
        <w:rPr>
          <w:i/>
          <w:iCs/>
        </w:rPr>
        <w:t xml:space="preserve">US</w:t>
      </w:r>
      <w:r>
        <w:rPr>
          <w:i/>
          <w:iCs/>
        </w:rPr>
        <w:t xml:space="preserve"> </w:t>
      </w:r>
      <w:r>
        <w:rPr>
          <w:i/>
          <w:iCs/>
        </w:rPr>
        <w:t xml:space="preserve"> </w:t>
      </w:r>
      <w:r>
        <w:rPr>
          <w:i/>
          <w:iCs/>
        </w:rPr>
        <w:t xml:space="preserve">CDC</w:t>
      </w:r>
      <w:r>
        <w:t xml:space="preserve">, n.d.)</w:t>
      </w:r>
      <w:r>
        <w:t xml:space="preserve">. Additionally, alcohol-impaired driving accounts for over 30% of traffic fatalities each year</w:t>
      </w:r>
      <w:r>
        <w:t xml:space="preserve"> </w:t>
      </w:r>
      <w:r>
        <w:t xml:space="preserve">(United States Department of Transportation National Highway Traffic Safety Administration, 2024)</w:t>
      </w:r>
      <w:r>
        <w:t xml:space="preserve">.</w:t>
      </w:r>
    </w:p>
    <w:p>
      <w:pPr>
        <w:pStyle w:val="BodyText"/>
      </w:pPr>
      <w:r>
        <w:t xml:space="preserve">The economic cost of SUDs is substantial. In 2016 the economic cost associated with SUDs was estimated to exceed $442 billion in lost productivity, health care expenses, law enforcement, and other criminal justice costs</w:t>
      </w:r>
      <w:r>
        <w:t xml:space="preserve"> </w:t>
      </w:r>
      <w:r>
        <w:t xml:space="preserve">(Substance Abuse and Mental Health Services Administration (US) &amp; Office of the Surgeon General (US), 2016)</w:t>
      </w:r>
      <w:r>
        <w:t xml:space="preserve">. When also accounting for costs associated with loss of life and reduced quality of life, one research group estimated that in 2017 the cost of opioid use disorder alone exceeded $1 trillion</w:t>
      </w:r>
      <w:r>
        <w:t xml:space="preserve"> </w:t>
      </w:r>
      <w:r>
        <w:t xml:space="preserve">(Florence et al., 2021)</w:t>
      </w:r>
      <w:r>
        <w:t xml:space="preserve">.</w:t>
      </w:r>
    </w:p>
    <w:p>
      <w:pPr>
        <w:pStyle w:val="BodyText"/>
      </w:pPr>
      <w:r>
        <w:t xml:space="preserve">SUDs are chronic, relapsing conditions</w:t>
      </w:r>
      <w:r>
        <w:t xml:space="preserve"> </w:t>
      </w:r>
      <w:r>
        <w:t xml:space="preserve">(McKay, 2021; McLellan et al., 2000)</w:t>
      </w:r>
      <w:r>
        <w:t xml:space="preserve">. Effective pharmacological and psychosocial interventions exist to support symptom stabilization and reduce substance use</w:t>
      </w:r>
      <w:r>
        <w:t xml:space="preserve"> </w:t>
      </w:r>
      <w:r>
        <w:t xml:space="preserve">(Bowen et al., 2021; Liese &amp; Beck, 2022; Marlatt &amp; Donovan, 2007)</w:t>
      </w:r>
      <w:r>
        <w:t xml:space="preserve">. Despite the availability of effective treatments, the majority of individuals with SUDs do not receive care. In 2023, less than 15% of individuals with an SUD received any form of treatment. This stands in stark contrast to treatment initiation rates for other chronic diseases</w:t>
      </w:r>
      <w:r>
        <w:t xml:space="preserve"> </w:t>
      </w:r>
      <w:r>
        <w:t xml:space="preserve">(Substance Abuse and Mental Health Services Administration, n.d.)</w:t>
      </w:r>
      <w:r>
        <w:t xml:space="preserve">.</w:t>
      </w:r>
    </w:p>
    <w:p>
      <w:pPr>
        <w:pStyle w:val="BodyText"/>
      </w:pPr>
      <w:r>
        <w:t xml:space="preserve">While low rates of treatment initiation represent a critical gap in the SUD care continuum, initiation alone is insufficient to achieve sustained recovery. Even among the minority who do initiate treatment, engagement is often brief and episodic. Lapses back to substance use and relapse (i.e., a full return to problematic use) are common, particularly in the absence of continued treatment engagement and recovery support. Importantly, relapse rates for SUDs are comparable to recurrence rates in other chronic conditions (e.g., type I diabetes, hypertension, asthma) when medication adherence and follow-up care are inconsistent. Thus, the recurrence of symptoms is not unique to SUDs but reflects the challenges of managing any chronic condition without adequate continuing care.</w:t>
      </w:r>
    </w:p>
    <w:p>
      <w:pPr>
        <w:pStyle w:val="BodyText"/>
      </w:pPr>
      <w:r>
        <w:t xml:space="preserve">Moreover, SUDs do not have a single set of putative precursors to relapse. Relapse risk factors differ across individuals and within individuals over time. They include intrapersonal factors, such as self‑efficacy (i.e., confidence in one’s ability to maintain abstinence), craving, motivation, emotional states, and coping‑related or substance‑use behaviors</w:t>
      </w:r>
      <w:r>
        <w:t xml:space="preserve"> </w:t>
      </w:r>
      <w:r>
        <w:t xml:space="preserve">(Marlatt &amp; Donovan, 2007; K. A. Witkiewitz &amp; Marlatt, 2007; K. Witkiewitz &amp; Marlatt, 2004)</w:t>
      </w:r>
      <w:r>
        <w:t xml:space="preserve">, that interact with one another and with relational and environmental situations to influence lapse risk</w:t>
      </w:r>
      <w:r>
        <w:t xml:space="preserve"> </w:t>
      </w:r>
      <w:r>
        <w:t xml:space="preserve">(Stanton, 2005; K. Witkiewitz &amp; Marlatt, 2004)</w:t>
      </w:r>
      <w:r>
        <w:t xml:space="preserve">. For a simple example, cravings are typically short-lived urges. Individuals in recovery-supportive environments may be able to ride out these cravings successfully. However, in unsupportive environments (e.g., locations with easily available alcohol or exposure to other substance-related cues), the likelihood of lapse increases. Given the complex, interactive, and time-varying nature of lapse risk, self-monitoring is difficult.</w:t>
      </w:r>
    </w:p>
    <w:p>
      <w:pPr>
        <w:pStyle w:val="BodyText"/>
      </w:pPr>
      <w:r>
        <w:t xml:space="preserve">These patterns highlight the important role of continuing care, including ongoing monitoring and support and timely re‑intervention with more intensive treatment when necessary, following an initial treatment episode (e.g., 12 weeks of intensive outpatient treatment, early stabilization on medications for opioid use disorder). However, structural limitations within the current treatment system undermine the delivery of such care. Stigma surrounding SUD and historical views of substance use as a social or behavioral problem have contributed to the siloing of SUD treatment in specialized, community‑based settings disconnected from primary care. Additional factors including cost, lack of collaborative provider teams, passive referral processes, geographic barriers, patient dropout, and changing clinical needs further undermine continuity of care</w:t>
      </w:r>
      <w:r>
        <w:t xml:space="preserve"> </w:t>
      </w:r>
      <w:r>
        <w:t xml:space="preserve">(Dennis &amp; Scott, 2007; McKay, 2021; Stanojlović &amp; Davidson, 2021; Tai &amp; Volkow, 2013)</w:t>
      </w:r>
      <w:r>
        <w:t xml:space="preserve">. This results in a fragmented infrastructure with poor care coordination, missed opportunities for early intervention and re-engagement, and a</w:t>
      </w:r>
      <w:r>
        <w:t xml:space="preserve"> </w:t>
      </w:r>
      <w:r>
        <w:t xml:space="preserve">“revolving door”</w:t>
      </w:r>
      <w:r>
        <w:t xml:space="preserve"> </w:t>
      </w:r>
      <w:r>
        <w:t xml:space="preserve">pattern in which individuals cycle repeatedly through acute episodes of care as opposed to receiving long-term chronic disease management.</w:t>
      </w:r>
    </w:p>
    <w:bookmarkEnd w:id="10"/>
    <w:bookmarkStart w:id="11" w:name="Xeb805bf4d4c3f2e0a003af1ec77b73e92b4b2a3"/>
    <w:p>
      <w:pPr>
        <w:pStyle w:val="Heading2"/>
      </w:pPr>
      <w:r>
        <w:t xml:space="preserve">1.2 Disparities in SUD Treatment Access and Outcomes</w:t>
      </w:r>
    </w:p>
    <w:p>
      <w:pPr>
        <w:pStyle w:val="FirstParagraph"/>
      </w:pPr>
      <w:r>
        <w:t xml:space="preserve">Limitations of the current SUD treatment infrastructure are magnified for people with certain identities. Women, low income individuals, rural residents, and older adults may face unique barriers to treatment, including financial constraints, limited service availability, and mobility or transportation challenges. Marginalized groups, such as racial, ethnic, and sexual minorities may additionally experience minority stress, stigma, discrimination, and isolation leading to higher rates of SUD and poorer treatment outcomes.</w:t>
      </w:r>
    </w:p>
    <w:p>
      <w:pPr>
        <w:pStyle w:val="BodyText"/>
      </w:pPr>
      <w:r>
        <w:t xml:space="preserve">Black and Hispanic individuals are less likely to receive treatment and are more likely to experience negative consequences associated with SUDs</w:t>
      </w:r>
      <w:r>
        <w:t xml:space="preserve"> </w:t>
      </w:r>
      <w:r>
        <w:t xml:space="preserve">(Guerrero et al., 2013; Kilaru et al., 2020; Pinedo, 2019; Schmidt et al., 2007)</w:t>
      </w:r>
      <w:r>
        <w:t xml:space="preserve">. Among those who do receive treatment, dropout rates are higher compared to non-Hispanic White individuals</w:t>
      </w:r>
      <w:r>
        <w:t xml:space="preserve"> </w:t>
      </w:r>
      <w:r>
        <w:t xml:space="preserve">(Saloner &amp; Lê Cook, 2013)</w:t>
      </w:r>
      <w:r>
        <w:t xml:space="preserve">. Hispanic and non-White individuals are also more likely to face socioeconomic barriers, including unemployment and housing instability.</w:t>
      </w:r>
    </w:p>
    <w:p>
      <w:pPr>
        <w:pStyle w:val="BodyText"/>
      </w:pPr>
      <w:r>
        <w:t xml:space="preserve">Sexual minority populations experience disproportionately high rates of SUD compared to heterosexual populations</w:t>
      </w:r>
      <w:r>
        <w:t xml:space="preserve"> </w:t>
      </w:r>
      <w:r>
        <w:t xml:space="preserve">(Crane et al., 2020; Freitag et al., 2021)</w:t>
      </w:r>
      <w:r>
        <w:t xml:space="preserve">. Some research suggests that these elevated rates are related to depleted coping mechanisms resulting from chronic minority stress and enacted stigma (e.g., discrimination, biased treatment, microaggressions)</w:t>
      </w:r>
      <w:r>
        <w:t xml:space="preserve"> </w:t>
      </w:r>
      <w:r>
        <w:t xml:space="preserve">(Dyar et al., 2023; Krueger et al., 2020)</w:t>
      </w:r>
      <w:r>
        <w:t xml:space="preserve">. These disparities intensify when sexual orientation intersects with other identities such as race or gender</w:t>
      </w:r>
      <w:r>
        <w:t xml:space="preserve"> </w:t>
      </w:r>
      <w:r>
        <w:t xml:space="preserve">(Freitag et al., 2021; Kerridge et al., 2017)</w:t>
      </w:r>
      <w:r>
        <w:t xml:space="preserve">.</w:t>
      </w:r>
    </w:p>
    <w:p>
      <w:pPr>
        <w:pStyle w:val="BodyText"/>
      </w:pPr>
      <w:r>
        <w:t xml:space="preserve">Women are less likely than men to enter treatment</w:t>
      </w:r>
      <w:r>
        <w:t xml:space="preserve"> </w:t>
      </w:r>
      <w:r>
        <w:t xml:space="preserve">(Greenfield et al., 2007; Kilaru et al., 2020)</w:t>
      </w:r>
      <w:r>
        <w:t xml:space="preserve"> </w:t>
      </w:r>
      <w:r>
        <w:t xml:space="preserve">and more frequently experience barriers related to unemployment, financial dependence, psychiatric comorbidities, and childcare responsibilities. Women who are pregnant or have children often report avoiding treatment because they fear losing custody or having their baby removed</w:t>
      </w:r>
      <w:r>
        <w:t xml:space="preserve"> </w:t>
      </w:r>
      <w:r>
        <w:t xml:space="preserve">(Greenfield et al., 2007; Parlier-Ahmad et al., 2021)</w:t>
      </w:r>
      <w:r>
        <w:t xml:space="preserve">. Women are also more vulnerable to adverse health and social consequences of SUDs</w:t>
      </w:r>
      <w:r>
        <w:t xml:space="preserve"> </w:t>
      </w:r>
      <w:r>
        <w:t xml:space="preserve">(McHugh et al., 2018)</w:t>
      </w:r>
      <w:r>
        <w:t xml:space="preserve">. They typically show an accelerated progression from onset of use to treatment entry and develop severe symptoms over fewer years compared to men</w:t>
      </w:r>
      <w:r>
        <w:t xml:space="preserve"> </w:t>
      </w:r>
      <w:r>
        <w:t xml:space="preserve">(Campbell et al., 2018)</w:t>
      </w:r>
      <w:r>
        <w:t xml:space="preserve">.</w:t>
      </w:r>
    </w:p>
    <w:p>
      <w:pPr>
        <w:pStyle w:val="BodyText"/>
      </w:pPr>
      <w:r>
        <w:t xml:space="preserve">Low-income individuals face heightened risk for developing SUD and greater challenges accessing treatment. Prior to the 2014 Affordable Care Act, financial barriers prevented many low-income individuals from accessing SUD treatment. The Affordable Care Act expanded Medicaid eligibility to include nearly all low-income individuals, broadening access to government-funded SUD treatment services. This expansion has also been shown to reduce racial and ethnic disparities in access to care, as minorities are disproportionately represented among low-income populations</w:t>
      </w:r>
      <w:r>
        <w:t xml:space="preserve"> </w:t>
      </w:r>
      <w:r>
        <w:t xml:space="preserve">(Cook &amp; Alegría, 2011)</w:t>
      </w:r>
      <w:r>
        <w:t xml:space="preserve">. Nevertheless, low income remains associated with higher rates of SUD, more severe SUD, and co-occurence with socioenvironmental risk factors that can interfere with treatment and recovery</w:t>
      </w:r>
      <w:r>
        <w:t xml:space="preserve"> </w:t>
      </w:r>
      <w:r>
        <w:t xml:space="preserve">(Grant et al., 2015)</w:t>
      </w:r>
      <w:r>
        <w:t xml:space="preserve">.</w:t>
      </w:r>
    </w:p>
    <w:p>
      <w:pPr>
        <w:pStyle w:val="BodyText"/>
      </w:pPr>
      <w:r>
        <w:t xml:space="preserve">Rural areas have higher SUD prevalence yet fewer treatment clinics and providers</w:t>
      </w:r>
      <w:r>
        <w:t xml:space="preserve"> </w:t>
      </w:r>
      <w:r>
        <w:t xml:space="preserve">(Lister et al., 2020)</w:t>
      </w:r>
      <w:r>
        <w:t xml:space="preserve">. This imbalance results in a disproportionate SUD burden for rural residents, including elevated opioid overdose rates and treatment waitlists that may last months to years</w:t>
      </w:r>
      <w:r>
        <w:t xml:space="preserve"> </w:t>
      </w:r>
      <w:r>
        <w:t xml:space="preserve">(Sigmon, 2014)</w:t>
      </w:r>
      <w:r>
        <w:t xml:space="preserve">. For individuals who do get treatment, services are often not near by. The time and financial costs associated with travel contribute to missed appointments and early treatment dropout. This is especially true for individuals receiving medication for OUD, who often must attend daily clinic visits for observed dosing. Stigma surrounding SUD treatment may also be higher in small rural communities where services are more visible and harder to access discreetly</w:t>
      </w:r>
      <w:r>
        <w:t xml:space="preserve"> </w:t>
      </w:r>
      <w:r>
        <w:t xml:space="preserve">(Wood et al., 2019)</w:t>
      </w:r>
      <w:r>
        <w:t xml:space="preserve">.</w:t>
      </w:r>
    </w:p>
    <w:p>
      <w:pPr>
        <w:pStyle w:val="BodyText"/>
      </w:pPr>
      <w:r>
        <w:t xml:space="preserve">Older adults (65+) are less likely to receive SUD treatment or perceive a need for treatment compared to younger age groups</w:t>
      </w:r>
      <w:r>
        <w:t xml:space="preserve"> </w:t>
      </w:r>
      <w:r>
        <w:t xml:space="preserve">(Choi et al., 2014; Kilaru et al., 2020)</w:t>
      </w:r>
      <w:r>
        <w:t xml:space="preserve">. They are also more likely to experience complicating factors such as medical comorbidities, chronic pain and heightened sensitivity to medication interactions and side effects</w:t>
      </w:r>
      <w:r>
        <w:t xml:space="preserve"> </w:t>
      </w:r>
      <w:r>
        <w:t xml:space="preserve">(Kuerbis et al., 2014)</w:t>
      </w:r>
      <w:r>
        <w:t xml:space="preserve">. Additionally, factors such as being divorced or widowed, retired, or having fewer social activities may reduce opportunities for family or friends to notice harmful substance use. Doctors and clinicians may also attribute SUD symptoms to other health or age-related issues.</w:t>
      </w:r>
    </w:p>
    <w:bookmarkEnd w:id="11"/>
    <w:bookmarkStart w:id="12" w:name="recovery-monitoring-and-support-system"/>
    <w:p>
      <w:pPr>
        <w:pStyle w:val="Heading2"/>
      </w:pPr>
      <w:r>
        <w:t xml:space="preserve">1.3 Recovery Monitoring and Support System</w:t>
      </w:r>
    </w:p>
    <w:p>
      <w:pPr>
        <w:pStyle w:val="FirstParagraph"/>
      </w:pPr>
      <w:r>
        <w:t xml:space="preserve">An algorithm‑guided recovery monitoring and support system could address the substantial unmet need for continuing care following initial SUD treatment. The system could deliver personalized, adaptive feedback about lapse risk and suggest risk-relevant recovery activities aligned with evidence‑based care. For example, individuals might receive daily messages on changes in their lapse risk along with tailored recommendations informed by the most important features contributing to that risk. Thus, such a system would help individuals monitor their current and future risk of lapse and proactively adjust their activities and supports to meet their recovery goals following symptom stabilization, a period during which individuals remain vulnerable to relapse and treatment intensity often decreases.</w:t>
      </w:r>
    </w:p>
    <w:p>
      <w:pPr>
        <w:pStyle w:val="BodyText"/>
      </w:pPr>
      <w:r>
        <w:t xml:space="preserve">A recovery monitoring and support system is well positioned to address several pervasive barriers to continuing care. The system could identify the most important risk-relevant feature for a specific individual at a specific moment, thus guiding the individual to engage in a recovery activity that would yield the maximum clinical benefit. Importantly, model outputs could be updated daily to ensure recommendations evolve with changes in clinical needs over time. Because the system is automated, it could be implemented at relatively low‑cost and high scalability compared to clinician-led continuing care. Stigma‑related barriers may be reduced through delivery via a smartphone app that individuals can choose to use privately (e.g., without the awareness of family members or medical providers). Similarly, individuals living in geographically underserved areas or experiencing mobility constraints could independently monitor their risk.</w:t>
      </w:r>
    </w:p>
    <w:p>
      <w:pPr>
        <w:pStyle w:val="BodyText"/>
      </w:pPr>
      <w:r>
        <w:t xml:space="preserve">And in a not so distant future, many additional barriers that undermine the delivery and coordination of SUD continuing care, including passive handoffs, patient dropout, and delays in care coordination, could be further addressed by embedding predictive models within an AI‑enabled agentic support system capable of planning and action. For example, if an individual received feedback that they were at high risk of lapsing for several days and then disengaged from the system, an AI agent could proactively initiate outreach and facilitate connection to higher‑intensity services, such as scheduling an appointment with an in‑network provider for further assessment.</w:t>
      </w:r>
    </w:p>
    <w:p>
      <w:pPr>
        <w:pStyle w:val="BodyText"/>
      </w:pPr>
      <w:r>
        <w:t xml:space="preserve">For these types of systems to exist, at least three pre-requisites must be met. One, the system must be able to collect a rich and densely sampled source (or sources) of risk-relevant data. Two, the system must have access to a model that can predict substance use with high performance and temporal precision and have interpretable model inputs for support recommendations to be mapped onto. Three, the model must perform fairly. The accuracy of the predictions and usefulness and relevance of the recommendations should be similar for everyone. Advances in both smartphone sensing</w:t>
      </w:r>
      <w:r>
        <w:t xml:space="preserve"> </w:t>
      </w:r>
      <w:r>
        <w:t xml:space="preserve">(Mohr et al., 2017)</w:t>
      </w:r>
      <w:r>
        <w:t xml:space="preserve"> </w:t>
      </w:r>
      <w:r>
        <w:t xml:space="preserve">and machine learning</w:t>
      </w:r>
      <w:r>
        <w:t xml:space="preserve"> </w:t>
      </w:r>
      <w:r>
        <w:t xml:space="preserve">(Hastie et al., 2009)</w:t>
      </w:r>
      <w:r>
        <w:t xml:space="preserve"> </w:t>
      </w:r>
      <w:r>
        <w:t xml:space="preserve">now make this possible.</w:t>
      </w:r>
    </w:p>
    <w:p>
      <w:pPr>
        <w:pStyle w:val="BodyText"/>
      </w:pPr>
      <w:r>
        <w:t xml:space="preserve">Smartphone sensing approaches (e.g., ecological momentary assessment [EMA], geolocation sensing) can provide the frequent, longitudinal measurement of proximal risk factors that is necessary for prediction of future lapses with high temporal precision. Individuals with substance use disorders have demonstrated a willingness to provide EMA over extended periods of time with adequate adherence</w:t>
      </w:r>
      <w:r>
        <w:t xml:space="preserve"> </w:t>
      </w:r>
      <w:r>
        <w:t xml:space="preserve">(Alexander et al., 2023; Jones et al., 2019; Wyant et al., 2023)</w:t>
      </w:r>
      <w:r>
        <w:t xml:space="preserve">. Individuals with alcohol use disorder who provided geolocation data for up to three months reported generally finding this sensing method acceptable and being willing to provide the data for up to a year</w:t>
      </w:r>
      <w:r>
        <w:t xml:space="preserve"> </w:t>
      </w:r>
      <w:r>
        <w:t xml:space="preserve">(Wyant et al., 2023)</w:t>
      </w:r>
      <w:r>
        <w:t xml:space="preserve">. Moreover, the proliferation of smartphone usage in recent years makes smartphone sensing a potentially scalable and equitable method for improving lapse risk monitoring. As of 2025, roughly 91% of Americans own a smartphone and smartphone ownership is consistently high (&gt;= 85%) across gender, race and ethnicity, socioeconomic status, and geographic location</w:t>
      </w:r>
      <w:r>
        <w:t xml:space="preserve"> </w:t>
      </w:r>
      <w:r>
        <w:t xml:space="preserve">(Pew Research Center, 2025)</w:t>
      </w:r>
      <w:r>
        <w:t xml:space="preserve">.</w:t>
      </w:r>
    </w:p>
    <w:p>
      <w:pPr>
        <w:pStyle w:val="BodyText"/>
      </w:pPr>
      <w:r>
        <w:t xml:space="preserve">Machine learning models can handle the high dimensional feature sets that may result from feature engineering densely sampled sensing data over time. They can also accommodate non-linear and interactive relationships between features and lapse probability. And methods from interpretable machine learning can be used to understand which risk features contribute most strongly to a lapse prediction for a specific individual at a specific moment in time. Studies have begun to demonstrate how sensing features can be used to predict substance use with high accuracy</w:t>
      </w:r>
      <w:r>
        <w:t xml:space="preserve"> </w:t>
      </w:r>
      <w:r>
        <w:t xml:space="preserve">(S. W. Bae et al., 2023; S. Bae et al., 2018; Heinz et al., 2025; Soyster et al., 2022; Walters et al., 2021)</w:t>
      </w:r>
      <w:r>
        <w:t xml:space="preserve">. While these studies are promising, they are limited in their generalizability to a recovery monitoring and support system. First, the majority of these studies predict substance use episodes in non-treatment seeking populations</w:t>
      </w:r>
      <w:r>
        <w:t xml:space="preserve"> </w:t>
      </w:r>
      <w:r>
        <w:t xml:space="preserve">(S. W. Bae et al., 2023; S. Bae et al., 2018; Soyster et al., 2022; Walters et al., 2021)</w:t>
      </w:r>
      <w:r>
        <w:t xml:space="preserve">. The precursors to goal-inconsistent substance use (i.e., lapses) in populations with substance use disorder may vastly differ from planned or intentional substance use episodes. Second, none of these studies explicitly assessed the fairness of the machine learning models. An automated recovery monitoring and support system offers opportunity for mitigating many of the accessibility, affordability, and stigma barriers that contribute to treatment disparities. However, algorithms that perform favorably for only a single majority group could widen existing disparities in access to resources and important clinical outcomes</w:t>
      </w:r>
      <w:r>
        <w:t xml:space="preserve"> </w:t>
      </w:r>
      <w:r>
        <w:t xml:space="preserve">(Timmons et al., 2023)</w:t>
      </w:r>
      <w:r>
        <w:t xml:space="preserve">.</w:t>
      </w:r>
    </w:p>
    <w:bookmarkEnd w:id="12"/>
    <w:bookmarkStart w:id="13" w:name="specific-aims"/>
    <w:p>
      <w:pPr>
        <w:pStyle w:val="Heading2"/>
      </w:pPr>
      <w:r>
        <w:t xml:space="preserve">1.4 Specific Aims</w:t>
      </w:r>
    </w:p>
    <w:p>
      <w:pPr>
        <w:pStyle w:val="FirstParagraph"/>
      </w:pPr>
      <w:r>
        <w:t xml:space="preserve">This dissertation presents a series of studies aimed at improving continuing care following treatment initiation by demonstrating the feasibility of building an automated recovery monitoring and support system. Across three studies, we address key prerequisites for such a system, including assessing potential sensing methods for their ability to predict lapse with varying levels of temporal precision and evaluating the interpretability and fairness of model outputs.</w:t>
      </w:r>
    </w:p>
    <w:p>
      <w:pPr>
        <w:pStyle w:val="BodyText"/>
      </w:pPr>
      <w:r>
        <w:t xml:space="preserve">We used two clinical samples of individuals in early recovery from alcohol (Studies 1–2) and opioid use (Study 3) disorders with stated goals of abstinence. In Study 1 (Chapter 2), we focused on developing temporally precise prediction models by building three models that estimate hour‑by‑hour probabilities of a lapse back to alcohol use, predicting lapses in the next week, next day, and next hour. Model features were engineered from raw scores and longitudinal changes in responses to 4X daily EMA surveys. To support translation into recovery recommendations, we used Shapley values to interpret how specific EMA features influenced lapse probability both at the population level and for individual predictions.</w:t>
      </w:r>
    </w:p>
    <w:p>
      <w:pPr>
        <w:pStyle w:val="BodyText"/>
      </w:pPr>
      <w:r>
        <w:t xml:space="preserve">In Study 2 (Chapter 3), we extended this work by demonstrating how the same EMA data could be used to predict alcohol lapses within a 24‑hour window occurring up to two weeks into the future. By varying the lag between the prediction time point and the start of the prediction window (1 day, 3 days, 1 week, and 2 weeks), this study evaluated whether lapse risk could be detected with sufficient advance warning to support proactive, preventive interventions. Study 2 also addressed a critical prerequisite for deployment by evaluating model fairness by comparing predictive performance across subgroups with known disparities in treatment access and outcomes.</w:t>
      </w:r>
    </w:p>
    <w:p>
      <w:pPr>
        <w:pStyle w:val="BodyText"/>
      </w:pPr>
      <w:r>
        <w:t xml:space="preserve">In Study 3 (Chapter 4), we extended lapse prediction to opioid use disorder, allowing us to examine whether lapse prediction models generalize beyond alcohol to substances where use is illegal and lapses may be under reported. Participants in this dataset were recruited nationally across the United States and included greater diversity in race/ethnicity, income, and geographic location, enabling evaluation of model fairness across a broader set of demographic groups. Model features were derived from both 1X daily surveys and geolocation sensing, capturing self‑reported risk factors alongside behavioral indicators such as time spent in high‑risk locations and disruptions in routine. We also explored alternative approaches to identifying important predictors of lapse risk to more explicitly demonstrate how recovery recommendations can be tailored to a specific person at a specific moment in time.</w:t>
      </w:r>
    </w:p>
    <w:bookmarkEnd w:id="13"/>
    <w:bookmarkEnd w:id="14"/>
    <w:bookmarkStart w:id="72" w:name="X19d88964df8049fca0e1b90b33796fd673ad16c"/>
    <w:p>
      <w:pPr>
        <w:pStyle w:val="Heading1"/>
      </w:pPr>
      <w:r>
        <w:t xml:space="preserve">2. Machine learning models for temporally precise lapse prediction in alcohol use disorder</w:t>
      </w:r>
    </w:p>
    <w:bookmarkStart w:id="18" w:name="introduction-1"/>
    <w:p>
      <w:pPr>
        <w:pStyle w:val="Heading2"/>
      </w:pPr>
      <w:r>
        <w:t xml:space="preserve">2.1 Introduction</w:t>
      </w:r>
    </w:p>
    <w:p>
      <w:pPr>
        <w:pStyle w:val="FirstParagraph"/>
      </w:pPr>
      <w:r>
        <w:t xml:space="preserve">Over 30 million adults in the United States (US) had an active alcohol use disorder (AUD) in 2021, and 23.3% reported engaging in past-month binge drinking</w:t>
      </w:r>
      <w:r>
        <w:t xml:space="preserve"> </w:t>
      </w:r>
      <w:r>
        <w:t xml:space="preserve">(SAMHSA Center for Behavioral Health Statistics and Quality, 2021)</w:t>
      </w:r>
      <w:r>
        <w:t xml:space="preserve">. Alcohol ranks as the third leading preventable cause of death in the US, accounting for approximately 140,000 fatalities</w:t>
      </w:r>
      <w:r>
        <w:t xml:space="preserve"> </w:t>
      </w:r>
      <w:r>
        <w:t xml:space="preserve">(Centers for Disease Control and Prevention (CDC), n.d.)</w:t>
      </w:r>
      <w:r>
        <w:t xml:space="preserve"> </w:t>
      </w:r>
      <w:r>
        <w:t xml:space="preserve">and economic costs that exceed $249 billion annually</w:t>
      </w:r>
      <w:r>
        <w:t xml:space="preserve"> </w:t>
      </w:r>
      <w:r>
        <w:t xml:space="preserve">(Substance Abuse and Mental Health Services Administration (US) &amp; Office of the Surgeon General (US), 2016)</w:t>
      </w:r>
      <w:r>
        <w:t xml:space="preserve">.</w:t>
      </w:r>
    </w:p>
    <w:p>
      <w:pPr>
        <w:pStyle w:val="BodyText"/>
      </w:pPr>
      <w:r>
        <w:t xml:space="preserve">Existing clinician-delivered treatments for AUD that were derived from Marlatt’s relapse prevention model</w:t>
      </w:r>
      <w:r>
        <w:t xml:space="preserve"> </w:t>
      </w:r>
      <w:r>
        <w:t xml:space="preserve">(Marlatt &amp; Gordon, 1985)</w:t>
      </w:r>
      <w:r>
        <w:t xml:space="preserve"> </w:t>
      </w:r>
      <w:r>
        <w:t xml:space="preserve">are effective when delivered (e.g., cognitive-behavioral therapy, mindfulness-based relapse prevention</w:t>
      </w:r>
      <w:r>
        <w:t xml:space="preserve"> </w:t>
      </w:r>
      <w:r>
        <w:t xml:space="preserve">(Bowen et al., 2014)</w:t>
      </w:r>
      <w:r>
        <w:t xml:space="preserve">). Unfortunately, fewer than 1 in 20 adults with an active AUD receive any treatment</w:t>
      </w:r>
      <w:r>
        <w:t xml:space="preserve"> </w:t>
      </w:r>
      <w:r>
        <w:t xml:space="preserve">(SAMHSA Center for Behavioral Health Statistics and Quality, 2021)</w:t>
      </w:r>
      <w:r>
        <w:t xml:space="preserve">. Even more concerning, failure to access treatment is associated with demographic factors including race, ethnicity, geographic region, and socioeconomic status, which further increase mental health disparities</w:t>
      </w:r>
      <w:r>
        <w:t xml:space="preserve"> </w:t>
      </w:r>
      <w:r>
        <w:t xml:space="preserve">(Office of the Surgeon General (US) et al., 2001)</w:t>
      </w:r>
      <w:r>
        <w:t xml:space="preserve">. This treatment gap and associated disparities stem from well-known barriers to receiving clinician-delivered mental healthcare related to affordability, accessibility, availability, and acceptability</w:t>
      </w:r>
      <w:r>
        <w:t xml:space="preserve"> </w:t>
      </w:r>
      <w:r>
        <w:t xml:space="preserve">(Jacobson et al., 2022)</w:t>
      </w:r>
      <w:r>
        <w:t xml:space="preserve">.</w:t>
      </w:r>
    </w:p>
    <w:p>
      <w:pPr>
        <w:pStyle w:val="BodyText"/>
      </w:pPr>
      <w:r>
        <w:t xml:space="preserve">Digital therapeutics may help to overcome these barriers associated with in-person, clinician-delivered treatments. Digital therapeutics provide evidence-based interventions and other supports via smartphones to prevent, treat, or manage a medical disorder, either independently or in conjunction with traditional treatments</w:t>
      </w:r>
      <w:r>
        <w:t xml:space="preserve"> </w:t>
      </w:r>
      <w:r>
        <w:t xml:space="preserve">(Jacobson et al., 2022)</w:t>
      </w:r>
      <w:r>
        <w:t xml:space="preserve">. They offer highly scalable, on-demand therapeutic support that is accessible whenever and wherever it is needed most. Several large, randomized controlled trials have confirmed that digital therapeutics for AUD improve clinical outcomes</w:t>
      </w:r>
      <w:r>
        <w:t xml:space="preserve"> </w:t>
      </w:r>
      <w:r>
        <w:t xml:space="preserve">(Campbell et al., 2014; Gustafson et al., 2014; Jacobson et al., 2022)</w:t>
      </w:r>
      <w:r>
        <w:t xml:space="preserve">. Additionally, US adults (including patients with AUD</w:t>
      </w:r>
      <w:r>
        <w:t xml:space="preserve"> </w:t>
      </w:r>
      <w:r>
        <w:t xml:space="preserve">(Wyant et al., 2023)</w:t>
      </w:r>
      <w:r>
        <w:t xml:space="preserve">) display high rates of smartphone ownership (over 85% in 2021), with minimal variation across race, ethnicity, socioeconomic status, and geographic settings. Therefore, digital therapeutics may not only mitigate in-person treatment barriers but also combat associated disparities</w:t>
      </w:r>
      <w:r>
        <w:t xml:space="preserve"> </w:t>
      </w:r>
      <w:r>
        <w:t xml:space="preserve">(Jacobson et al., 2022)</w:t>
      </w:r>
      <w:r>
        <w:t xml:space="preserve">.</w:t>
      </w:r>
    </w:p>
    <w:bookmarkStart w:id="15" w:name="X195f6f72b65663264aff2455ba4bda294c08020"/>
    <w:p>
      <w:pPr>
        <w:pStyle w:val="Heading3"/>
      </w:pPr>
      <w:r>
        <w:t xml:space="preserve">2.1.1 Improving Digital Therapeutics via Personal Sensing</w:t>
      </w:r>
    </w:p>
    <w:p>
      <w:pPr>
        <w:pStyle w:val="FirstParagraph"/>
      </w:pPr>
      <w:r>
        <w:t xml:space="preserve">Despite the documented benefits of digital therapeutics, their full potential has not yet been realized. Patients often don’t engage with digital therapeutics as developers intended, and long-term engagement may not be sustained or matched to patients’ needs</w:t>
      </w:r>
      <w:r>
        <w:t xml:space="preserve"> </w:t>
      </w:r>
      <w:r>
        <w:t xml:space="preserve">(Hatch et al., 2018; Jacobson et al., 2022)</w:t>
      </w:r>
      <w:r>
        <w:t xml:space="preserve">. The substantial benefits of digital therapeutics come from easy, 24/7 access to their intervention and other support modules. However, the burden falls primarily on the patient to identify the most appropriate modules for them in that specific moment during their recovery.</w:t>
      </w:r>
    </w:p>
    <w:p>
      <w:pPr>
        <w:pStyle w:val="BodyText"/>
      </w:pPr>
      <w:r>
        <w:t xml:space="preserve">This difficulty is magnified by the dynamic, chronic, and relapsing nature of AUD</w:t>
      </w:r>
      <w:r>
        <w:t xml:space="preserve"> </w:t>
      </w:r>
      <w:r>
        <w:t xml:space="preserve">(Brandon et al., 2007)</w:t>
      </w:r>
      <w:r>
        <w:t xml:space="preserve">. Numerous risk and protective factors interact in complex, non-linear ways to influence the probability, timing, and severity of relapse (i.e., a goal-inconsistent return to frequent, harmful alcohol use)</w:t>
      </w:r>
      <w:r>
        <w:t xml:space="preserve"> </w:t>
      </w:r>
      <w:r>
        <w:t xml:space="preserve">(K. Witkiewitz &amp; Marlatt, 2007)</w:t>
      </w:r>
      <w:r>
        <w:t xml:space="preserve">. Factors such as urges, mood, lifestyle imbalances, self-efficacy, and motivation can all vary over time. Social networks may evolve to become more protective or risky, and high-risk situations can arise unexpectedly. Consequently, both relapse risk and the factors driving that risk fluctuate over time.</w:t>
      </w:r>
    </w:p>
    <w:p>
      <w:pPr>
        <w:pStyle w:val="BodyText"/>
      </w:pPr>
      <w:r>
        <w:t xml:space="preserve">Successful, continuous monitoring of risk for relapse and its contributing factors would enable patients to adapt their lifestyle, behaviors, and supports to their changing needs. Successful monitoring could also direct patients to engage with the most appropriate digital therapeutic modules, addressing the unique risks present at any given moment throughout their recovery. Such continuous monitoring is now feasible via personal sensing (i.e., in-situ data collection via sensors embedded in individuals’ daily lives)</w:t>
      </w:r>
      <w:r>
        <w:t xml:space="preserve"> </w:t>
      </w:r>
      <w:r>
        <w:t xml:space="preserve">(S. Bae et al., 2018; Chih et al., 2014; Epstein et al., 2020; Moshontz et al., 2021; Soyster et al., 2022; Wyant et al., 2023)</w:t>
      </w:r>
      <w:r>
        <w:t xml:space="preserve">.</w:t>
      </w:r>
    </w:p>
    <w:p>
      <w:pPr>
        <w:pStyle w:val="BodyText"/>
      </w:pPr>
      <w:r>
        <w:t xml:space="preserve">The current study focuses explicitly on using ecological momentary assessment (EMA) for monitoring risk of return to alcohol use. EMA can be easily implemented with only a smartphone. Moreover, comparable item responses can be collected consistently across different hardware and operating systems. Thus, EMA can be incorporated essentially identically into any existing or future smartphone-based digital therapeutic. EMA, like other personal sensing methods, can support the frequent, in-situ, longitudinal measurement necessary for monitoring fluctuating relapse risk. Long-term monitoring with EMA has been well-tolerated by individuals with AUD</w:t>
      </w:r>
      <w:r>
        <w:t xml:space="preserve"> </w:t>
      </w:r>
      <w:r>
        <w:t xml:space="preserve">(Wyant et al., 2023)</w:t>
      </w:r>
      <w:r>
        <w:t xml:space="preserve">. Additionally, previous research has validated the use of EMA to measure known risk and protective factors for relapse, including craving</w:t>
      </w:r>
      <w:r>
        <w:t xml:space="preserve"> </w:t>
      </w:r>
      <w:r>
        <w:t xml:space="preserve">(Dulin &amp; Gonzalez, 2017)</w:t>
      </w:r>
      <w:r>
        <w:t xml:space="preserve">, mood</w:t>
      </w:r>
      <w:r>
        <w:t xml:space="preserve"> </w:t>
      </w:r>
      <w:r>
        <w:t xml:space="preserve">(Russell et al., 2020)</w:t>
      </w:r>
      <w:r>
        <w:t xml:space="preserve">, stressors, positive life events</w:t>
      </w:r>
      <w:r>
        <w:t xml:space="preserve"> </w:t>
      </w:r>
      <w:r>
        <w:t xml:space="preserve">(Dvorak et al., 2018)</w:t>
      </w:r>
      <w:r>
        <w:t xml:space="preserve">, and motivation/efficacy</w:t>
      </w:r>
      <w:r>
        <w:t xml:space="preserve"> </w:t>
      </w:r>
      <w:r>
        <w:t xml:space="preserve">(Dvorak et al., 2014)</w:t>
      </w:r>
      <w:r>
        <w:t xml:space="preserve">. EMA offers privileged access into these and other subjective factors that may be difficult to quantify reliably through other sensing methods.</w:t>
      </w:r>
    </w:p>
    <w:bookmarkEnd w:id="15"/>
    <w:bookmarkStart w:id="16" w:name="promising-preliminary-research"/>
    <w:p>
      <w:pPr>
        <w:pStyle w:val="Heading3"/>
      </w:pPr>
      <w:r>
        <w:t xml:space="preserve">2.1.2 Promising Preliminary Research</w:t>
      </w:r>
    </w:p>
    <w:p>
      <w:pPr>
        <w:pStyle w:val="FirstParagraph"/>
      </w:pPr>
      <w:r>
        <w:t xml:space="preserve">Preliminary research is now emerging that uses EMA responses as features in machine learning models to predict the probability of future alcohol use</w:t>
      </w:r>
      <w:r>
        <w:t xml:space="preserve"> </w:t>
      </w:r>
      <w:r>
        <w:t xml:space="preserve">(S. Bae et al., 2018; Chih et al., 2014; Soyster et al., 2022; Walters et al., 2021)</w:t>
      </w:r>
      <w:r>
        <w:t xml:space="preserve">. This research is important because it rigorously required strict temporal ordering necessary for true prediction, with features measured before alcohol use outcomes. It also used resampling methods (e.g., cross-validation) that prioritize model generalizability to increase the likelihood these models will perform well with new people.</w:t>
      </w:r>
    </w:p>
    <w:p>
      <w:pPr>
        <w:pStyle w:val="BodyText"/>
      </w:pPr>
      <w:r>
        <w:t xml:space="preserve">Despite this initial promise, several important limitations exist. Some prediction models have been trained using convenience samples (e.g., college students)</w:t>
      </w:r>
      <w:r>
        <w:t xml:space="preserve"> </w:t>
      </w:r>
      <w:r>
        <w:t xml:space="preserve">(S. Bae et al., 2018; Soyster et al., 2022)</w:t>
      </w:r>
      <w:r>
        <w:t xml:space="preserve">. Other models have been developed to predict hazardous alcohol use in non-treatment-seeking populations</w:t>
      </w:r>
      <w:r>
        <w:t xml:space="preserve"> </w:t>
      </w:r>
      <w:r>
        <w:t xml:space="preserve">(Walters et al., 2021)</w:t>
      </w:r>
      <w:r>
        <w:t xml:space="preserve">. In both these instances, features that predict planned or otherwise intentional alcohol use among individuals not motivated to change their behavior may not generalize to people in AUD recovery. Moreover, individuals who have not yet begun to contemplate and/or commit to behavior change regarding their alcohol use are unlikely to use digital therapeutics designed for AUD recovery</w:t>
      </w:r>
      <w:r>
        <w:t xml:space="preserve"> </w:t>
      </w:r>
      <w:r>
        <w:t xml:space="preserve">(Prochaska et al., 1992)</w:t>
      </w:r>
      <w:r>
        <w:t xml:space="preserve">.</w:t>
      </w:r>
    </w:p>
    <w:p>
      <w:pPr>
        <w:pStyle w:val="BodyText"/>
      </w:pPr>
      <w:r>
        <w:t xml:space="preserve">A handful of other models have been trained to predict putative precursors of substance use, such as craving</w:t>
      </w:r>
      <w:r>
        <w:t xml:space="preserve"> </w:t>
      </w:r>
      <w:r>
        <w:t xml:space="preserve">(Burgess-Hull et al., 2022; Dumortier et al., 2016)</w:t>
      </w:r>
      <w:r>
        <w:t xml:space="preserve"> </w:t>
      </w:r>
      <w:r>
        <w:t xml:space="preserve">and stress</w:t>
      </w:r>
      <w:r>
        <w:t xml:space="preserve"> </w:t>
      </w:r>
      <w:r>
        <w:t xml:space="preserve">(Epstein et al., 2020)</w:t>
      </w:r>
      <w:r>
        <w:t xml:space="preserve">. Although craving and stress may be associated with substance use, their relationships with relapse are complex, inconsistent, and not always very strong</w:t>
      </w:r>
      <w:r>
        <w:t xml:space="preserve"> </w:t>
      </w:r>
      <w:r>
        <w:t xml:space="preserve">(Fronk et al., 2020; Sayette, 2016)</w:t>
      </w:r>
      <w:r>
        <w:t xml:space="preserve">. For these reasons, we believe that explicit substance use may be a better target for prediction.</w:t>
      </w:r>
    </w:p>
    <w:p>
      <w:pPr>
        <w:pStyle w:val="BodyText"/>
      </w:pPr>
      <w:r>
        <w:t xml:space="preserve">With respect to explicit substance use, we also argue that models that predict lapses (i.e., single instances of goal-inconsistent substance use) rather than relapse may be preferred. Lapses are clearly defined, observable, and have temporally precise onsets and offsets. Conversely, definitions of relapse vary widely</w:t>
      </w:r>
      <w:r>
        <w:t xml:space="preserve"> </w:t>
      </w:r>
      <w:r>
        <w:t xml:space="preserve">(K. Witkiewitz &amp; Marlatt, 2007)</w:t>
      </w:r>
      <w:r>
        <w:t xml:space="preserve">, and it is difficult to delineate precisely when relapse begins or ends. Lapses always precede relapse and therefore may serve as an early warning sign for intervention. Finally, maladaptive responses to a lapse (e.g., abstinence violation effects;</w:t>
      </w:r>
      <w:r>
        <w:t xml:space="preserve"> </w:t>
      </w:r>
      <w:r>
        <w:t xml:space="preserve">(Marlatt &amp; Gordon, 1985)</w:t>
      </w:r>
      <w:r>
        <w:t xml:space="preserve">) can undermine recovery by themselves, making lapses clinically meaningful events to detect and address.</w:t>
      </w:r>
    </w:p>
    <w:p>
      <w:pPr>
        <w:pStyle w:val="BodyText"/>
      </w:pPr>
      <w:r>
        <w:t xml:space="preserve">An early alcohol lapse prediction model developed by Gustafson and colleagues</w:t>
      </w:r>
      <w:r>
        <w:t xml:space="preserve"> </w:t>
      </w:r>
      <w:r>
        <w:t xml:space="preserve">(Chih et al., 2014)</w:t>
      </w:r>
      <w:r>
        <w:t xml:space="preserve"> </w:t>
      </w:r>
      <w:r>
        <w:t xml:space="preserve">provided the foundation on which our current project builds. Participants completed EMAs once per week for 8 months while using a digital therapeutic after discharge from an inpatient treatment program for AUD. These EMAs were used as features in a machine learning model to predict lapses. However, the temporal precision for both the features and outcome was coarse. Model predictions were updated only once per week at most, and lapse onsets could occur anytime within the next two weeks. This coarseness restricts the model from being used to implement</w:t>
      </w:r>
      <w:r>
        <w:t xml:space="preserve"> </w:t>
      </w:r>
      <w:r>
        <w:rPr>
          <w:i/>
          <w:iCs/>
        </w:rPr>
        <w:t xml:space="preserve">just-in-time</w:t>
      </w:r>
      <w:r>
        <w:t xml:space="preserve"> </w:t>
      </w:r>
      <w:r>
        <w:t xml:space="preserve">interventions (e.g., guided mindfulness or other stress reduction techniques, urge surfing) that are well-suited to digital therapeutics.</w:t>
      </w:r>
    </w:p>
    <w:bookmarkEnd w:id="16"/>
    <w:bookmarkStart w:id="17" w:name="the-current-study"/>
    <w:p>
      <w:pPr>
        <w:pStyle w:val="Heading3"/>
      </w:pPr>
      <w:r>
        <w:t xml:space="preserve">2.1.3 The Current Study</w:t>
      </w:r>
    </w:p>
    <w:p>
      <w:pPr>
        <w:pStyle w:val="FirstParagraph"/>
      </w:pPr>
      <w:r>
        <w:t xml:space="preserve">The current study addresses these limitations of previously developed prediction models. We trained our models using participants in early recovery from moderate to severe AUD who reported a goal of alcohol abstinence. We developed three separate models that provide hour-by-hour probabilities of a future lapse back to alcohol use with increasing temporal precision: lapses in the next week, next day, and next hour. Model features were engineered from raw scores and longitudinal change in responses to 4X daily EMAs. These features were derived to measure theoretically-implicated risk factors and contexts that have considerable support as predictors of lapses including past use, craving, past pleasant events, past and future risky situations, past and future stressful events, emotional valence and arousal, and self-efficacy</w:t>
      </w:r>
      <w:r>
        <w:t xml:space="preserve"> </w:t>
      </w:r>
      <w:r>
        <w:t xml:space="preserve">(for reviews, see Marlatt &amp; Gordon, 1985; Fronk et al., 2020; K. Witkiewitz &amp; Marlatt, 2007)</w:t>
      </w:r>
      <w:r>
        <w:t xml:space="preserve">.</w:t>
      </w:r>
    </w:p>
    <w:p>
      <w:pPr>
        <w:pStyle w:val="BodyText"/>
      </w:pPr>
      <w:r>
        <w:t xml:space="preserve">In this study, we characterize the performance of these three prediction models in held-out data (i.e., for observations from participants who were not used to train the models). We also evaluated the relative feature importance of key relapse prevention constructs in the models as part of the model validation process and to contribute to the relapse prevention literature. This research represents an important step toward the development of a</w:t>
      </w:r>
      <w:r>
        <w:t xml:space="preserve"> </w:t>
      </w:r>
      <w:r>
        <w:t xml:space="preserve">“smart”</w:t>
      </w:r>
      <w:r>
        <w:t xml:space="preserve"> </w:t>
      </w:r>
      <w:r>
        <w:t xml:space="preserve">(machine learning guided) sensing and prediction system that can be embedded within a digital therapeutic both to identify periods of peak lapse risk and to recommend specific supports to address factors contributing to this risk.</w:t>
      </w:r>
    </w:p>
    <w:bookmarkEnd w:id="17"/>
    <w:bookmarkEnd w:id="18"/>
    <w:bookmarkStart w:id="35" w:name="method"/>
    <w:p>
      <w:pPr>
        <w:pStyle w:val="Heading2"/>
      </w:pPr>
      <w:r>
        <w:t xml:space="preserve">2.2 Method</w:t>
      </w:r>
    </w:p>
    <w:bookmarkStart w:id="20" w:name="transparency-and-openness"/>
    <w:p>
      <w:pPr>
        <w:pStyle w:val="Heading3"/>
      </w:pPr>
      <w:r>
        <w:t xml:space="preserve">2.2.1 Transparency and Openness</w:t>
      </w:r>
    </w:p>
    <w:p>
      <w:pPr>
        <w:pStyle w:val="FirstParagraph"/>
      </w:pPr>
      <w:r>
        <w:t xml:space="preserve">We adhere to research transparency principles that are crucial for robust and replicable science. We reported how we determined the sample size, all data exclusions, all manipulations, and all study measures. Finally, our data, analysis scripts, annotated results, questionnaires, and other study materials are publicly available (</w:t>
      </w:r>
      <w:hyperlink r:id="rId19">
        <w:r>
          <w:rPr>
            <w:rStyle w:val="Hyperlink"/>
          </w:rPr>
          <w:t xml:space="preserve">https://osf.io/w5h9y/</w:t>
        </w:r>
      </w:hyperlink>
      <w:r>
        <w:t xml:space="preserve">).</w:t>
      </w:r>
    </w:p>
    <w:p>
      <w:pPr>
        <w:pStyle w:val="BodyText"/>
      </w:pPr>
      <w:r>
        <w:t xml:space="preserve">Our study design and analyses were not pre-registered. However, we restricted many researcher degrees of freedom via cross-validation. Cross-validation inherently includes replication; models are fit on held-in training sets, decisions are made in held-out validation sets, and final performance is evaluated on held-out test sets.</w:t>
      </w:r>
    </w:p>
    <w:bookmarkEnd w:id="20"/>
    <w:bookmarkStart w:id="21" w:name="participants"/>
    <w:p>
      <w:pPr>
        <w:pStyle w:val="Heading3"/>
      </w:pPr>
      <w:r>
        <w:t xml:space="preserve">2.2.2 Participants</w:t>
      </w:r>
    </w:p>
    <w:p>
      <w:pPr>
        <w:pStyle w:val="FirstParagraph"/>
      </w:pPr>
      <w:r>
        <w:t xml:space="preserve">We recruited 151 participants in early recovery (1-8 weeks of abstinence) from AUD in Madison, Wisconsin, US. This sample size was determined based on traditional power analysis methods for logistic regression</w:t>
      </w:r>
      <w:r>
        <w:t xml:space="preserve"> </w:t>
      </w:r>
      <w:r>
        <w:t xml:space="preserve">(Hsieh, 1989)</w:t>
      </w:r>
      <w:r>
        <w:t xml:space="preserve"> </w:t>
      </w:r>
      <w:r>
        <w:t xml:space="preserve">because comparable approaches for machine learning models have not yet been validated. Participants were recruited through print and targeted digital advertisements and partnerships with treatment centers. We required participants:</w:t>
      </w:r>
    </w:p>
    <w:p>
      <w:pPr>
        <w:pStyle w:val="Compact"/>
        <w:numPr>
          <w:ilvl w:val="0"/>
          <w:numId w:val="1001"/>
        </w:numPr>
      </w:pPr>
      <w:r>
        <w:t xml:space="preserve">were age 18 or older,</w:t>
      </w:r>
    </w:p>
    <w:p>
      <w:pPr>
        <w:pStyle w:val="Compact"/>
        <w:numPr>
          <w:ilvl w:val="0"/>
          <w:numId w:val="1001"/>
        </w:numPr>
      </w:pPr>
      <w:r>
        <w:t xml:space="preserve">could write and read in English,</w:t>
      </w:r>
    </w:p>
    <w:p>
      <w:pPr>
        <w:pStyle w:val="Compact"/>
        <w:numPr>
          <w:ilvl w:val="0"/>
          <w:numId w:val="1001"/>
        </w:numPr>
      </w:pPr>
      <w:r>
        <w:t xml:space="preserve">had at least moderate AUD (&gt;= 4 self-reported DSM-5 symptoms),</w:t>
      </w:r>
    </w:p>
    <w:p>
      <w:pPr>
        <w:pStyle w:val="Compact"/>
        <w:numPr>
          <w:ilvl w:val="0"/>
          <w:numId w:val="1001"/>
        </w:numPr>
      </w:pPr>
      <w:r>
        <w:t xml:space="preserve">were abstinent from alcohol for 1-8 weeks, and</w:t>
      </w:r>
    </w:p>
    <w:p>
      <w:pPr>
        <w:pStyle w:val="Compact"/>
        <w:numPr>
          <w:ilvl w:val="0"/>
          <w:numId w:val="1001"/>
        </w:numPr>
      </w:pPr>
      <w:r>
        <w:t xml:space="preserve">were willing to use a single smartphone (personal or study provided) while on study.</w:t>
      </w:r>
    </w:p>
    <w:p>
      <w:pPr>
        <w:pStyle w:val="FirstParagraph"/>
      </w:pPr>
      <w:r>
        <w:t xml:space="preserve">We also excluded participants exhibiting severe symptoms of psychosis or paranoia.</w:t>
      </w:r>
    </w:p>
    <w:bookmarkEnd w:id="21"/>
    <w:bookmarkStart w:id="22" w:name="procedure"/>
    <w:p>
      <w:pPr>
        <w:pStyle w:val="Heading3"/>
      </w:pPr>
      <w:r>
        <w:t xml:space="preserve">2.2.3 Procedure</w:t>
      </w:r>
    </w:p>
    <w:p>
      <w:pPr>
        <w:pStyle w:val="FirstParagraph"/>
      </w:pPr>
      <w:r>
        <w:t xml:space="preserve">Participants completed five study visits over approximately three months. After an initial phone screen, participants attended an in-person screening visit to determine eligibility, complete informed consent, and collect self-report measures. Eligible, consented participants returned approximately one week later for an intake visit. Three additional follow-up visits occurred about every 30 days that participants remained on study. Participants were expected to complete four daily EMAs while on study. Other personal sensing data streams (geolocation, cellular communications, sleep quality, and audio check-ins) were collected as part of the parent grant’s aims (R01 AA024391).</w:t>
      </w:r>
    </w:p>
    <w:bookmarkEnd w:id="22"/>
    <w:bookmarkStart w:id="25" w:name="measures"/>
    <w:p>
      <w:pPr>
        <w:pStyle w:val="Heading3"/>
      </w:pPr>
      <w:r>
        <w:t xml:space="preserve">2.2.4 Measures</w:t>
      </w:r>
    </w:p>
    <w:bookmarkStart w:id="23" w:name="ecological-momentary-assessments"/>
    <w:p>
      <w:pPr>
        <w:pStyle w:val="Heading4"/>
      </w:pPr>
      <w:r>
        <w:t xml:space="preserve">2.2.4.1 Ecological Momentary Assessments</w:t>
      </w:r>
    </w:p>
    <w:p>
      <w:pPr>
        <w:pStyle w:val="FirstParagraph"/>
      </w:pPr>
      <w:r>
        <w:t xml:space="preserve">Participants completed four brief (7-10 questions) EMAs daily. The first and last EMAs of the day were scheduled within one hour of participants’ typical wake and sleep times. The other two EMAs were scheduled randomly within the first and second halves of their typical day, with at least one hour between EMAs. Participants learned how to complete the EMA and the meaning of each question during their intake visit.</w:t>
      </w:r>
    </w:p>
    <w:p>
      <w:pPr>
        <w:pStyle w:val="BodyText"/>
      </w:pPr>
      <w:r>
        <w:t xml:space="preserve">On all EMAs, participants reported dates/times of any unreported past alcohol use. Next, participants rated the intensity of four recent experiences:</w:t>
      </w:r>
    </w:p>
    <w:p>
      <w:pPr>
        <w:pStyle w:val="Compact"/>
        <w:numPr>
          <w:ilvl w:val="0"/>
          <w:numId w:val="1002"/>
        </w:numPr>
      </w:pPr>
      <w:r>
        <w:t xml:space="preserve">craving [</w:t>
      </w:r>
      <w:r>
        <w:t xml:space="preserve">“How intense was your greatest urge to drink?”</w:t>
      </w:r>
      <w:r>
        <w:t xml:space="preserve">],</w:t>
      </w:r>
    </w:p>
    <w:p>
      <w:pPr>
        <w:pStyle w:val="Compact"/>
        <w:numPr>
          <w:ilvl w:val="0"/>
          <w:numId w:val="1002"/>
        </w:numPr>
      </w:pPr>
      <w:r>
        <w:t xml:space="preserve">risky situations [</w:t>
      </w:r>
      <w:r>
        <w:t xml:space="preserve">“Did you encounter any risky situations (people, places, or things)? If yes, rate the intensity of the situation.”</w:t>
      </w:r>
      <w:r>
        <w:t xml:space="preserve">],</w:t>
      </w:r>
    </w:p>
    <w:p>
      <w:pPr>
        <w:pStyle w:val="Compact"/>
        <w:numPr>
          <w:ilvl w:val="0"/>
          <w:numId w:val="1002"/>
        </w:numPr>
      </w:pPr>
      <w:r>
        <w:t xml:space="preserve">stressful events [</w:t>
      </w:r>
      <w:r>
        <w:t xml:space="preserve">“Has a hassle or stressful event occurred? If yes, rate the intensity of the event.”</w:t>
      </w:r>
      <w:r>
        <w:t xml:space="preserve">],</w:t>
      </w:r>
    </w:p>
    <w:p>
      <w:pPr>
        <w:pStyle w:val="Compact"/>
        <w:numPr>
          <w:ilvl w:val="0"/>
          <w:numId w:val="1002"/>
        </w:numPr>
      </w:pPr>
      <w:r>
        <w:t xml:space="preserve">pleasant events [Has a pleasant or positive event occurred? If yes, rate the intensity of the event.”].</w:t>
      </w:r>
    </w:p>
    <w:p>
      <w:pPr>
        <w:pStyle w:val="FirstParagraph"/>
      </w:pPr>
      <w:r>
        <w:t xml:space="preserve">For each of these experiences, participants rated the maximum intensity since their last EMA on a 12-point ordinal scale (mid- and end-point anchors of</w:t>
      </w:r>
      <w:r>
        <w:t xml:space="preserve"> </w:t>
      </w:r>
      <w:r>
        <w:t xml:space="preserve">“Mild”</w:t>
      </w:r>
      <w:r>
        <w:t xml:space="preserve">,</w:t>
      </w:r>
      <w:r>
        <w:t xml:space="preserve"> </w:t>
      </w:r>
      <w:r>
        <w:t xml:space="preserve">“Moderate”</w:t>
      </w:r>
      <w:r>
        <w:t xml:space="preserve">, and</w:t>
      </w:r>
      <w:r>
        <w:t xml:space="preserve"> </w:t>
      </w:r>
      <w:r>
        <w:t xml:space="preserve">“Strong”</w:t>
      </w:r>
      <w:r>
        <w:t xml:space="preserve">). If they did not experience an event since their last EMA, participants selected</w:t>
      </w:r>
      <w:r>
        <w:t xml:space="preserve"> </w:t>
      </w:r>
      <w:r>
        <w:t xml:space="preserve">“No”</w:t>
      </w:r>
      <w:r>
        <w:t xml:space="preserve"> </w:t>
      </w:r>
      <w:r>
        <w:t xml:space="preserve">to indicate that no experience occurred for that respective question.</w:t>
      </w:r>
    </w:p>
    <w:p>
      <w:pPr>
        <w:pStyle w:val="BodyText"/>
      </w:pPr>
      <w:r>
        <w:t xml:space="preserve">Next, participants rated their current affect using 11-point bipolar scales measuring valence (end-point anchors of</w:t>
      </w:r>
      <w:r>
        <w:t xml:space="preserve"> </w:t>
      </w:r>
      <w:r>
        <w:t xml:space="preserve">“Unpleasant/Unhappy”</w:t>
      </w:r>
      <w:r>
        <w:t xml:space="preserve"> </w:t>
      </w:r>
      <w:r>
        <w:t xml:space="preserve">to</w:t>
      </w:r>
      <w:r>
        <w:t xml:space="preserve"> </w:t>
      </w:r>
      <w:r>
        <w:t xml:space="preserve">“Pleasant/Happy”</w:t>
      </w:r>
      <w:r>
        <w:t xml:space="preserve">) and arousal (end-point anchors of</w:t>
      </w:r>
      <w:r>
        <w:t xml:space="preserve"> </w:t>
      </w:r>
      <w:r>
        <w:t xml:space="preserve">“Calm/Sleepy”</w:t>
      </w:r>
      <w:r>
        <w:t xml:space="preserve"> </w:t>
      </w:r>
      <w:r>
        <w:t xml:space="preserve">to</w:t>
      </w:r>
      <w:r>
        <w:t xml:space="preserve"> </w:t>
      </w:r>
      <w:r>
        <w:t xml:space="preserve">“Aroused/Alert”</w:t>
      </w:r>
      <w:r>
        <w:t xml:space="preserve">).</w:t>
      </w:r>
    </w:p>
    <w:p>
      <w:pPr>
        <w:pStyle w:val="BodyText"/>
      </w:pPr>
      <w:r>
        <w:t xml:space="preserve">On the first EMA each day, participants used an 11-point bipoloar scale (end-point anchors of</w:t>
      </w:r>
      <w:r>
        <w:t xml:space="preserve"> </w:t>
      </w:r>
      <w:r>
        <w:t xml:space="preserve">“Very Unlikely”</w:t>
      </w:r>
      <w:r>
        <w:t xml:space="preserve"> </w:t>
      </w:r>
      <w:r>
        <w:t xml:space="preserve">to</w:t>
      </w:r>
      <w:r>
        <w:t xml:space="preserve"> </w:t>
      </w:r>
      <w:r>
        <w:t xml:space="preserve">“Very Likely”</w:t>
      </w:r>
      <w:r>
        <w:t xml:space="preserve">) to rate the likelihood of:</w:t>
      </w:r>
    </w:p>
    <w:p>
      <w:pPr>
        <w:pStyle w:val="Compact"/>
        <w:numPr>
          <w:ilvl w:val="0"/>
          <w:numId w:val="1003"/>
        </w:numPr>
      </w:pPr>
      <w:r>
        <w:t xml:space="preserve">future risky situations [</w:t>
      </w:r>
      <w:r>
        <w:t xml:space="preserve">“How likely are you to encounter risky situations (people, places, or things) within the next week?”</w:t>
      </w:r>
      <w:r>
        <w:t xml:space="preserve">],</w:t>
      </w:r>
    </w:p>
    <w:p>
      <w:pPr>
        <w:pStyle w:val="Compact"/>
        <w:numPr>
          <w:ilvl w:val="0"/>
          <w:numId w:val="1003"/>
        </w:numPr>
      </w:pPr>
      <w:r>
        <w:t xml:space="preserve">future stressful events [</w:t>
      </w:r>
      <w:r>
        <w:t xml:space="preserve">“How likely are you to encounter a stressful event within the next week?”</w:t>
      </w:r>
      <w:r>
        <w:t xml:space="preserve">],</w:t>
      </w:r>
    </w:p>
    <w:p>
      <w:pPr>
        <w:pStyle w:val="Compact"/>
        <w:numPr>
          <w:ilvl w:val="0"/>
          <w:numId w:val="1003"/>
        </w:numPr>
      </w:pPr>
      <w:r>
        <w:t xml:space="preserve">abstinence efficacy [</w:t>
      </w:r>
      <w:r>
        <w:t xml:space="preserve">“How likely are you to drink any alcohol within the next week?”</w:t>
      </w:r>
      <w:r>
        <w:t xml:space="preserve">].</w:t>
      </w:r>
    </w:p>
    <w:bookmarkEnd w:id="23"/>
    <w:bookmarkStart w:id="24" w:name="individual-differences"/>
    <w:p>
      <w:pPr>
        <w:pStyle w:val="Heading4"/>
      </w:pPr>
      <w:r>
        <w:t xml:space="preserve">2.2.4.2 Individual Differences</w:t>
      </w:r>
    </w:p>
    <w:p>
      <w:pPr>
        <w:pStyle w:val="FirstParagraph"/>
      </w:pPr>
      <w:r>
        <w:t xml:space="preserve">We collected self-report information about demographics (age, sex, race, ethnicity, education, marital status, employment, and income) and clinical characteristics (AUD milestones, number of quit attempts, lifetime AUD treatment history, lifetime receipt of AUD medication, DSM-5 AUD symptom count, and current drug use</w:t>
      </w:r>
      <w:r>
        <w:t xml:space="preserve"> </w:t>
      </w:r>
      <w:r>
        <w:t xml:space="preserve">(WHO ASSIST Working Group, 2002)</w:t>
      </w:r>
      <w:r>
        <w:t xml:space="preserve">). This information was collected primarily to characterize the sample and to evaluate the diversity of the training data. We also included demographic features in our models to quantify the importance of relapse prevention constructs beyond these static characteristics, given known disparities in AUD and other health outcomes</w:t>
      </w:r>
      <w:r>
        <w:t xml:space="preserve"> </w:t>
      </w:r>
      <w:r>
        <w:t xml:space="preserve">(Jacobson et al., 2022)</w:t>
      </w:r>
      <w:r>
        <w:t xml:space="preserve">.</w:t>
      </w:r>
    </w:p>
    <w:bookmarkEnd w:id="24"/>
    <w:bookmarkEnd w:id="25"/>
    <w:bookmarkStart w:id="34" w:name="data-analytic-strategy"/>
    <w:p>
      <w:pPr>
        <w:pStyle w:val="Heading3"/>
      </w:pPr>
      <w:r>
        <w:t xml:space="preserve">2.2.5 Data Analytic Strategy</w:t>
      </w:r>
    </w:p>
    <w:p>
      <w:pPr>
        <w:pStyle w:val="FirstParagraph"/>
      </w:pPr>
      <w:r>
        <w:t xml:space="preserve">Data preprocessing, modeling, and Bayesian analyses were done in R using the tidymodels ecosystem</w:t>
      </w:r>
      <w:r>
        <w:t xml:space="preserve"> </w:t>
      </w:r>
      <w:r>
        <w:t xml:space="preserve">(Kuhn &amp; Wickham, 2020)</w:t>
      </w:r>
      <w:r>
        <w:t xml:space="preserve">. Models were trained and evaluated using high-throughput computing resources provided by the University of Wisconsin Center for High Throughput Computing</w:t>
      </w:r>
      <w:r>
        <w:t xml:space="preserve"> </w:t>
      </w:r>
      <w:r>
        <w:t xml:space="preserve">(Center for High Throughput Computing, 2006)</w:t>
      </w:r>
      <w:r>
        <w:t xml:space="preserve">.</w:t>
      </w:r>
    </w:p>
    <w:bookmarkStart w:id="26" w:name="lapse-labels"/>
    <w:p>
      <w:pPr>
        <w:pStyle w:val="Heading4"/>
      </w:pPr>
      <w:r>
        <w:t xml:space="preserve">2.2.5.1 Lapse Labels</w:t>
      </w:r>
    </w:p>
    <w:p>
      <w:pPr>
        <w:pStyle w:val="FirstParagraph"/>
      </w:pPr>
      <w:r>
        <w:t xml:space="preserve">We predicted future lapses in three prediction window widths: one week, one day, and one hour. Prediction windows were updated hourly. All classification models provide hour-by-hour predictions of future lapse probability for all three window widths.</w:t>
      </w:r>
    </w:p>
    <w:p>
      <w:pPr>
        <w:pStyle w:val="BodyText"/>
      </w:pPr>
      <w:r>
        <w:t xml:space="preserve">For each participant, the first prediction window for all three widths began at midnight on their second day of participation and ended one week, one day, or one hour later. This ensured at least 24 hours of past EMAs for future lapse prediction in these first windows. Subsequent windows for each participant were created by repeatedly rolling the window start/end forward one hour until the end of their study participation (i.e., each participant’s last prediction window started one week, one day, or one hour before their last recorded EMA).</w:t>
      </w:r>
    </w:p>
    <w:p>
      <w:pPr>
        <w:pStyle w:val="BodyText"/>
      </w:pPr>
      <w:r>
        <w:t xml:space="preserve">We labeled each prediction window as</w:t>
      </w:r>
      <w:r>
        <w:t xml:space="preserve"> </w:t>
      </w:r>
      <w:r>
        <w:rPr>
          <w:i/>
          <w:iCs/>
        </w:rPr>
        <w:t xml:space="preserve">lapse</w:t>
      </w:r>
      <w:r>
        <w:t xml:space="preserve"> </w:t>
      </w:r>
      <w:r>
        <w:t xml:space="preserve">or</w:t>
      </w:r>
      <w:r>
        <w:t xml:space="preserve"> </w:t>
      </w:r>
      <w:r>
        <w:rPr>
          <w:i/>
          <w:iCs/>
        </w:rPr>
        <w:t xml:space="preserve">no lapse</w:t>
      </w:r>
      <w:r>
        <w:t xml:space="preserve"> </w:t>
      </w:r>
      <w:r>
        <w:t xml:space="preserve">using participants’ reports from the EMA question</w:t>
      </w:r>
      <w:r>
        <w:t xml:space="preserve"> </w:t>
      </w:r>
      <w:r>
        <w:t xml:space="preserve">“Have you drank any alcohol that you have not yet reported?”</w:t>
      </w:r>
      <w:r>
        <w:t xml:space="preserve">. If participants answered yes to this question, they entered the date and hour of the start and end of the drinking episode. During monthly follow-up sessions, participants could review and correct their lapses reported by EMA and report to staff any additional lapses.</w:t>
      </w:r>
    </w:p>
    <w:p>
      <w:pPr>
        <w:pStyle w:val="BodyText"/>
      </w:pPr>
      <w:r>
        <w:t xml:space="preserve">A prediction window was labeled</w:t>
      </w:r>
      <w:r>
        <w:t xml:space="preserve"> </w:t>
      </w:r>
      <w:r>
        <w:rPr>
          <w:i/>
          <w:iCs/>
        </w:rPr>
        <w:t xml:space="preserve">lapse</w:t>
      </w:r>
      <w:r>
        <w:t xml:space="preserve"> </w:t>
      </w:r>
      <w:r>
        <w:t xml:space="preserve">if the start date/hour of any drinking episode fell within that window. A window was labeled</w:t>
      </w:r>
      <w:r>
        <w:t xml:space="preserve"> </w:t>
      </w:r>
      <w:r>
        <w:rPr>
          <w:i/>
          <w:iCs/>
        </w:rPr>
        <w:t xml:space="preserve">no lapse</w:t>
      </w:r>
      <w:r>
        <w:t xml:space="preserve"> </w:t>
      </w:r>
      <w:r>
        <w:t xml:space="preserve">if no alcohol use occurred within that window +/- 24 hours. If no alcohol use occurred within the window but did occur within 24 hours of the start or end of the window, the window was excluded. We used this conservative 24-hour fence for labeling windows as</w:t>
      </w:r>
      <w:r>
        <w:t xml:space="preserve"> </w:t>
      </w:r>
      <w:r>
        <w:rPr>
          <w:i/>
          <w:iCs/>
        </w:rPr>
        <w:t xml:space="preserve">no lapse</w:t>
      </w:r>
      <w:r>
        <w:t xml:space="preserve"> </w:t>
      </w:r>
      <w:r>
        <w:t xml:space="preserve">(vs. excluded) to increase the fidelity of these labels. Given that most windows were labeled</w:t>
      </w:r>
      <w:r>
        <w:t xml:space="preserve"> </w:t>
      </w:r>
      <w:r>
        <w:rPr>
          <w:i/>
          <w:iCs/>
        </w:rPr>
        <w:t xml:space="preserve">no lapse</w:t>
      </w:r>
      <w:r>
        <w:t xml:space="preserve">, and the outcome was highly unbalanced, it was not problematic to exclude some</w:t>
      </w:r>
      <w:r>
        <w:t xml:space="preserve"> </w:t>
      </w:r>
      <w:r>
        <w:rPr>
          <w:i/>
          <w:iCs/>
        </w:rPr>
        <w:t xml:space="preserve">no lapse</w:t>
      </w:r>
      <w:r>
        <w:t xml:space="preserve"> </w:t>
      </w:r>
      <w:r>
        <w:t xml:space="preserve">events to further increase confidence in those labels.</w:t>
      </w:r>
    </w:p>
    <w:bookmarkEnd w:id="26"/>
    <w:bookmarkStart w:id="27" w:name="feature-engineering"/>
    <w:p>
      <w:pPr>
        <w:pStyle w:val="Heading4"/>
      </w:pPr>
      <w:r>
        <w:t xml:space="preserve">2.2.5.2 Feature Engineering</w:t>
      </w:r>
    </w:p>
    <w:p>
      <w:pPr>
        <w:pStyle w:val="FirstParagraph"/>
      </w:pPr>
      <w:r>
        <w:t xml:space="preserve">Features were calculated using only data collected before the start of each prediction window to ensure our models were making true</w:t>
      </w:r>
      <w:r>
        <w:t xml:space="preserve"> </w:t>
      </w:r>
      <w:r>
        <w:rPr>
          <w:i/>
          <w:iCs/>
        </w:rPr>
        <w:t xml:space="preserve">future predictions</w:t>
      </w:r>
      <w:r>
        <w:t xml:space="preserve">. We created features for both baseline and full models. The baseline models were developed to determine how well we could predict lapses using a simple model based only on the participants’ histories of previous lapses. The full models used all EMA responses combined with demographic and day/time features.</w:t>
      </w:r>
    </w:p>
    <w:p>
      <w:pPr>
        <w:pStyle w:val="BodyText"/>
      </w:pPr>
      <w:r>
        <w:t xml:space="preserve">The baseline models had only one dummy-coded feature: lapse frequency (high vs. low). The median number of lapses across participants during the study period was 1. Therefore, the lapse frequency feature was coded low when the participant had a history of 1 or fewer lapses before that prediction window. This feature was coded high when the participant had more than 1 lapse before that window.</w:t>
      </w:r>
    </w:p>
    <w:p>
      <w:pPr>
        <w:pStyle w:val="BodyText"/>
      </w:pPr>
      <w:r>
        <w:t xml:space="preserve">Features for the full model were derived from three sources: 1) common demographic characteristics, 2) day of the week and hour of the day at prediction window onset, and 3) previous EMA responses. We created a quantitative feature for age, and dummy-coded features for sex (male vs. female), race/ethnicity (White/Non-Hispanic vs. other), marital status (never married vs. married vs. other), and education (high school or less vs. some college vs. 4-year degree or more). We created dummy-coded features to indicate time of day (5pm - midnight vs. any other time) and day of week that the prediction window began.</w:t>
      </w:r>
    </w:p>
    <w:p>
      <w:pPr>
        <w:pStyle w:val="BodyText"/>
      </w:pPr>
      <w:r>
        <w:t xml:space="preserve">We created raw EMA features for varying scoring epochs before the start of the prediction window for all EMA items excluding the alcohol use question. For the six EMA questions that appeared on all four daily EMAs, we used five scoring epochs of 12, 24, 48, 72, and 168 hours. For the three EMA questions that only appeared on the morning EMA, we used three scoring epochs of 48, 72, and 168 hours. Raw features included min, max, and median scores for each EMA question across all EMAs in each epoch for that participant. We calculated change features by subtracting the participant’s mean score for each EMA question (using all EMAs collected before the start of the prediction window) from the associated raw feature. These change features allowed us to capture within-subject effects by comparing recent EMA responses relative to an individual’s own baseline. For both raw and change features, the feature was set to missing (and later imputed; see below) if no responses to the specific EMA question were provided by the participant within the associated scoring epoch.</w:t>
      </w:r>
    </w:p>
    <w:p>
      <w:pPr>
        <w:pStyle w:val="BodyText"/>
      </w:pPr>
      <w:r>
        <w:t xml:space="preserve">We also created raw and change features based on the most recent response for each EMA question (excluding the alcohol use question). This generated two features for each EMA question: 1) raw value of the most recent previous response, and 2) difference between that raw value and the mean response to that EMA question over all EMAs collected before that prediction window.</w:t>
      </w:r>
    </w:p>
    <w:p>
      <w:pPr>
        <w:pStyle w:val="BodyText"/>
      </w:pPr>
      <w:r>
        <w:t xml:space="preserve">We also calculated raw and change rate features from previously reported lapses. We calculated lapse rate features using the same five scoring epochs described earlier. Raw lapse rate features were generated by dividing the total number of previously observed lapses within a scoring epoch by the duration of that epoch. For change rate features, we subtracted the rate of previous lapses for that participant (i.e., total number of lapses while on-study divided by total hours on-study before the prediction window) from their associated raw lapse rate. We employed a similar approach to calculate raw and change rate of missing EMAs (i.e., number of full EMA surveys that were requested but not completed in a scoring epoch / duration of epoch).</w:t>
      </w:r>
    </w:p>
    <w:p>
      <w:pPr>
        <w:pStyle w:val="BodyText"/>
      </w:pPr>
      <w:r>
        <w:t xml:space="preserve">Other generic feature engineering steps included: 1) imputing missing data (median imputation for numeric features, mode imputation for nominal features); 2) dummy coding for nominal features; and 3) removing zero-variance features. Medians/modes for missing data imputation and identification of zero variance features were derived from held-in (training) data and applied to held-out (validation and test) data (see Cross-validation section below). We recognize that median/mode imputation is a coarse method for handling missing data; however, computational costs of more sophisticated methods (e.g., KNN imputation, multiple imputation) were not practical for this study. A sample feature engineering script (i.e., tidymodels recipe) containing all feature engineering steps is available on our OSF study page.</w:t>
      </w:r>
    </w:p>
    <w:bookmarkEnd w:id="27"/>
    <w:bookmarkStart w:id="31" w:name="model-training-and-evaluation"/>
    <w:p>
      <w:pPr>
        <w:pStyle w:val="Heading4"/>
      </w:pPr>
      <w:r>
        <w:t xml:space="preserve">2.2.5.3 Model Training and Evaluation</w:t>
      </w:r>
    </w:p>
    <w:bookmarkStart w:id="28" w:name="Xa8fc155e5185cf9a285372025485ebd07960b58"/>
    <w:p>
      <w:pPr>
        <w:pStyle w:val="Heading5"/>
      </w:pPr>
      <w:r>
        <w:t xml:space="preserve">2.2.5.3.1 Statistical Algorithm and Hyperparameters.</w:t>
      </w:r>
    </w:p>
    <w:p>
      <w:pPr>
        <w:pStyle w:val="FirstParagraph"/>
      </w:pPr>
      <w:r>
        <w:t xml:space="preserve">We trained and evaluated six separate classification models: one baseline and one full model for each prediction window (week, day, and hour). We initially considered four well-established statistical algorithms (XGBoost, Random Forest, K-Nearest Neighbors, and Elastic Net) that vary across characteristics expected to affect model performance (e.g., flexibility, complexity, handling higher-order interactions natively)</w:t>
      </w:r>
      <w:r>
        <w:t xml:space="preserve"> </w:t>
      </w:r>
      <w:r>
        <w:t xml:space="preserve">(Kuhn &amp; Johnson, 2018)</w:t>
      </w:r>
      <w:r>
        <w:t xml:space="preserve">. However, preliminary exploratory analyses suggested that XGBoost consistently outperformed the other three algorithms. Furthermore, the Shapley Additive Explanations (SHAP) method, which we planned to use for explanatory analyses of feature importance in our full models, is optimized for XGBoost. Consequently, we focused our primary model training and evaluation on the XGBoost algorithm only.</w:t>
      </w:r>
    </w:p>
    <w:p>
      <w:pPr>
        <w:pStyle w:val="BodyText"/>
      </w:pPr>
      <w:r>
        <w:t xml:space="preserve">Candidate XGBoost model configurations differed across sensible values for the hyperparameters mtry, tree depth, and learning rate using grid search. All configurations used 500 trees with early stopping to prevent over-fitting. All other hyperparameters were set to tidymodels package defaults. Candidate model configurations also differed on outcome resampling method (i.e., up-sampling and down-sampling of the outcome using majority/no lapse to minority/lapse ratios ranging from 1:1 to 5:1). We calibrated predicted probabilities using the beta distribution to support optimal decision-making under variable outcome distributions</w:t>
      </w:r>
      <w:r>
        <w:t xml:space="preserve"> </w:t>
      </w:r>
      <w:r>
        <w:t xml:space="preserve">(Kull et al., 2017)</w:t>
      </w:r>
      <w:r>
        <w:t xml:space="preserve">.</w:t>
      </w:r>
    </w:p>
    <w:p>
      <w:pPr>
        <w:pStyle w:val="BodyText"/>
      </w:pPr>
      <w:r>
        <w:t xml:space="preserve">Model training and evaluation used all participants (N = 151), regardless if they had any positive labels (i.e., lapses) because XGBoost itself does not use grouping of observations within participants. This grouping is handled instead by a participant-grouped cross-validation procedure (below).</w:t>
      </w:r>
    </w:p>
    <w:bookmarkEnd w:id="28"/>
    <w:bookmarkStart w:id="29" w:name="performance-metric."/>
    <w:p>
      <w:pPr>
        <w:pStyle w:val="Heading5"/>
      </w:pPr>
      <w:r>
        <w:t xml:space="preserve">2.2.5.3.2 Performance Metric.</w:t>
      </w:r>
    </w:p>
    <w:p>
      <w:pPr>
        <w:pStyle w:val="FirstParagraph"/>
      </w:pPr>
      <w:r>
        <w:t xml:space="preserve">Our primary performance metric for model selection and evaluation was area under the Receiver Operating Characteristic Curve (auROC)</w:t>
      </w:r>
      <w:r>
        <w:t xml:space="preserve"> </w:t>
      </w:r>
      <w:r>
        <w:t xml:space="preserve">(Kuhn &amp; Johnson, 2018)</w:t>
      </w:r>
      <w:r>
        <w:t xml:space="preserve">. auROC indexes the probability that the model will predict a higher score for a randomly selected positive case (lapse) relative to a randomly selected negative case (no lapse). This metric was selected because it 1) combines sensitivity and specificity, which are both important characteristics for clinical implementation; 2) is an aggregate metric across all decision thresholds, which is important because optimal decision thresholds may differ across settings and goals; and 3) is unaffected by class imbalance, which is important for comparing models with differing prediction window widths and levels of class imbalance.</w:t>
      </w:r>
    </w:p>
    <w:bookmarkEnd w:id="29"/>
    <w:bookmarkStart w:id="30" w:name="cross-validation."/>
    <w:p>
      <w:pPr>
        <w:pStyle w:val="Heading5"/>
      </w:pPr>
      <w:r>
        <w:t xml:space="preserve">2.2.5.3.3 Cross-validation.</w:t>
      </w:r>
    </w:p>
    <w:p>
      <w:pPr>
        <w:pStyle w:val="FirstParagraph"/>
      </w:pPr>
      <w:r>
        <w:t xml:space="preserve">We used participant-grouped, nested cross-validation for model training, selection, and evaluation with auROC. Grouped cross-validation assigns all data from a participant as either held-in or held-out to avoid bias introduced when predicting a participant’s data from their own data. Nested cross-validation uses two nested loops for dividing and holding out folds: an outer loop, where held-out folds serve as</w:t>
      </w:r>
      <w:r>
        <w:t xml:space="preserve"> </w:t>
      </w:r>
      <w:r>
        <w:rPr>
          <w:i/>
          <w:iCs/>
        </w:rPr>
        <w:t xml:space="preserve">test sets</w:t>
      </w:r>
      <w:r>
        <w:t xml:space="preserve"> </w:t>
      </w:r>
      <w:r>
        <w:t xml:space="preserve">for model evaluation; and inner loops, where held-out folds serve as</w:t>
      </w:r>
      <w:r>
        <w:t xml:space="preserve"> </w:t>
      </w:r>
      <w:r>
        <w:rPr>
          <w:i/>
          <w:iCs/>
        </w:rPr>
        <w:t xml:space="preserve">validation sets</w:t>
      </w:r>
      <w:r>
        <w:t xml:space="preserve"> </w:t>
      </w:r>
      <w:r>
        <w:t xml:space="preserve">for model selection. Importantly, these sets are independent, maintaining separation between data used to train the models, select the best models, and evaluate those best models. Therefore, nested cross-validation removes optimization bias from the evaluation of model performance in the test sets and can yield lower variance performance estimates than single test set approaches</w:t>
      </w:r>
      <w:r>
        <w:t xml:space="preserve"> </w:t>
      </w:r>
      <w:r>
        <w:t xml:space="preserve">(Jonathan et al., 2000)</w:t>
      </w:r>
      <w:r>
        <w:t xml:space="preserve">.</w:t>
      </w:r>
    </w:p>
    <w:p>
      <w:pPr>
        <w:pStyle w:val="BodyText"/>
      </w:pPr>
      <w:r>
        <w:t xml:space="preserve">We used 1 repeat of 10-fold cross-validation for the inner loops and 3 repeats of 10-fold cross-validation for the outer loop. Best model configurations were selected using median auROC across the 10</w:t>
      </w:r>
      <w:r>
        <w:t xml:space="preserve"> </w:t>
      </w:r>
      <w:r>
        <w:rPr>
          <w:i/>
          <w:iCs/>
        </w:rPr>
        <w:t xml:space="preserve">validation sets</w:t>
      </w:r>
      <w:r>
        <w:t xml:space="preserve">. Final performance evaluation of those best model configurations used median auROC across the 30</w:t>
      </w:r>
      <w:r>
        <w:t xml:space="preserve"> </w:t>
      </w:r>
      <w:r>
        <w:rPr>
          <w:i/>
          <w:iCs/>
        </w:rPr>
        <w:t xml:space="preserve">test sets</w:t>
      </w:r>
      <w:r>
        <w:t xml:space="preserve">. We report median auROC for our six best model configurations in the test sets. In addition, we report other key performance metrics for the best full model configurations including sensitivity, specificity, balanced accuracy, positive predictive value (PPV), and negative predictive value (NPV) from the test sets</w:t>
      </w:r>
      <w:r>
        <w:t xml:space="preserve"> </w:t>
      </w:r>
      <w:r>
        <w:t xml:space="preserve">(Kuhn &amp; Johnson, 2018)</w:t>
      </w:r>
      <w:r>
        <w:t xml:space="preserve">.</w:t>
      </w:r>
    </w:p>
    <w:bookmarkEnd w:id="30"/>
    <w:bookmarkEnd w:id="31"/>
    <w:bookmarkStart w:id="32" w:name="X9dfe764ce8b757c4f912b6e056ebd550ba6d9d1"/>
    <w:p>
      <w:pPr>
        <w:pStyle w:val="Heading4"/>
      </w:pPr>
      <w:r>
        <w:t xml:space="preserve">2.2.5.4 Bayesian Estimation of auROC and Model Comparisons</w:t>
      </w:r>
    </w:p>
    <w:p>
      <w:pPr>
        <w:pStyle w:val="FirstParagraph"/>
      </w:pPr>
      <w:r>
        <w:t xml:space="preserve">We used a Bayesian hierarchical generalized linear model to estimate the posterior probability distributions and 95% Bayesian confidence intervals (CIs) for auROC for the six best models. Bayesian analyses were accomplished using the tidyposterior</w:t>
      </w:r>
      <w:r>
        <w:t xml:space="preserve"> </w:t>
      </w:r>
      <w:r>
        <w:t xml:space="preserve">(Kuhn, 2022)</w:t>
      </w:r>
      <w:r>
        <w:t xml:space="preserve"> </w:t>
      </w:r>
      <w:r>
        <w:t xml:space="preserve">and rstanarm</w:t>
      </w:r>
      <w:r>
        <w:t xml:space="preserve"> </w:t>
      </w:r>
      <w:r>
        <w:t xml:space="preserve">(Goodrich et al., 2023)</w:t>
      </w:r>
      <w:r>
        <w:t xml:space="preserve"> </w:t>
      </w:r>
      <w:r>
        <w:t xml:space="preserve">packages in R. Following recommendations from the rstanarm team and others</w:t>
      </w:r>
      <w:r>
        <w:t xml:space="preserve"> </w:t>
      </w:r>
      <w:r>
        <w:t xml:space="preserve">(Gabry &amp; Goodrich, 2023; RStudio Team, 2020)</w:t>
      </w:r>
      <w:r>
        <w:t xml:space="preserve">, we used the rstanarm default autoscaled, weakly informative, data-dependent priors that take into account the order of magnitude of the variables to provide some regularization to stabilize computation and avoid over-fitting. Specifically, the priors were set as follows: residual standard deviation ~ normal(location=0, scale=exp(2)), intercept (after centering predictors) ~ normal(location=2.3, scale=1.3), the two coefficients for window width contrasts ~ normal (location=0, scale=2.69), and covariance ~ decov(regularization=1, concentration=1, shape=1, scale=1).</w:t>
      </w:r>
    </w:p>
    <w:p>
      <w:pPr>
        <w:pStyle w:val="BodyText"/>
      </w:pPr>
      <w:r>
        <w:t xml:space="preserve">To estimate the probability that the full model outperformed the baseline model, we regressed the auROCs (logit transformed) from the 30 test sets for each model as a function of model type (baseline vs. full). To determine the probability that full models’ performances differed systematically from each other, we regressed the auROCs (logit transformed) from the 30 test sets for each full model as a function of prediction window width (week vs. day vs. hour). Following recommendations from the tidymodels team</w:t>
      </w:r>
      <w:r>
        <w:t xml:space="preserve"> </w:t>
      </w:r>
      <w:r>
        <w:t xml:space="preserve">(Kuhn, 2022)</w:t>
      </w:r>
      <w:r>
        <w:t xml:space="preserve">, we set two random intercepts: one for the repeat, and another for the fold within repeat (folds are nested within repeats for 3x10-fold cross-validation). We report the 95% (equal-tailed) Bayesian CIs from the posterior probability distributions for our models’ auROCs. We also report 95% (equal-tailed) Bayesian CIs for the differences in performance associated with the Bayesian comparisons.</w:t>
      </w:r>
    </w:p>
    <w:bookmarkEnd w:id="32"/>
    <w:bookmarkStart w:id="33" w:name="X5e6e700d77a580517825fcdd1c49c195f82d1cd"/>
    <w:p>
      <w:pPr>
        <w:pStyle w:val="Heading4"/>
      </w:pPr>
      <w:r>
        <w:t xml:space="preserve">2.2.5.5 Shapley Additive Explanations for Feature Importance</w:t>
      </w:r>
    </w:p>
    <w:p>
      <w:pPr>
        <w:pStyle w:val="FirstParagraph"/>
      </w:pPr>
      <w:r>
        <w:t xml:space="preserve">We computed Shapley Values</w:t>
      </w:r>
      <w:r>
        <w:t xml:space="preserve"> </w:t>
      </w:r>
      <w:r>
        <w:t xml:space="preserve">(Lundberg &amp; Lee, 2017)</w:t>
      </w:r>
      <w:r>
        <w:t xml:space="preserve"> </w:t>
      </w:r>
      <w:r>
        <w:t xml:space="preserve">to provide a consistent, objective explanation of the importance of categories of features (based on EMA questions) across our three full models. Shapley values possess several useful properties including: Additivity (Shapley values for each feature can be computed independently and summed); Efficiency (the sum of Shapley values across features must add up to the difference between predicted and observed outcomes for each observation); Symmetry (Shapley values for two features should be equal if the two features contribute equally to all possible coalitions); and Dummy (a feature that does not change the predicted value in any coalition will have a Shapley value of 0).</w:t>
      </w:r>
    </w:p>
    <w:p>
      <w:pPr>
        <w:pStyle w:val="BodyText"/>
      </w:pPr>
      <w:r>
        <w:t xml:space="preserve">We calculated Shapley values from the 30 test sets using the SHAPforxgboost package that provides Shapley values in log-odds units for binary classification models. We averaged the three Shapley values for each observation for each feature across the three repeats to increase their stability. The additivity property of Shapley values allowed us to create 18 feature categories from the 286 separate features. We created separate feature categories for each of the nine EMA questions (excluding the alcohol use question), the rates of past alcohol use and missing surveys, the time of day and day of the week of the start of the prediction window, and the five demographic variables included in the models. For the EMA questions and rates of past alcohol use and missing surveys, these categories included all individual raw and change features across the three to five scoring epochs (see Feature Engineering above) and the most recent response. To calculate the local (i.e., for each observation) importance for each category of features, we added Shapley values across all features in a category, separately for each observation. To calculate global importance for each feature category, we averaged the absolute value of the Shapley values of all features in the category across all observations. These local and global importance scores based on Shapley values allow us to answer questions of relative feature importance. However, these are descriptive analyses because standard errors or other indices of uncertainty for importance scores are not available for Shapley values.</w:t>
      </w:r>
    </w:p>
    <w:bookmarkEnd w:id="33"/>
    <w:bookmarkEnd w:id="34"/>
    <w:bookmarkEnd w:id="35"/>
    <w:bookmarkStart w:id="64" w:name="results"/>
    <w:p>
      <w:pPr>
        <w:pStyle w:val="Heading2"/>
      </w:pPr>
      <w:r>
        <w:t xml:space="preserve">2.3 Results</w:t>
      </w:r>
    </w:p>
    <w:bookmarkStart w:id="38" w:name="demographic-and-clinical-characteristics"/>
    <w:p>
      <w:pPr>
        <w:pStyle w:val="Heading3"/>
      </w:pPr>
      <w:r>
        <w:t xml:space="preserve">2.3.1 Demographic and Clinical Characteristics</w:t>
      </w:r>
    </w:p>
    <w:p>
      <w:pPr>
        <w:pStyle w:val="FirstParagraph"/>
      </w:pPr>
      <w:r>
        <w:t xml:space="preserve">One hundred ninety-two participants were eligible. Of these, 191 consented to participate, and 169 subsequently enrolled in the study. Fifteen participants discontinued before the first monthly follow-up visit. We excluded data from one participant who did not maintain a goal of abstinence during their participation. We also excluded data from two participants due to evidence of careless responding and unusually low compliance. Our final sample consisted of 151 participants.</w:t>
      </w:r>
    </w:p>
    <w:p>
      <w:pPr>
        <w:pStyle w:val="BodyText"/>
      </w:pPr>
      <w:r>
        <w:t xml:space="preserve">The final sample included approximately equal numbers of men (N = 77, 51.0%) and women (N = 74, 49.0%) who ranged in age from 21 to 72 years old. The sample was majority White (N = 131, 86.8%) and non-Hispanic (N = 147, 97.4%). Participants self-reported a median of 9.0 DSM-5 symptoms of AUD (M = 8.9, SD = 1.9, range = 4.0–11.0) and a median of 4.0 previous quit attempts (M = 5.5, SD = 5.8, range = 0.0–30.0). Most participants (N = 84, 55.6%) reported one or more lapses during participation. The median number of lapses per participant while on study was 1.0 (M = 6.8, SD = 12.0, range = 0.0–75.0).</w:t>
      </w:r>
      <w:r>
        <w:t xml:space="preserve"> </w:t>
      </w:r>
      <w:hyperlink w:anchor="tbl-dem">
        <w:r>
          <w:rPr>
            <w:rStyle w:val="Hyperlink"/>
          </w:rPr>
          <w:t xml:space="preserve">Table 3</w:t>
        </w:r>
      </w:hyperlink>
      <w:r>
        <w:t xml:space="preserve"> </w:t>
      </w:r>
      <w:r>
        <w:t xml:space="preserve">provides more detail on demographic and clinical characteristics of the sample.</w:t>
      </w:r>
    </w:p>
    <w:tbl>
      <w:tblPr>
        <w:tblStyle w:val="Table"/>
        <w:tblW w:type="pct" w:w="5000"/>
        <w:tblLayout w:type="fixed"/>
        <w:tblLook w:firstRow="0" w:lastRow="0" w:firstColumn="0" w:lastColumn="0" w:noHBand="0" w:noVBand="0" w:val="0000"/>
      </w:tblPr>
      <w:tblGrid>
        <w:gridCol w:w="7920"/>
      </w:tblGrid>
      <w:tr>
        <w:tc>
          <w:tcPr/>
          <w:bookmarkStart w:id="36" w:name="tbl-dem"/>
          <w:p>
            <w:pPr>
              <w:jc w:val="center"/>
            </w:pPr>
            <w:pPr>
              <w:jc w:val="left"/>
              <w:spacing w:before="200"/>
              <w:pStyle w:val="ImageCaption"/>
            </w:pPr>
            <w:r>
              <w:t xml:space="preserve">Table 1: Demographic and Lapse Characteristics</w:t>
            </w:r>
          </w:p>
          <w:tbl>
            <w:tblPr>
              <w:tblStyle w:val="Table"/>
              <w:tblW w:type="pct" w:w="4894"/>
              <w:tblLayout w:type="fixed"/>
              <w:tblLook w:firstRow="1" w:lastRow="0" w:firstColumn="0" w:lastColumn="0" w:noHBand="0" w:noVBand="0" w:val="0020"/>
            </w:tblPr>
            <w:tblGrid>
              <w:gridCol w:w="3622"/>
              <w:gridCol w:w="505"/>
              <w:gridCol w:w="589"/>
              <w:gridCol w:w="926"/>
              <w:gridCol w:w="926"/>
              <w:gridCol w:w="1179"/>
            </w:tblGrid>
            <w:tr>
              <w:trPr>
                <w:tblHeader w:val="on"/>
              </w:trPr>
              <w:tc>
                <w:tcPr/>
                <w:p>
                  <w:pPr>
                    <w:pStyle w:val="Compact"/>
                    <w:jc w:val="left"/>
                    <w:jc w:val="center"/>
                  </w:pPr>
                  <w:r>
                    <w:t xml:space="preserve">var</w:t>
                  </w:r>
                </w:p>
              </w:tc>
              <w:tc>
                <w:tcPr/>
                <w:p>
                  <w:pPr>
                    <w:pStyle w:val="Compact"/>
                    <w:jc w:val="right"/>
                    <w:jc w:val="center"/>
                  </w:pPr>
                  <w:r>
                    <w:t xml:space="preserve">N</w:t>
                  </w:r>
                </w:p>
              </w:tc>
              <w:tc>
                <w:tcPr/>
                <w:p>
                  <w:pPr>
                    <w:pStyle w:val="Compact"/>
                    <w:jc w:val="right"/>
                    <w:jc w:val="center"/>
                  </w:pPr>
                  <w:r>
                    <w:t xml:space="preserve">%</w:t>
                  </w:r>
                </w:p>
              </w:tc>
              <w:tc>
                <w:tcPr/>
                <w:p>
                  <w:pPr>
                    <w:pStyle w:val="Compact"/>
                    <w:jc w:val="left"/>
                    <w:jc w:val="center"/>
                  </w:pPr>
                  <w:r>
                    <w:t xml:space="preserve">M</w:t>
                  </w:r>
                </w:p>
              </w:tc>
              <w:tc>
                <w:tcPr/>
                <w:p>
                  <w:pPr>
                    <w:pStyle w:val="Compact"/>
                    <w:jc w:val="left"/>
                    <w:jc w:val="center"/>
                  </w:pPr>
                  <w:r>
                    <w:t xml:space="preserve">SD</w:t>
                  </w:r>
                </w:p>
              </w:tc>
              <w:tc>
                <w:tcPr/>
                <w:p>
                  <w:pPr>
                    <w:pStyle w:val="Compact"/>
                    <w:jc w:val="left"/>
                    <w:jc w:val="center"/>
                  </w:pPr>
                  <w:r>
                    <w:t xml:space="preserve">Range</w:t>
                  </w:r>
                </w:p>
              </w:tc>
            </w:tr>
            <w:tr>
              <w:tc>
                <w:tcPr/>
                <w:p>
                  <w:pPr>
                    <w:pStyle w:val="Compact"/>
                    <w:jc w:val="left"/>
                    <w:jc w:val="center"/>
                  </w:pPr>
                  <w:r>
                    <w:t xml:space="preserve">Age</w:t>
                  </w:r>
                </w:p>
              </w:tc>
              <w:tc>
                <w:tcPr/>
                <w:p>
                  <w:pPr>
                    <w:pStyle w:val="Compact"/>
                  </w:pPr>
                </w:p>
              </w:tc>
              <w:tc>
                <w:tcPr/>
                <w:p>
                  <w:pPr>
                    <w:pStyle w:val="Compact"/>
                  </w:pPr>
                </w:p>
              </w:tc>
              <w:tc>
                <w:tcPr/>
                <w:p>
                  <w:pPr>
                    <w:pStyle w:val="Compact"/>
                    <w:jc w:val="left"/>
                    <w:jc w:val="center"/>
                  </w:pPr>
                  <w:r>
                    <w:t xml:space="preserve">41</w:t>
                  </w:r>
                </w:p>
              </w:tc>
              <w:tc>
                <w:tcPr/>
                <w:p>
                  <w:pPr>
                    <w:pStyle w:val="Compact"/>
                    <w:jc w:val="left"/>
                    <w:jc w:val="center"/>
                  </w:pPr>
                  <w:r>
                    <w:t xml:space="preserve">11.9</w:t>
                  </w:r>
                </w:p>
              </w:tc>
              <w:tc>
                <w:tcPr/>
                <w:p>
                  <w:pPr>
                    <w:pStyle w:val="Compact"/>
                    <w:jc w:val="left"/>
                    <w:jc w:val="center"/>
                  </w:pPr>
                  <w:r>
                    <w:t xml:space="preserve">21-72</w:t>
                  </w:r>
                </w:p>
              </w:tc>
            </w:tr>
            <w:tr>
              <w:tc>
                <w:tcPr/>
                <w:p>
                  <w:pPr>
                    <w:pStyle w:val="Compact"/>
                    <w:jc w:val="left"/>
                    <w:jc w:val="center"/>
                  </w:pPr>
                  <w:r>
                    <w:t xml:space="preserve">Sex</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Female</w:t>
                  </w:r>
                </w:p>
              </w:tc>
              <w:tc>
                <w:tcPr/>
                <w:p>
                  <w:pPr>
                    <w:pStyle w:val="Compact"/>
                    <w:jc w:val="right"/>
                    <w:jc w:val="center"/>
                  </w:pPr>
                  <w:r>
                    <w:t xml:space="preserve">74</w:t>
                  </w:r>
                </w:p>
              </w:tc>
              <w:tc>
                <w:tcPr/>
                <w:p>
                  <w:pPr>
                    <w:pStyle w:val="Compact"/>
                    <w:jc w:val="right"/>
                    <w:jc w:val="center"/>
                  </w:pPr>
                  <w:r>
                    <w:t xml:space="preserve">49.0</w:t>
                  </w:r>
                </w:p>
              </w:tc>
              <w:tc>
                <w:tcPr/>
                <w:p>
                  <w:pPr>
                    <w:pStyle w:val="Compact"/>
                  </w:pPr>
                </w:p>
              </w:tc>
              <w:tc>
                <w:tcPr/>
                <w:p>
                  <w:pPr>
                    <w:pStyle w:val="Compact"/>
                  </w:pPr>
                </w:p>
              </w:tc>
              <w:tc>
                <w:tcPr/>
                <w:p>
                  <w:pPr>
                    <w:pStyle w:val="Compact"/>
                  </w:pPr>
                </w:p>
              </w:tc>
            </w:tr>
            <w:tr>
              <w:tc>
                <w:tcPr/>
                <w:p>
                  <w:pPr>
                    <w:pStyle w:val="Compact"/>
                    <w:jc w:val="left"/>
                    <w:jc w:val="center"/>
                  </w:pPr>
                  <w:r>
                    <w:t xml:space="preserve">Male</w:t>
                  </w:r>
                </w:p>
              </w:tc>
              <w:tc>
                <w:tcPr/>
                <w:p>
                  <w:pPr>
                    <w:pStyle w:val="Compact"/>
                    <w:jc w:val="right"/>
                    <w:jc w:val="center"/>
                  </w:pPr>
                  <w:r>
                    <w:t xml:space="preserve">77</w:t>
                  </w:r>
                </w:p>
              </w:tc>
              <w:tc>
                <w:tcPr/>
                <w:p>
                  <w:pPr>
                    <w:pStyle w:val="Compact"/>
                    <w:jc w:val="right"/>
                    <w:jc w:val="center"/>
                  </w:pPr>
                  <w:r>
                    <w:t xml:space="preserve">51.0</w:t>
                  </w:r>
                </w:p>
              </w:tc>
              <w:tc>
                <w:tcPr/>
                <w:p>
                  <w:pPr>
                    <w:pStyle w:val="Compact"/>
                  </w:pPr>
                </w:p>
              </w:tc>
              <w:tc>
                <w:tcPr/>
                <w:p>
                  <w:pPr>
                    <w:pStyle w:val="Compact"/>
                  </w:pPr>
                </w:p>
              </w:tc>
              <w:tc>
                <w:tcPr/>
                <w:p>
                  <w:pPr>
                    <w:pStyle w:val="Compact"/>
                  </w:pPr>
                </w:p>
              </w:tc>
            </w:tr>
            <w:tr>
              <w:tc>
                <w:tcPr/>
                <w:p>
                  <w:pPr>
                    <w:pStyle w:val="Compact"/>
                    <w:jc w:val="left"/>
                    <w:jc w:val="center"/>
                  </w:pPr>
                  <w:r>
                    <w:t xml:space="preserve">Race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American Indian/Alaska Native</w:t>
                  </w:r>
                </w:p>
              </w:tc>
              <w:tc>
                <w:tcPr/>
                <w:p>
                  <w:pPr>
                    <w:pStyle w:val="Compact"/>
                    <w:jc w:val="right"/>
                    <w:jc w:val="center"/>
                  </w:pPr>
                  <w:r>
                    <w:t xml:space="preserve">3</w:t>
                  </w:r>
                </w:p>
              </w:tc>
              <w:tc>
                <w:tcPr/>
                <w:p>
                  <w:pPr>
                    <w:pStyle w:val="Compact"/>
                    <w:jc w:val="right"/>
                    <w:jc w:val="center"/>
                  </w:pPr>
                  <w:r>
                    <w:t xml:space="preserve">2.0</w:t>
                  </w:r>
                </w:p>
              </w:tc>
              <w:tc>
                <w:tcPr/>
                <w:p>
                  <w:pPr>
                    <w:pStyle w:val="Compact"/>
                  </w:pPr>
                </w:p>
              </w:tc>
              <w:tc>
                <w:tcPr/>
                <w:p>
                  <w:pPr>
                    <w:pStyle w:val="Compact"/>
                  </w:pPr>
                </w:p>
              </w:tc>
              <w:tc>
                <w:tcPr/>
                <w:p>
                  <w:pPr>
                    <w:pStyle w:val="Compact"/>
                  </w:pPr>
                </w:p>
              </w:tc>
            </w:tr>
            <w:tr>
              <w:tc>
                <w:tcPr/>
                <w:p>
                  <w:pPr>
                    <w:pStyle w:val="Compact"/>
                    <w:jc w:val="left"/>
                    <w:jc w:val="center"/>
                  </w:pPr>
                  <w:r>
                    <w:t xml:space="preserve">Asian</w:t>
                  </w:r>
                </w:p>
              </w:tc>
              <w:tc>
                <w:tcPr/>
                <w:p>
                  <w:pPr>
                    <w:pStyle w:val="Compact"/>
                    <w:jc w:val="right"/>
                    <w:jc w:val="center"/>
                  </w:pPr>
                  <w:r>
                    <w:t xml:space="preserve">2</w:t>
                  </w:r>
                </w:p>
              </w:tc>
              <w:tc>
                <w:tcPr/>
                <w:p>
                  <w:pPr>
                    <w:pStyle w:val="Compact"/>
                    <w:jc w:val="right"/>
                    <w:jc w:val="center"/>
                  </w:pPr>
                  <w:r>
                    <w:t xml:space="preserve">1.3</w:t>
                  </w:r>
                </w:p>
              </w:tc>
              <w:tc>
                <w:tcPr/>
                <w:p>
                  <w:pPr>
                    <w:pStyle w:val="Compact"/>
                  </w:pPr>
                </w:p>
              </w:tc>
              <w:tc>
                <w:tcPr/>
                <w:p>
                  <w:pPr>
                    <w:pStyle w:val="Compact"/>
                  </w:pPr>
                </w:p>
              </w:tc>
              <w:tc>
                <w:tcPr/>
                <w:p>
                  <w:pPr>
                    <w:pStyle w:val="Compact"/>
                  </w:pPr>
                </w:p>
              </w:tc>
            </w:tr>
            <w:tr>
              <w:tc>
                <w:tcPr/>
                <w:p>
                  <w:pPr>
                    <w:pStyle w:val="Compact"/>
                    <w:jc w:val="left"/>
                    <w:jc w:val="center"/>
                  </w:pPr>
                  <w:r>
                    <w:t xml:space="preserve">Black/African American</w:t>
                  </w:r>
                </w:p>
              </w:tc>
              <w:tc>
                <w:tcPr/>
                <w:p>
                  <w:pPr>
                    <w:pStyle w:val="Compact"/>
                    <w:jc w:val="right"/>
                    <w:jc w:val="center"/>
                  </w:pPr>
                  <w:r>
                    <w:t xml:space="preserve">8</w:t>
                  </w:r>
                </w:p>
              </w:tc>
              <w:tc>
                <w:tcPr/>
                <w:p>
                  <w:pPr>
                    <w:pStyle w:val="Compact"/>
                    <w:jc w:val="right"/>
                    <w:jc w:val="center"/>
                  </w:pPr>
                  <w:r>
                    <w:t xml:space="preserve">5.3</w:t>
                  </w:r>
                </w:p>
              </w:tc>
              <w:tc>
                <w:tcPr/>
                <w:p>
                  <w:pPr>
                    <w:pStyle w:val="Compact"/>
                  </w:pPr>
                </w:p>
              </w:tc>
              <w:tc>
                <w:tcPr/>
                <w:p>
                  <w:pPr>
                    <w:pStyle w:val="Compact"/>
                  </w:pPr>
                </w:p>
              </w:tc>
              <w:tc>
                <w:tcPr/>
                <w:p>
                  <w:pPr>
                    <w:pStyle w:val="Compact"/>
                  </w:pPr>
                </w:p>
              </w:tc>
            </w:tr>
            <w:tr>
              <w:tc>
                <w:tcPr/>
                <w:p>
                  <w:pPr>
                    <w:pStyle w:val="Compact"/>
                    <w:jc w:val="left"/>
                    <w:jc w:val="center"/>
                  </w:pPr>
                  <w:r>
                    <w:t xml:space="preserve">White/Caucasian</w:t>
                  </w:r>
                </w:p>
              </w:tc>
              <w:tc>
                <w:tcPr/>
                <w:p>
                  <w:pPr>
                    <w:pStyle w:val="Compact"/>
                    <w:jc w:val="right"/>
                    <w:jc w:val="center"/>
                  </w:pPr>
                  <w:r>
                    <w:t xml:space="preserve">131</w:t>
                  </w:r>
                </w:p>
              </w:tc>
              <w:tc>
                <w:tcPr/>
                <w:p>
                  <w:pPr>
                    <w:pStyle w:val="Compact"/>
                    <w:jc w:val="right"/>
                    <w:jc w:val="center"/>
                  </w:pPr>
                  <w:r>
                    <w:t xml:space="preserve">86.8</w:t>
                  </w:r>
                </w:p>
              </w:tc>
              <w:tc>
                <w:tcPr/>
                <w:p>
                  <w:pPr>
                    <w:pStyle w:val="Compact"/>
                  </w:pPr>
                </w:p>
              </w:tc>
              <w:tc>
                <w:tcPr/>
                <w:p>
                  <w:pPr>
                    <w:pStyle w:val="Compact"/>
                  </w:pPr>
                </w:p>
              </w:tc>
              <w:tc>
                <w:tcPr/>
                <w:p>
                  <w:pPr>
                    <w:pStyle w:val="Compact"/>
                  </w:pPr>
                </w:p>
              </w:tc>
            </w:tr>
            <w:tr>
              <w:tc>
                <w:tcPr/>
                <w:p>
                  <w:pPr>
                    <w:pStyle w:val="Compact"/>
                    <w:jc w:val="left"/>
                    <w:jc w:val="center"/>
                  </w:pPr>
                  <w:r>
                    <w:t xml:space="preserve">Other/Multiracial</w:t>
                  </w:r>
                </w:p>
              </w:tc>
              <w:tc>
                <w:tcPr/>
                <w:p>
                  <w:pPr>
                    <w:pStyle w:val="Compact"/>
                    <w:jc w:val="right"/>
                    <w:jc w:val="center"/>
                  </w:pPr>
                  <w:r>
                    <w:t xml:space="preserve">7</w:t>
                  </w:r>
                </w:p>
              </w:tc>
              <w:tc>
                <w:tcPr/>
                <w:p>
                  <w:pPr>
                    <w:pStyle w:val="Compact"/>
                    <w:jc w:val="right"/>
                    <w:jc w:val="center"/>
                  </w:pPr>
                  <w:r>
                    <w:t xml:space="preserve">4.6</w:t>
                  </w:r>
                </w:p>
              </w:tc>
              <w:tc>
                <w:tcPr/>
                <w:p>
                  <w:pPr>
                    <w:pStyle w:val="Compact"/>
                  </w:pPr>
                </w:p>
              </w:tc>
              <w:tc>
                <w:tcPr/>
                <w:p>
                  <w:pPr>
                    <w:pStyle w:val="Compact"/>
                  </w:pPr>
                </w:p>
              </w:tc>
              <w:tc>
                <w:tcPr/>
                <w:p>
                  <w:pPr>
                    <w:pStyle w:val="Compact"/>
                  </w:pPr>
                </w:p>
              </w:tc>
            </w:tr>
            <w:tr>
              <w:tc>
                <w:tcPr/>
                <w:p>
                  <w:pPr>
                    <w:pStyle w:val="Compact"/>
                    <w:jc w:val="left"/>
                    <w:jc w:val="center"/>
                  </w:pPr>
                  <w:r>
                    <w:t xml:space="preserve">Hispanic, Latino, or Spanish origin</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Yes</w:t>
                  </w:r>
                </w:p>
              </w:tc>
              <w:tc>
                <w:tcPr/>
                <w:p>
                  <w:pPr>
                    <w:pStyle w:val="Compact"/>
                    <w:jc w:val="right"/>
                    <w:jc w:val="center"/>
                  </w:pPr>
                  <w:r>
                    <w:t xml:space="preserve">4</w:t>
                  </w:r>
                </w:p>
              </w:tc>
              <w:tc>
                <w:tcPr/>
                <w:p>
                  <w:pPr>
                    <w:pStyle w:val="Compact"/>
                    <w:jc w:val="right"/>
                    <w:jc w:val="center"/>
                  </w:pPr>
                  <w:r>
                    <w:t xml:space="preserve">2.6</w:t>
                  </w:r>
                </w:p>
              </w:tc>
              <w:tc>
                <w:tcPr/>
                <w:p>
                  <w:pPr>
                    <w:pStyle w:val="Compact"/>
                  </w:pPr>
                </w:p>
              </w:tc>
              <w:tc>
                <w:tcPr/>
                <w:p>
                  <w:pPr>
                    <w:pStyle w:val="Compact"/>
                  </w:pPr>
                </w:p>
              </w:tc>
              <w:tc>
                <w:tcPr/>
                <w:p>
                  <w:pPr>
                    <w:pStyle w:val="Compact"/>
                  </w:pPr>
                </w:p>
              </w:tc>
            </w:tr>
            <w:tr>
              <w:tc>
                <w:tcPr/>
                <w:p>
                  <w:pPr>
                    <w:pStyle w:val="Compact"/>
                    <w:jc w:val="left"/>
                    <w:jc w:val="center"/>
                  </w:pPr>
                  <w:r>
                    <w:t xml:space="preserve">No</w:t>
                  </w:r>
                </w:p>
              </w:tc>
              <w:tc>
                <w:tcPr/>
                <w:p>
                  <w:pPr>
                    <w:pStyle w:val="Compact"/>
                    <w:jc w:val="right"/>
                    <w:jc w:val="center"/>
                  </w:pPr>
                  <w:r>
                    <w:t xml:space="preserve">147</w:t>
                  </w:r>
                </w:p>
              </w:tc>
              <w:tc>
                <w:tcPr/>
                <w:p>
                  <w:pPr>
                    <w:pStyle w:val="Compact"/>
                    <w:jc w:val="right"/>
                    <w:jc w:val="center"/>
                  </w:pPr>
                  <w:r>
                    <w:t xml:space="preserve">97.4</w:t>
                  </w:r>
                </w:p>
              </w:tc>
              <w:tc>
                <w:tcPr/>
                <w:p>
                  <w:pPr>
                    <w:pStyle w:val="Compact"/>
                  </w:pPr>
                </w:p>
              </w:tc>
              <w:tc>
                <w:tcPr/>
                <w:p>
                  <w:pPr>
                    <w:pStyle w:val="Compact"/>
                  </w:pPr>
                </w:p>
              </w:tc>
              <w:tc>
                <w:tcPr/>
                <w:p>
                  <w:pPr>
                    <w:pStyle w:val="Compact"/>
                  </w:pPr>
                </w:p>
              </w:tc>
            </w:tr>
            <w:tr>
              <w:tc>
                <w:tcPr/>
                <w:p>
                  <w:pPr>
                    <w:pStyle w:val="Compact"/>
                    <w:jc w:val="left"/>
                    <w:jc w:val="center"/>
                  </w:pPr>
                  <w:r>
                    <w:t xml:space="preserve">Education</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Less than high school or GED degree</w:t>
                  </w:r>
                </w:p>
              </w:tc>
              <w:tc>
                <w:tcPr/>
                <w:p>
                  <w:pPr>
                    <w:pStyle w:val="Compact"/>
                    <w:jc w:val="right"/>
                    <w:jc w:val="center"/>
                  </w:pPr>
                  <w:r>
                    <w:t xml:space="preserve">1</w:t>
                  </w:r>
                </w:p>
              </w:tc>
              <w:tc>
                <w:tcPr/>
                <w:p>
                  <w:pPr>
                    <w:pStyle w:val="Compact"/>
                    <w:jc w:val="right"/>
                    <w:jc w:val="center"/>
                  </w:pPr>
                  <w:r>
                    <w:t xml:space="preserve">0.7</w:t>
                  </w:r>
                </w:p>
              </w:tc>
              <w:tc>
                <w:tcPr/>
                <w:p>
                  <w:pPr>
                    <w:pStyle w:val="Compact"/>
                  </w:pPr>
                </w:p>
              </w:tc>
              <w:tc>
                <w:tcPr/>
                <w:p>
                  <w:pPr>
                    <w:pStyle w:val="Compact"/>
                  </w:pPr>
                </w:p>
              </w:tc>
              <w:tc>
                <w:tcPr/>
                <w:p>
                  <w:pPr>
                    <w:pStyle w:val="Compact"/>
                  </w:pPr>
                </w:p>
              </w:tc>
            </w:tr>
            <w:tr>
              <w:tc>
                <w:tcPr/>
                <w:p>
                  <w:pPr>
                    <w:pStyle w:val="Compact"/>
                    <w:jc w:val="left"/>
                    <w:jc w:val="center"/>
                  </w:pPr>
                  <w:r>
                    <w:t xml:space="preserve">High school or GED</w:t>
                  </w:r>
                </w:p>
              </w:tc>
              <w:tc>
                <w:tcPr/>
                <w:p>
                  <w:pPr>
                    <w:pStyle w:val="Compact"/>
                    <w:jc w:val="right"/>
                    <w:jc w:val="center"/>
                  </w:pPr>
                  <w:r>
                    <w:t xml:space="preserve">14</w:t>
                  </w:r>
                </w:p>
              </w:tc>
              <w:tc>
                <w:tcPr/>
                <w:p>
                  <w:pPr>
                    <w:pStyle w:val="Compact"/>
                    <w:jc w:val="right"/>
                    <w:jc w:val="center"/>
                  </w:pPr>
                  <w:r>
                    <w:t xml:space="preserve">9.3</w:t>
                  </w:r>
                </w:p>
              </w:tc>
              <w:tc>
                <w:tcPr/>
                <w:p>
                  <w:pPr>
                    <w:pStyle w:val="Compact"/>
                  </w:pPr>
                </w:p>
              </w:tc>
              <w:tc>
                <w:tcPr/>
                <w:p>
                  <w:pPr>
                    <w:pStyle w:val="Compact"/>
                  </w:pPr>
                </w:p>
              </w:tc>
              <w:tc>
                <w:tcPr/>
                <w:p>
                  <w:pPr>
                    <w:pStyle w:val="Compact"/>
                  </w:pPr>
                </w:p>
              </w:tc>
            </w:tr>
            <w:tr>
              <w:tc>
                <w:tcPr/>
                <w:p>
                  <w:pPr>
                    <w:pStyle w:val="Compact"/>
                    <w:jc w:val="left"/>
                    <w:jc w:val="center"/>
                  </w:pPr>
                  <w:r>
                    <w:t xml:space="preserve">Some college</w:t>
                  </w:r>
                </w:p>
              </w:tc>
              <w:tc>
                <w:tcPr/>
                <w:p>
                  <w:pPr>
                    <w:pStyle w:val="Compact"/>
                    <w:jc w:val="right"/>
                    <w:jc w:val="center"/>
                  </w:pPr>
                  <w:r>
                    <w:t xml:space="preserve">41</w:t>
                  </w:r>
                </w:p>
              </w:tc>
              <w:tc>
                <w:tcPr/>
                <w:p>
                  <w:pPr>
                    <w:pStyle w:val="Compact"/>
                    <w:jc w:val="right"/>
                    <w:jc w:val="center"/>
                  </w:pPr>
                  <w:r>
                    <w:t xml:space="preserve">27.2</w:t>
                  </w:r>
                </w:p>
              </w:tc>
              <w:tc>
                <w:tcPr/>
                <w:p>
                  <w:pPr>
                    <w:pStyle w:val="Compact"/>
                  </w:pPr>
                </w:p>
              </w:tc>
              <w:tc>
                <w:tcPr/>
                <w:p>
                  <w:pPr>
                    <w:pStyle w:val="Compact"/>
                  </w:pPr>
                </w:p>
              </w:tc>
              <w:tc>
                <w:tcPr/>
                <w:p>
                  <w:pPr>
                    <w:pStyle w:val="Compact"/>
                  </w:pPr>
                </w:p>
              </w:tc>
            </w:tr>
            <w:tr>
              <w:tc>
                <w:tcPr/>
                <w:p>
                  <w:pPr>
                    <w:pStyle w:val="Compact"/>
                    <w:jc w:val="left"/>
                    <w:jc w:val="center"/>
                  </w:pPr>
                  <w:r>
                    <w:t xml:space="preserve">2-Year degree</w:t>
                  </w:r>
                </w:p>
              </w:tc>
              <w:tc>
                <w:tcPr/>
                <w:p>
                  <w:pPr>
                    <w:pStyle w:val="Compact"/>
                    <w:jc w:val="right"/>
                    <w:jc w:val="center"/>
                  </w:pPr>
                  <w:r>
                    <w:t xml:space="preserve">14</w:t>
                  </w:r>
                </w:p>
              </w:tc>
              <w:tc>
                <w:tcPr/>
                <w:p>
                  <w:pPr>
                    <w:pStyle w:val="Compact"/>
                    <w:jc w:val="right"/>
                    <w:jc w:val="center"/>
                  </w:pPr>
                  <w:r>
                    <w:t xml:space="preserve">9.3</w:t>
                  </w:r>
                </w:p>
              </w:tc>
              <w:tc>
                <w:tcPr/>
                <w:p>
                  <w:pPr>
                    <w:pStyle w:val="Compact"/>
                  </w:pPr>
                </w:p>
              </w:tc>
              <w:tc>
                <w:tcPr/>
                <w:p>
                  <w:pPr>
                    <w:pStyle w:val="Compact"/>
                  </w:pPr>
                </w:p>
              </w:tc>
              <w:tc>
                <w:tcPr/>
                <w:p>
                  <w:pPr>
                    <w:pStyle w:val="Compact"/>
                  </w:pPr>
                </w:p>
              </w:tc>
            </w:tr>
            <w:tr>
              <w:tc>
                <w:tcPr/>
                <w:p>
                  <w:pPr>
                    <w:pStyle w:val="Compact"/>
                    <w:jc w:val="left"/>
                    <w:jc w:val="center"/>
                  </w:pPr>
                  <w:r>
                    <w:t xml:space="preserve">College degree</w:t>
                  </w:r>
                </w:p>
              </w:tc>
              <w:tc>
                <w:tcPr/>
                <w:p>
                  <w:pPr>
                    <w:pStyle w:val="Compact"/>
                    <w:jc w:val="right"/>
                    <w:jc w:val="center"/>
                  </w:pPr>
                  <w:r>
                    <w:t xml:space="preserve">58</w:t>
                  </w:r>
                </w:p>
              </w:tc>
              <w:tc>
                <w:tcPr/>
                <w:p>
                  <w:pPr>
                    <w:pStyle w:val="Compact"/>
                    <w:jc w:val="right"/>
                    <w:jc w:val="center"/>
                  </w:pPr>
                  <w:r>
                    <w:t xml:space="preserve">38.4</w:t>
                  </w:r>
                </w:p>
              </w:tc>
              <w:tc>
                <w:tcPr/>
                <w:p>
                  <w:pPr>
                    <w:pStyle w:val="Compact"/>
                  </w:pPr>
                </w:p>
              </w:tc>
              <w:tc>
                <w:tcPr/>
                <w:p>
                  <w:pPr>
                    <w:pStyle w:val="Compact"/>
                  </w:pPr>
                </w:p>
              </w:tc>
              <w:tc>
                <w:tcPr/>
                <w:p>
                  <w:pPr>
                    <w:pStyle w:val="Compact"/>
                  </w:pPr>
                </w:p>
              </w:tc>
            </w:tr>
            <w:tr>
              <w:tc>
                <w:tcPr/>
                <w:p>
                  <w:pPr>
                    <w:pStyle w:val="Compact"/>
                    <w:jc w:val="left"/>
                    <w:jc w:val="center"/>
                  </w:pPr>
                  <w:r>
                    <w:t xml:space="preserve">Advanced degree</w:t>
                  </w:r>
                </w:p>
              </w:tc>
              <w:tc>
                <w:tcPr/>
                <w:p>
                  <w:pPr>
                    <w:pStyle w:val="Compact"/>
                    <w:jc w:val="right"/>
                    <w:jc w:val="center"/>
                  </w:pPr>
                  <w:r>
                    <w:t xml:space="preserve">23</w:t>
                  </w:r>
                </w:p>
              </w:tc>
              <w:tc>
                <w:tcPr/>
                <w:p>
                  <w:pPr>
                    <w:pStyle w:val="Compact"/>
                    <w:jc w:val="right"/>
                    <w:jc w:val="center"/>
                  </w:pPr>
                  <w:r>
                    <w:t xml:space="preserve">15.2</w:t>
                  </w:r>
                </w:p>
              </w:tc>
              <w:tc>
                <w:tcPr/>
                <w:p>
                  <w:pPr>
                    <w:pStyle w:val="Compact"/>
                  </w:pPr>
                </w:p>
              </w:tc>
              <w:tc>
                <w:tcPr/>
                <w:p>
                  <w:pPr>
                    <w:pStyle w:val="Compact"/>
                  </w:pPr>
                </w:p>
              </w:tc>
              <w:tc>
                <w:tcPr/>
                <w:p>
                  <w:pPr>
                    <w:pStyle w:val="Compact"/>
                  </w:pPr>
                </w:p>
              </w:tc>
            </w:tr>
            <w:tr>
              <w:tc>
                <w:tcPr/>
                <w:p>
                  <w:pPr>
                    <w:pStyle w:val="Compact"/>
                    <w:jc w:val="left"/>
                    <w:jc w:val="center"/>
                  </w:pPr>
                  <w:r>
                    <w:t xml:space="preserve">Employment</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Employed full-time</w:t>
                  </w:r>
                </w:p>
              </w:tc>
              <w:tc>
                <w:tcPr/>
                <w:p>
                  <w:pPr>
                    <w:pStyle w:val="Compact"/>
                    <w:jc w:val="right"/>
                    <w:jc w:val="center"/>
                  </w:pPr>
                  <w:r>
                    <w:t xml:space="preserve">72</w:t>
                  </w:r>
                </w:p>
              </w:tc>
              <w:tc>
                <w:tcPr/>
                <w:p>
                  <w:pPr>
                    <w:pStyle w:val="Compact"/>
                    <w:jc w:val="right"/>
                    <w:jc w:val="center"/>
                  </w:pPr>
                  <w:r>
                    <w:t xml:space="preserve">47.7</w:t>
                  </w:r>
                </w:p>
              </w:tc>
              <w:tc>
                <w:tcPr/>
                <w:p>
                  <w:pPr>
                    <w:pStyle w:val="Compact"/>
                  </w:pPr>
                </w:p>
              </w:tc>
              <w:tc>
                <w:tcPr/>
                <w:p>
                  <w:pPr>
                    <w:pStyle w:val="Compact"/>
                  </w:pPr>
                </w:p>
              </w:tc>
              <w:tc>
                <w:tcPr/>
                <w:p>
                  <w:pPr>
                    <w:pStyle w:val="Compact"/>
                  </w:pPr>
                </w:p>
              </w:tc>
            </w:tr>
            <w:tr>
              <w:tc>
                <w:tcPr/>
                <w:p>
                  <w:pPr>
                    <w:pStyle w:val="Compact"/>
                    <w:jc w:val="left"/>
                    <w:jc w:val="center"/>
                  </w:pPr>
                  <w:r>
                    <w:t xml:space="preserve">Employed part-time</w:t>
                  </w:r>
                </w:p>
              </w:tc>
              <w:tc>
                <w:tcPr/>
                <w:p>
                  <w:pPr>
                    <w:pStyle w:val="Compact"/>
                    <w:jc w:val="right"/>
                    <w:jc w:val="center"/>
                  </w:pPr>
                  <w:r>
                    <w:t xml:space="preserve">26</w:t>
                  </w:r>
                </w:p>
              </w:tc>
              <w:tc>
                <w:tcPr/>
                <w:p>
                  <w:pPr>
                    <w:pStyle w:val="Compact"/>
                    <w:jc w:val="right"/>
                    <w:jc w:val="center"/>
                  </w:pPr>
                  <w:r>
                    <w:t xml:space="preserve">17.2</w:t>
                  </w:r>
                </w:p>
              </w:tc>
              <w:tc>
                <w:tcPr/>
                <w:p>
                  <w:pPr>
                    <w:pStyle w:val="Compact"/>
                  </w:pPr>
                </w:p>
              </w:tc>
              <w:tc>
                <w:tcPr/>
                <w:p>
                  <w:pPr>
                    <w:pStyle w:val="Compact"/>
                  </w:pPr>
                </w:p>
              </w:tc>
              <w:tc>
                <w:tcPr/>
                <w:p>
                  <w:pPr>
                    <w:pStyle w:val="Compact"/>
                  </w:pPr>
                </w:p>
              </w:tc>
            </w:tr>
            <w:tr>
              <w:tc>
                <w:tcPr/>
                <w:p>
                  <w:pPr>
                    <w:pStyle w:val="Compact"/>
                    <w:jc w:val="left"/>
                    <w:jc w:val="center"/>
                  </w:pPr>
                  <w:r>
                    <w:t xml:space="preserve">Full-time student</w:t>
                  </w:r>
                </w:p>
              </w:tc>
              <w:tc>
                <w:tcPr/>
                <w:p>
                  <w:pPr>
                    <w:pStyle w:val="Compact"/>
                    <w:jc w:val="right"/>
                    <w:jc w:val="center"/>
                  </w:pPr>
                  <w:r>
                    <w:t xml:space="preserve">7</w:t>
                  </w:r>
                </w:p>
              </w:tc>
              <w:tc>
                <w:tcPr/>
                <w:p>
                  <w:pPr>
                    <w:pStyle w:val="Compact"/>
                    <w:jc w:val="right"/>
                    <w:jc w:val="center"/>
                  </w:pPr>
                  <w:r>
                    <w:t xml:space="preserve">4.6</w:t>
                  </w:r>
                </w:p>
              </w:tc>
              <w:tc>
                <w:tcPr/>
                <w:p>
                  <w:pPr>
                    <w:pStyle w:val="Compact"/>
                  </w:pPr>
                </w:p>
              </w:tc>
              <w:tc>
                <w:tcPr/>
                <w:p>
                  <w:pPr>
                    <w:pStyle w:val="Compact"/>
                  </w:pPr>
                </w:p>
              </w:tc>
              <w:tc>
                <w:tcPr/>
                <w:p>
                  <w:pPr>
                    <w:pStyle w:val="Compact"/>
                  </w:pPr>
                </w:p>
              </w:tc>
            </w:tr>
            <w:tr>
              <w:tc>
                <w:tcPr/>
                <w:p>
                  <w:pPr>
                    <w:pStyle w:val="Compact"/>
                    <w:jc w:val="left"/>
                    <w:jc w:val="center"/>
                  </w:pPr>
                  <w:r>
                    <w:t xml:space="preserve">Homemaker</w:t>
                  </w:r>
                </w:p>
              </w:tc>
              <w:tc>
                <w:tcPr/>
                <w:p>
                  <w:pPr>
                    <w:pStyle w:val="Compact"/>
                    <w:jc w:val="right"/>
                    <w:jc w:val="center"/>
                  </w:pPr>
                  <w:r>
                    <w:t xml:space="preserve">1</w:t>
                  </w:r>
                </w:p>
              </w:tc>
              <w:tc>
                <w:tcPr/>
                <w:p>
                  <w:pPr>
                    <w:pStyle w:val="Compact"/>
                    <w:jc w:val="right"/>
                    <w:jc w:val="center"/>
                  </w:pPr>
                  <w:r>
                    <w:t xml:space="preserve">0.7</w:t>
                  </w:r>
                </w:p>
              </w:tc>
              <w:tc>
                <w:tcPr/>
                <w:p>
                  <w:pPr>
                    <w:pStyle w:val="Compact"/>
                  </w:pPr>
                </w:p>
              </w:tc>
              <w:tc>
                <w:tcPr/>
                <w:p>
                  <w:pPr>
                    <w:pStyle w:val="Compact"/>
                  </w:pPr>
                </w:p>
              </w:tc>
              <w:tc>
                <w:tcPr/>
                <w:p>
                  <w:pPr>
                    <w:pStyle w:val="Compact"/>
                  </w:pPr>
                </w:p>
              </w:tc>
            </w:tr>
            <w:tr>
              <w:tc>
                <w:tcPr/>
                <w:p>
                  <w:pPr>
                    <w:pStyle w:val="Compact"/>
                    <w:jc w:val="left"/>
                    <w:jc w:val="center"/>
                  </w:pPr>
                  <w:r>
                    <w:t xml:space="preserve">Disabled</w:t>
                  </w:r>
                </w:p>
              </w:tc>
              <w:tc>
                <w:tcPr/>
                <w:p>
                  <w:pPr>
                    <w:pStyle w:val="Compact"/>
                    <w:jc w:val="right"/>
                    <w:jc w:val="center"/>
                  </w:pPr>
                  <w:r>
                    <w:t xml:space="preserve">7</w:t>
                  </w:r>
                </w:p>
              </w:tc>
              <w:tc>
                <w:tcPr/>
                <w:p>
                  <w:pPr>
                    <w:pStyle w:val="Compact"/>
                    <w:jc w:val="right"/>
                    <w:jc w:val="center"/>
                  </w:pPr>
                  <w:r>
                    <w:t xml:space="preserve">4.6</w:t>
                  </w:r>
                </w:p>
              </w:tc>
              <w:tc>
                <w:tcPr/>
                <w:p>
                  <w:pPr>
                    <w:pStyle w:val="Compact"/>
                  </w:pPr>
                </w:p>
              </w:tc>
              <w:tc>
                <w:tcPr/>
                <w:p>
                  <w:pPr>
                    <w:pStyle w:val="Compact"/>
                  </w:pPr>
                </w:p>
              </w:tc>
              <w:tc>
                <w:tcPr/>
                <w:p>
                  <w:pPr>
                    <w:pStyle w:val="Compact"/>
                  </w:pPr>
                </w:p>
              </w:tc>
            </w:tr>
            <w:tr>
              <w:tc>
                <w:tcPr/>
                <w:p>
                  <w:pPr>
                    <w:pStyle w:val="Compact"/>
                    <w:jc w:val="left"/>
                    <w:jc w:val="center"/>
                  </w:pPr>
                  <w:r>
                    <w:t xml:space="preserve">Retired</w:t>
                  </w:r>
                </w:p>
              </w:tc>
              <w:tc>
                <w:tcPr/>
                <w:p>
                  <w:pPr>
                    <w:pStyle w:val="Compact"/>
                    <w:jc w:val="right"/>
                    <w:jc w:val="center"/>
                  </w:pPr>
                  <w:r>
                    <w:t xml:space="preserve">8</w:t>
                  </w:r>
                </w:p>
              </w:tc>
              <w:tc>
                <w:tcPr/>
                <w:p>
                  <w:pPr>
                    <w:pStyle w:val="Compact"/>
                    <w:jc w:val="right"/>
                    <w:jc w:val="center"/>
                  </w:pPr>
                  <w:r>
                    <w:t xml:space="preserve">5.3</w:t>
                  </w:r>
                </w:p>
              </w:tc>
              <w:tc>
                <w:tcPr/>
                <w:p>
                  <w:pPr>
                    <w:pStyle w:val="Compact"/>
                  </w:pPr>
                </w:p>
              </w:tc>
              <w:tc>
                <w:tcPr/>
                <w:p>
                  <w:pPr>
                    <w:pStyle w:val="Compact"/>
                  </w:pPr>
                </w:p>
              </w:tc>
              <w:tc>
                <w:tcPr/>
                <w:p>
                  <w:pPr>
                    <w:pStyle w:val="Compact"/>
                  </w:pPr>
                </w:p>
              </w:tc>
            </w:tr>
            <w:tr>
              <w:tc>
                <w:tcPr/>
                <w:p>
                  <w:pPr>
                    <w:pStyle w:val="Compact"/>
                    <w:jc w:val="left"/>
                    <w:jc w:val="center"/>
                  </w:pPr>
                  <w:r>
                    <w:t xml:space="preserve">Unemployed</w:t>
                  </w:r>
                </w:p>
              </w:tc>
              <w:tc>
                <w:tcPr/>
                <w:p>
                  <w:pPr>
                    <w:pStyle w:val="Compact"/>
                    <w:jc w:val="right"/>
                    <w:jc w:val="center"/>
                  </w:pPr>
                  <w:r>
                    <w:t xml:space="preserve">18</w:t>
                  </w:r>
                </w:p>
              </w:tc>
              <w:tc>
                <w:tcPr/>
                <w:p>
                  <w:pPr>
                    <w:pStyle w:val="Compact"/>
                    <w:jc w:val="right"/>
                    <w:jc w:val="center"/>
                  </w:pPr>
                  <w:r>
                    <w:t xml:space="preserve">11.9</w:t>
                  </w:r>
                </w:p>
              </w:tc>
              <w:tc>
                <w:tcPr/>
                <w:p>
                  <w:pPr>
                    <w:pStyle w:val="Compact"/>
                  </w:pPr>
                </w:p>
              </w:tc>
              <w:tc>
                <w:tcPr/>
                <w:p>
                  <w:pPr>
                    <w:pStyle w:val="Compact"/>
                  </w:pPr>
                </w:p>
              </w:tc>
              <w:tc>
                <w:tcPr/>
                <w:p>
                  <w:pPr>
                    <w:pStyle w:val="Compact"/>
                  </w:pPr>
                </w:p>
              </w:tc>
            </w:tr>
            <w:tr>
              <w:tc>
                <w:tcPr/>
                <w:p>
                  <w:pPr>
                    <w:pStyle w:val="Compact"/>
                    <w:jc w:val="left"/>
                    <w:jc w:val="center"/>
                  </w:pPr>
                  <w:r>
                    <w:t xml:space="preserve">Temporarily laid off, sick leave, or</w:t>
                  </w:r>
                  <w:r>
                    <w:t xml:space="preserve"> </w:t>
                  </w:r>
                  <w:r>
                    <w:t xml:space="preserve">maternity leave</w:t>
                  </w:r>
                </w:p>
              </w:tc>
              <w:tc>
                <w:tcPr/>
                <w:p>
                  <w:pPr>
                    <w:pStyle w:val="Compact"/>
                    <w:jc w:val="right"/>
                    <w:jc w:val="center"/>
                  </w:pPr>
                  <w:r>
                    <w:t xml:space="preserve">3</w:t>
                  </w:r>
                </w:p>
              </w:tc>
              <w:tc>
                <w:tcPr/>
                <w:p>
                  <w:pPr>
                    <w:pStyle w:val="Compact"/>
                    <w:jc w:val="right"/>
                    <w:jc w:val="center"/>
                  </w:pPr>
                  <w:r>
                    <w:t xml:space="preserve">2.0</w:t>
                  </w:r>
                </w:p>
              </w:tc>
              <w:tc>
                <w:tcPr/>
                <w:p>
                  <w:pPr>
                    <w:pStyle w:val="Compact"/>
                  </w:pPr>
                </w:p>
              </w:tc>
              <w:tc>
                <w:tcPr/>
                <w:p>
                  <w:pPr>
                    <w:pStyle w:val="Compact"/>
                  </w:pPr>
                </w:p>
              </w:tc>
              <w:tc>
                <w:tcPr/>
                <w:p>
                  <w:pPr>
                    <w:pStyle w:val="Compact"/>
                  </w:pPr>
                </w:p>
              </w:tc>
            </w:tr>
            <w:tr>
              <w:tc>
                <w:tcPr/>
                <w:p>
                  <w:pPr>
                    <w:pStyle w:val="Compact"/>
                    <w:jc w:val="left"/>
                    <w:jc w:val="center"/>
                  </w:pPr>
                  <w:r>
                    <w:t xml:space="preserve">Other, not otherwise specified</w:t>
                  </w:r>
                </w:p>
              </w:tc>
              <w:tc>
                <w:tcPr/>
                <w:p>
                  <w:pPr>
                    <w:pStyle w:val="Compact"/>
                    <w:jc w:val="right"/>
                    <w:jc w:val="center"/>
                  </w:pPr>
                  <w:r>
                    <w:t xml:space="preserve">9</w:t>
                  </w:r>
                </w:p>
              </w:tc>
              <w:tc>
                <w:tcPr/>
                <w:p>
                  <w:pPr>
                    <w:pStyle w:val="Compact"/>
                    <w:jc w:val="right"/>
                    <w:jc w:val="center"/>
                  </w:pPr>
                  <w:r>
                    <w:t xml:space="preserve">6.0</w:t>
                  </w:r>
                </w:p>
              </w:tc>
              <w:tc>
                <w:tcPr/>
                <w:p>
                  <w:pPr>
                    <w:pStyle w:val="Compact"/>
                  </w:pPr>
                </w:p>
              </w:tc>
              <w:tc>
                <w:tcPr/>
                <w:p>
                  <w:pPr>
                    <w:pStyle w:val="Compact"/>
                  </w:pPr>
                </w:p>
              </w:tc>
              <w:tc>
                <w:tcPr/>
                <w:p>
                  <w:pPr>
                    <w:pStyle w:val="Compact"/>
                  </w:pPr>
                </w:p>
              </w:tc>
            </w:tr>
            <w:tr>
              <w:tc>
                <w:tcPr/>
                <w:p>
                  <w:pPr>
                    <w:pStyle w:val="Compact"/>
                    <w:jc w:val="left"/>
                    <w:jc w:val="center"/>
                  </w:pPr>
                  <w:r>
                    <w:t xml:space="preserve">Personal Income</w:t>
                  </w:r>
                </w:p>
              </w:tc>
              <w:tc>
                <w:tcPr/>
                <w:p>
                  <w:pPr>
                    <w:pStyle w:val="Compact"/>
                  </w:pPr>
                </w:p>
              </w:tc>
              <w:tc>
                <w:tcPr/>
                <w:p>
                  <w:pPr>
                    <w:pStyle w:val="Compact"/>
                  </w:pPr>
                </w:p>
              </w:tc>
              <w:tc>
                <w:tcPr/>
                <w:p>
                  <w:pPr>
                    <w:pStyle w:val="Compact"/>
                    <w:jc w:val="left"/>
                    <w:jc w:val="center"/>
                  </w:pPr>
                  <w:r>
                    <w:t xml:space="preserve">$34,298</w:t>
                  </w:r>
                </w:p>
              </w:tc>
              <w:tc>
                <w:tcPr/>
                <w:p>
                  <w:pPr>
                    <w:pStyle w:val="Compact"/>
                    <w:jc w:val="left"/>
                    <w:jc w:val="center"/>
                  </w:pPr>
                  <w:r>
                    <w:t xml:space="preserve">$31,807</w:t>
                  </w:r>
                </w:p>
              </w:tc>
              <w:tc>
                <w:tcPr/>
                <w:p>
                  <w:pPr>
                    <w:pStyle w:val="Compact"/>
                    <w:jc w:val="left"/>
                    <w:jc w:val="center"/>
                  </w:pPr>
                  <w:r>
                    <w:t xml:space="preserve">$0-200,000</w:t>
                  </w:r>
                </w:p>
              </w:tc>
            </w:tr>
            <w:tr>
              <w:tc>
                <w:tcPr/>
                <w:p>
                  <w:pPr>
                    <w:pStyle w:val="Compact"/>
                    <w:jc w:val="left"/>
                    <w:jc w:val="center"/>
                  </w:pPr>
                  <w:r>
                    <w:t xml:space="preserve">Marital Status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Never married</w:t>
                  </w:r>
                </w:p>
              </w:tc>
              <w:tc>
                <w:tcPr/>
                <w:p>
                  <w:pPr>
                    <w:pStyle w:val="Compact"/>
                    <w:jc w:val="right"/>
                    <w:jc w:val="center"/>
                  </w:pPr>
                  <w:r>
                    <w:t xml:space="preserve">67</w:t>
                  </w:r>
                </w:p>
              </w:tc>
              <w:tc>
                <w:tcPr/>
                <w:p>
                  <w:pPr>
                    <w:pStyle w:val="Compact"/>
                    <w:jc w:val="right"/>
                    <w:jc w:val="center"/>
                  </w:pPr>
                  <w:r>
                    <w:t xml:space="preserve">44.4</w:t>
                  </w:r>
                </w:p>
              </w:tc>
              <w:tc>
                <w:tcPr/>
                <w:p>
                  <w:pPr>
                    <w:pStyle w:val="Compact"/>
                  </w:pPr>
                </w:p>
              </w:tc>
              <w:tc>
                <w:tcPr/>
                <w:p>
                  <w:pPr>
                    <w:pStyle w:val="Compact"/>
                  </w:pPr>
                </w:p>
              </w:tc>
              <w:tc>
                <w:tcPr/>
                <w:p>
                  <w:pPr>
                    <w:pStyle w:val="Compact"/>
                  </w:pPr>
                </w:p>
              </w:tc>
            </w:tr>
            <w:tr>
              <w:tc>
                <w:tcPr/>
                <w:p>
                  <w:pPr>
                    <w:pStyle w:val="Compact"/>
                    <w:jc w:val="left"/>
                    <w:jc w:val="center"/>
                  </w:pPr>
                  <w:r>
                    <w:t xml:space="preserve">Married</w:t>
                  </w:r>
                </w:p>
              </w:tc>
              <w:tc>
                <w:tcPr/>
                <w:p>
                  <w:pPr>
                    <w:pStyle w:val="Compact"/>
                    <w:jc w:val="right"/>
                    <w:jc w:val="center"/>
                  </w:pPr>
                  <w:r>
                    <w:t xml:space="preserve">32</w:t>
                  </w:r>
                </w:p>
              </w:tc>
              <w:tc>
                <w:tcPr/>
                <w:p>
                  <w:pPr>
                    <w:pStyle w:val="Compact"/>
                    <w:jc w:val="right"/>
                    <w:jc w:val="center"/>
                  </w:pPr>
                  <w:r>
                    <w:t xml:space="preserve">21.2</w:t>
                  </w:r>
                </w:p>
              </w:tc>
              <w:tc>
                <w:tcPr/>
                <w:p>
                  <w:pPr>
                    <w:pStyle w:val="Compact"/>
                  </w:pPr>
                </w:p>
              </w:tc>
              <w:tc>
                <w:tcPr/>
                <w:p>
                  <w:pPr>
                    <w:pStyle w:val="Compact"/>
                  </w:pPr>
                </w:p>
              </w:tc>
              <w:tc>
                <w:tcPr/>
                <w:p>
                  <w:pPr>
                    <w:pStyle w:val="Compact"/>
                  </w:pPr>
                </w:p>
              </w:tc>
            </w:tr>
            <w:tr>
              <w:tc>
                <w:tcPr/>
                <w:p>
                  <w:pPr>
                    <w:pStyle w:val="Compact"/>
                    <w:jc w:val="left"/>
                    <w:jc w:val="center"/>
                  </w:pPr>
                  <w:r>
                    <w:t xml:space="preserve">Divorced</w:t>
                  </w:r>
                </w:p>
              </w:tc>
              <w:tc>
                <w:tcPr/>
                <w:p>
                  <w:pPr>
                    <w:pStyle w:val="Compact"/>
                    <w:jc w:val="right"/>
                    <w:jc w:val="center"/>
                  </w:pPr>
                  <w:r>
                    <w:t xml:space="preserve">45</w:t>
                  </w:r>
                </w:p>
              </w:tc>
              <w:tc>
                <w:tcPr/>
                <w:p>
                  <w:pPr>
                    <w:pStyle w:val="Compact"/>
                    <w:jc w:val="right"/>
                    <w:jc w:val="center"/>
                  </w:pPr>
                  <w:r>
                    <w:t xml:space="preserve">29.8</w:t>
                  </w:r>
                </w:p>
              </w:tc>
              <w:tc>
                <w:tcPr/>
                <w:p>
                  <w:pPr>
                    <w:pStyle w:val="Compact"/>
                  </w:pPr>
                </w:p>
              </w:tc>
              <w:tc>
                <w:tcPr/>
                <w:p>
                  <w:pPr>
                    <w:pStyle w:val="Compact"/>
                  </w:pPr>
                </w:p>
              </w:tc>
              <w:tc>
                <w:tcPr/>
                <w:p>
                  <w:pPr>
                    <w:pStyle w:val="Compact"/>
                  </w:pPr>
                </w:p>
              </w:tc>
            </w:tr>
            <w:tr>
              <w:tc>
                <w:tcPr/>
                <w:p>
                  <w:pPr>
                    <w:pStyle w:val="Compact"/>
                    <w:jc w:val="left"/>
                    <w:jc w:val="center"/>
                  </w:pPr>
                  <w:r>
                    <w:t xml:space="preserve">Separated</w:t>
                  </w:r>
                </w:p>
              </w:tc>
              <w:tc>
                <w:tcPr/>
                <w:p>
                  <w:pPr>
                    <w:pStyle w:val="Compact"/>
                    <w:jc w:val="right"/>
                    <w:jc w:val="center"/>
                  </w:pPr>
                  <w:r>
                    <w:t xml:space="preserve">5</w:t>
                  </w:r>
                </w:p>
              </w:tc>
              <w:tc>
                <w:tcPr/>
                <w:p>
                  <w:pPr>
                    <w:pStyle w:val="Compact"/>
                    <w:jc w:val="right"/>
                    <w:jc w:val="center"/>
                  </w:pPr>
                  <w:r>
                    <w:t xml:space="preserve">3.3</w:t>
                  </w:r>
                </w:p>
              </w:tc>
              <w:tc>
                <w:tcPr/>
                <w:p>
                  <w:pPr>
                    <w:pStyle w:val="Compact"/>
                  </w:pPr>
                </w:p>
              </w:tc>
              <w:tc>
                <w:tcPr/>
                <w:p>
                  <w:pPr>
                    <w:pStyle w:val="Compact"/>
                  </w:pPr>
                </w:p>
              </w:tc>
              <w:tc>
                <w:tcPr/>
                <w:p>
                  <w:pPr>
                    <w:pStyle w:val="Compact"/>
                  </w:pPr>
                </w:p>
              </w:tc>
            </w:tr>
            <w:tr>
              <w:tc>
                <w:tcPr/>
                <w:p>
                  <w:pPr>
                    <w:pStyle w:val="Compact"/>
                    <w:jc w:val="left"/>
                    <w:jc w:val="center"/>
                  </w:pPr>
                  <w:r>
                    <w:t xml:space="preserve">Widowed</w:t>
                  </w:r>
                </w:p>
              </w:tc>
              <w:tc>
                <w:tcPr/>
                <w:p>
                  <w:pPr>
                    <w:pStyle w:val="Compact"/>
                    <w:jc w:val="right"/>
                    <w:jc w:val="center"/>
                  </w:pPr>
                  <w:r>
                    <w:t xml:space="preserve">2</w:t>
                  </w:r>
                </w:p>
              </w:tc>
              <w:tc>
                <w:tcPr/>
                <w:p>
                  <w:pPr>
                    <w:pStyle w:val="Compact"/>
                    <w:jc w:val="right"/>
                    <w:jc w:val="center"/>
                  </w:pPr>
                  <w:r>
                    <w:t xml:space="preserve">1.3</w:t>
                  </w:r>
                </w:p>
              </w:tc>
              <w:tc>
                <w:tcPr/>
                <w:p>
                  <w:pPr>
                    <w:pStyle w:val="Compact"/>
                  </w:pPr>
                </w:p>
              </w:tc>
              <w:tc>
                <w:tcPr/>
                <w:p>
                  <w:pPr>
                    <w:pStyle w:val="Compact"/>
                  </w:pPr>
                </w:p>
              </w:tc>
              <w:tc>
                <w:tcPr/>
                <w:p>
                  <w:pPr>
                    <w:pStyle w:val="Compact"/>
                  </w:pPr>
                </w:p>
              </w:tc>
            </w:tr>
            <w:tr>
              <w:tc>
                <w:tcPr/>
                <w:p>
                  <w:pPr>
                    <w:pStyle w:val="Compact"/>
                    <w:jc w:val="left"/>
                    <w:jc w:val="center"/>
                  </w:pPr>
                  <w:r>
                    <w:t xml:space="preserve">DSM-5 AUD Symptom Count</w:t>
                  </w:r>
                </w:p>
              </w:tc>
              <w:tc>
                <w:tcPr/>
                <w:p>
                  <w:pPr>
                    <w:pStyle w:val="Compact"/>
                  </w:pPr>
                </w:p>
              </w:tc>
              <w:tc>
                <w:tcPr/>
                <w:p>
                  <w:pPr>
                    <w:pStyle w:val="Compact"/>
                  </w:pPr>
                </w:p>
              </w:tc>
              <w:tc>
                <w:tcPr/>
                <w:p>
                  <w:pPr>
                    <w:pStyle w:val="Compact"/>
                    <w:jc w:val="left"/>
                    <w:jc w:val="center"/>
                  </w:pPr>
                  <w:r>
                    <w:t xml:space="preserve">8.9</w:t>
                  </w:r>
                </w:p>
              </w:tc>
              <w:tc>
                <w:tcPr/>
                <w:p>
                  <w:pPr>
                    <w:pStyle w:val="Compact"/>
                    <w:jc w:val="left"/>
                    <w:jc w:val="center"/>
                  </w:pPr>
                  <w:r>
                    <w:t xml:space="preserve">1.9</w:t>
                  </w:r>
                </w:p>
              </w:tc>
              <w:tc>
                <w:tcPr/>
                <w:p>
                  <w:pPr>
                    <w:pStyle w:val="Compact"/>
                    <w:jc w:val="left"/>
                    <w:jc w:val="center"/>
                  </w:pPr>
                  <w:r>
                    <w:t xml:space="preserve">4-11</w:t>
                  </w:r>
                </w:p>
              </w:tc>
            </w:tr>
            <w:tr>
              <w:tc>
                <w:tcPr/>
                <w:p>
                  <w:pPr>
                    <w:pStyle w:val="Compact"/>
                    <w:jc w:val="left"/>
                    <w:jc w:val="center"/>
                  </w:pPr>
                  <w:r>
                    <w:t xml:space="preserve">Reported 1 or More Lapse During Study</w:t>
                  </w:r>
                  <w:r>
                    <w:t xml:space="preserve"> </w:t>
                  </w:r>
                  <w:r>
                    <w:t xml:space="preserve">Period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Yes</w:t>
                  </w:r>
                </w:p>
              </w:tc>
              <w:tc>
                <w:tcPr/>
                <w:p>
                  <w:pPr>
                    <w:pStyle w:val="Compact"/>
                    <w:jc w:val="right"/>
                    <w:jc w:val="center"/>
                  </w:pPr>
                  <w:r>
                    <w:t xml:space="preserve">84</w:t>
                  </w:r>
                </w:p>
              </w:tc>
              <w:tc>
                <w:tcPr/>
                <w:p>
                  <w:pPr>
                    <w:pStyle w:val="Compact"/>
                    <w:jc w:val="right"/>
                    <w:jc w:val="center"/>
                  </w:pPr>
                  <w:r>
                    <w:t xml:space="preserve">55.6</w:t>
                  </w:r>
                </w:p>
              </w:tc>
              <w:tc>
                <w:tcPr/>
                <w:p>
                  <w:pPr>
                    <w:pStyle w:val="Compact"/>
                  </w:pPr>
                </w:p>
              </w:tc>
              <w:tc>
                <w:tcPr/>
                <w:p>
                  <w:pPr>
                    <w:pStyle w:val="Compact"/>
                  </w:pPr>
                </w:p>
              </w:tc>
              <w:tc>
                <w:tcPr/>
                <w:p>
                  <w:pPr>
                    <w:pStyle w:val="Compact"/>
                  </w:pPr>
                </w:p>
              </w:tc>
            </w:tr>
            <w:tr>
              <w:tc>
                <w:tcPr/>
                <w:p>
                  <w:pPr>
                    <w:pStyle w:val="Compact"/>
                    <w:jc w:val="left"/>
                    <w:jc w:val="center"/>
                  </w:pPr>
                  <w:r>
                    <w:t xml:space="preserve">No</w:t>
                  </w:r>
                </w:p>
              </w:tc>
              <w:tc>
                <w:tcPr/>
                <w:p>
                  <w:pPr>
                    <w:pStyle w:val="Compact"/>
                    <w:jc w:val="right"/>
                    <w:jc w:val="center"/>
                  </w:pPr>
                  <w:r>
                    <w:t xml:space="preserve">67</w:t>
                  </w:r>
                </w:p>
              </w:tc>
              <w:tc>
                <w:tcPr/>
                <w:p>
                  <w:pPr>
                    <w:pStyle w:val="Compact"/>
                    <w:jc w:val="right"/>
                    <w:jc w:val="center"/>
                  </w:pPr>
                  <w:r>
                    <w:t xml:space="preserve">44.4</w:t>
                  </w:r>
                </w:p>
              </w:tc>
              <w:tc>
                <w:tcPr/>
                <w:p>
                  <w:pPr>
                    <w:pStyle w:val="Compact"/>
                  </w:pPr>
                </w:p>
              </w:tc>
              <w:tc>
                <w:tcPr/>
                <w:p>
                  <w:pPr>
                    <w:pStyle w:val="Compact"/>
                  </w:pPr>
                </w:p>
              </w:tc>
              <w:tc>
                <w:tcPr/>
                <w:p>
                  <w:pPr>
                    <w:pStyle w:val="Compact"/>
                  </w:pPr>
                </w:p>
              </w:tc>
            </w:tr>
            <w:tr>
              <w:tc>
                <w:tcPr/>
                <w:p>
                  <w:pPr>
                    <w:pStyle w:val="Compact"/>
                    <w:jc w:val="left"/>
                    <w:jc w:val="center"/>
                  </w:pPr>
                  <w:r>
                    <w:t xml:space="preserve">Number of reported lapses</w:t>
                  </w:r>
                </w:p>
              </w:tc>
              <w:tc>
                <w:tcPr/>
                <w:p>
                  <w:pPr>
                    <w:pStyle w:val="Compact"/>
                  </w:pPr>
                </w:p>
              </w:tc>
              <w:tc>
                <w:tcPr/>
                <w:p>
                  <w:pPr>
                    <w:pStyle w:val="Compact"/>
                  </w:pPr>
                </w:p>
              </w:tc>
              <w:tc>
                <w:tcPr/>
                <w:p>
                  <w:pPr>
                    <w:pStyle w:val="Compact"/>
                    <w:jc w:val="left"/>
                    <w:jc w:val="center"/>
                  </w:pPr>
                  <w:r>
                    <w:t xml:space="preserve">6.8</w:t>
                  </w:r>
                </w:p>
              </w:tc>
              <w:tc>
                <w:tcPr/>
                <w:p>
                  <w:pPr>
                    <w:pStyle w:val="Compact"/>
                    <w:jc w:val="left"/>
                    <w:jc w:val="center"/>
                  </w:pPr>
                  <w:r>
                    <w:t xml:space="preserve">12</w:t>
                  </w:r>
                </w:p>
              </w:tc>
              <w:tc>
                <w:tcPr/>
                <w:p>
                  <w:pPr>
                    <w:pStyle w:val="Compact"/>
                    <w:jc w:val="left"/>
                    <w:jc w:val="center"/>
                  </w:pPr>
                  <w:r>
                    <w:t xml:space="preserve">0-75</w:t>
                  </w:r>
                </w:p>
              </w:tc>
            </w:tr>
          </w:tbl>
          <w:bookmarkEnd w:id="36"/>
          <w:p/>
        </w:tc>
      </w:tr>
    </w:tbl>
    <w:p>
      <w:pPr>
        <w:pStyle w:val="BodyText"/>
      </w:pPr>
      <w:r>
        <w:rPr>
          <w:vertAlign w:val="subscript"/>
        </w:rPr>
        <w:t xml:space="preserve">Source:</w:t>
      </w:r>
      <w:r>
        <w:rPr>
          <w:vertAlign w:val="subscript"/>
        </w:rPr>
        <w:t xml:space="preserve"> </w:t>
      </w:r>
      <w:hyperlink r:id="rId37">
        <w:r>
          <w:rPr>
            <w:rStyle w:val="Hyperlink"/>
            <w:vertAlign w:val="subscript"/>
          </w:rPr>
          <w:t xml:space="preserve">Make All Tables for Dissertation</w:t>
        </w:r>
      </w:hyperlink>
    </w:p>
    <w:bookmarkEnd w:id="38"/>
    <w:bookmarkStart w:id="39" w:name="Xff1cb3bcc51f6edc388df74fdc5521c74e85b95"/>
    <w:p>
      <w:pPr>
        <w:pStyle w:val="Heading3"/>
      </w:pPr>
      <w:r>
        <w:t xml:space="preserve">2.3.2 EMA Compliance, Features, and Prediction Window Labels</w:t>
      </w:r>
    </w:p>
    <w:p>
      <w:pPr>
        <w:pStyle w:val="FirstParagraph"/>
      </w:pPr>
      <w:r>
        <w:t xml:space="preserve">Participants on average completed 3.1 (SD=0.6) of the four EMAs each day (78.4% compliance overall). Participants completed at least one EMA on 95.0% of days. Across individual weeks on-study, EMA compliance percentages ranged from 75.3%-86.8% completion for all of the 4x daily EMAs and from 91.7%-99.1% for at least one daily EMA completed.</w:t>
      </w:r>
    </w:p>
    <w:p>
      <w:pPr>
        <w:pStyle w:val="BodyText"/>
      </w:pPr>
      <w:r>
        <w:t xml:space="preserve">Using these EMA reports, we created data sets with 270,081, 274,179, and 267,287 future prediction windows for the week, day, and hour window widths, respectively. Each data set contained 286 features and an outcome labeled as lapse or no lapse. These data sets were unbalanced with respect to the outcome such that lapses were observed in 68,467 (25.4%) week windows, 21,107 (7.7%) day windows, and 1,017 (0.4%) hour windows.</w:t>
      </w:r>
    </w:p>
    <w:p>
      <w:pPr>
        <w:pStyle w:val="BodyText"/>
      </w:pPr>
      <w:r>
        <w:t xml:space="preserve">Features had missing values if the participant did not respond to the relevant EMA question during the associated scoring epoch. The median proportions of missing values across features were relatively low: 0.020 (range = 0 - 0.121), 0.022 (range = 0 - 0.125), and 0.023 (range = 0 - 0.127) for the week, day, and hour prediction windows. There were no missing values for demographic features, the hour and day of the start of the prediction window, or lapse rate and missing survey rate features.</w:t>
      </w:r>
    </w:p>
    <w:bookmarkEnd w:id="39"/>
    <w:bookmarkStart w:id="57" w:name="model-performance"/>
    <w:p>
      <w:pPr>
        <w:pStyle w:val="Heading3"/>
      </w:pPr>
      <w:r>
        <w:t xml:space="preserve">2.3.3 Model Performance</w:t>
      </w:r>
    </w:p>
    <w:bookmarkStart w:id="40" w:name="auroc-for-baseline-models"/>
    <w:p>
      <w:pPr>
        <w:pStyle w:val="Heading4"/>
      </w:pPr>
      <w:r>
        <w:t xml:space="preserve">2.3.3.1 auROC for Baseline Models</w:t>
      </w:r>
    </w:p>
    <w:p>
      <w:pPr>
        <w:pStyle w:val="FirstParagraph"/>
      </w:pPr>
      <w:r>
        <w:t xml:space="preserve">We selected the best</w:t>
      </w:r>
      <w:r>
        <w:t xml:space="preserve"> </w:t>
      </w:r>
      <w:r>
        <w:rPr>
          <w:i/>
          <w:iCs/>
        </w:rPr>
        <w:t xml:space="preserve">baseline model</w:t>
      </w:r>
      <w:r>
        <w:t xml:space="preserve"> </w:t>
      </w:r>
      <w:r>
        <w:t xml:space="preserve">(previous lapse frequency feature only) configurations using auROCs from the</w:t>
      </w:r>
      <w:r>
        <w:t xml:space="preserve"> </w:t>
      </w:r>
      <w:r>
        <w:rPr>
          <w:i/>
          <w:iCs/>
        </w:rPr>
        <w:t xml:space="preserve">validation sets</w:t>
      </w:r>
      <w:r>
        <w:t xml:space="preserve">. We evaluated these best baseline model configurations using</w:t>
      </w:r>
      <w:r>
        <w:t xml:space="preserve"> </w:t>
      </w:r>
      <w:r>
        <w:rPr>
          <w:i/>
          <w:iCs/>
        </w:rPr>
        <w:t xml:space="preserve">test set</w:t>
      </w:r>
      <w:r>
        <w:t xml:space="preserve"> </w:t>
      </w:r>
      <w:r>
        <w:t xml:space="preserve">performance to remove the optimization bias present in performance metrics from validation sets. The median auROC across the 30 test sets was moderate for the week (Mdn = 0.792, IQR = 0.079, range = 0.671–0.915), day (Mdn = 0.784, IQR = 0.070, range = 0.687–0.890), and hour (Mdn = 0.779, IQR = 0.077, range = 0.675–0.884) prediction windows.</w:t>
      </w:r>
    </w:p>
    <w:p>
      <w:pPr>
        <w:pStyle w:val="BodyText"/>
      </w:pPr>
      <w:r>
        <w:t xml:space="preserve">We used the 30 test set auROCs to estimate the posterior probability distribution for the auROC of these baseline models. The median auROCs from these posterior distributions were 0.798 (week), 0.785 (day), and 0.780 (hour). These values represent our best estimates for the magnitude of the auROC parameter for each model. The 95% Bayesian CIs for the auROCs for these models were relatively narrow and did not contain 0.5 (chance performance) for any window width: week [0.770–0.822], day [0.757–0.810], and hour [0.752–0.806].</w:t>
      </w:r>
    </w:p>
    <w:bookmarkEnd w:id="40"/>
    <w:bookmarkStart w:id="46" w:name="aurocs-for-full-models"/>
    <w:p>
      <w:pPr>
        <w:pStyle w:val="Heading4"/>
      </w:pPr>
      <w:r>
        <w:t xml:space="preserve">2.3.3.2 auROCs for Full Models</w:t>
      </w:r>
    </w:p>
    <w:p>
      <w:pPr>
        <w:pStyle w:val="FirstParagraph"/>
      </w:pPr>
      <w:r>
        <w:t xml:space="preserve">We next selected the best</w:t>
      </w:r>
      <w:r>
        <w:t xml:space="preserve"> </w:t>
      </w:r>
      <w:r>
        <w:rPr>
          <w:i/>
          <w:iCs/>
        </w:rPr>
        <w:t xml:space="preserve">full model</w:t>
      </w:r>
      <w:r>
        <w:t xml:space="preserve"> </w:t>
      </w:r>
      <w:r>
        <w:t xml:space="preserve">(which included all features) configurations using auROCs from the</w:t>
      </w:r>
      <w:r>
        <w:t xml:space="preserve"> </w:t>
      </w:r>
      <w:r>
        <w:rPr>
          <w:i/>
          <w:iCs/>
        </w:rPr>
        <w:t xml:space="preserve">validation sets</w:t>
      </w:r>
      <w:r>
        <w:t xml:space="preserve">. We evaluated these best full model configurations using</w:t>
      </w:r>
      <w:r>
        <w:t xml:space="preserve"> </w:t>
      </w:r>
      <w:r>
        <w:rPr>
          <w:i/>
          <w:iCs/>
        </w:rPr>
        <w:t xml:space="preserve">test set</w:t>
      </w:r>
      <w:r>
        <w:t xml:space="preserve"> </w:t>
      </w:r>
      <w:r>
        <w:t xml:space="preserve">performance. The median auROC across the 30 test sets was high for the week (Mdn = 0.891, IQR = 0.043, range = 0.785– 0.963), day (Mdn = 0.899, IQR = 0.05, range = 0.788–0.969), and hour (Mdn = 0.929, IQR = 0.045, range = 0.847–0.972) prediction windows.</w:t>
      </w:r>
      <w:r>
        <w:t xml:space="preserve"> </w:t>
      </w:r>
      <w:hyperlink w:anchor="fig-1-ema">
        <w:r>
          <w:rPr>
            <w:rStyle w:val="Hyperlink"/>
          </w:rPr>
          <w:t xml:space="preserve">Figure 1</w:t>
        </w:r>
      </w:hyperlink>
      <w:r>
        <w:t xml:space="preserve"> </w:t>
      </w:r>
      <w:r>
        <w:t xml:space="preserve">(left panel) displays the ROC curves by prediction window derived by aggregating predicted lapse probabilities across all test sets.</w:t>
      </w:r>
    </w:p>
    <w:p>
      <w:pPr>
        <w:pStyle w:val="BodyText"/>
      </w:pPr>
      <w:r>
        <w:t xml:space="preserve">The right panel of</w:t>
      </w:r>
      <w:r>
        <w:t xml:space="preserve"> </w:t>
      </w:r>
      <w:hyperlink w:anchor="fig-1-ema">
        <w:r>
          <w:rPr>
            <w:rStyle w:val="Hyperlink"/>
          </w:rPr>
          <w:t xml:space="preserve">Figure 1</w:t>
        </w:r>
      </w:hyperlink>
      <w:r>
        <w:t xml:space="preserve"> </w:t>
      </w:r>
      <w:r>
        <w:t xml:space="preserve">displays posterior probability distributions for the auROC for the full models by prediction window. The median auROCs from these posterior distributions were 0.895 (week), 0.905 (day), and 0.930 (hour). These values represent our best estimates for the magnitude of the auROC parameter for each model. The 95% Bayesian CIs for the auROCs for these models were relatively narrow and did not contain 0.5 (chance performance) for any window width: week [0.876–0.910], day [0.888–0.919], and hour [0.916–0.940].</w:t>
      </w:r>
    </w:p>
    <w:bookmarkStart w:id="45" w:name="cell-fig-1-ema"/>
    <w:tbl>
      <w:tblPr>
        <w:tblStyle w:val="Table"/>
        <w:tblW w:type="pct" w:w="5000"/>
        <w:tblLayout w:type="fixed"/>
        <w:tblLook w:firstRow="0" w:lastRow="0" w:firstColumn="0" w:lastColumn="0" w:noHBand="0" w:noVBand="0" w:val="0000"/>
      </w:tblPr>
      <w:tblGrid>
        <w:gridCol w:w="7920"/>
      </w:tblGrid>
      <w:tr>
        <w:tc>
          <w:tcPr/>
          <w:bookmarkStart w:id="44" w:name="fig-1-ema"/>
          <w:p>
            <w:pPr>
              <w:pStyle w:val="Compact"/>
              <w:jc w:val="center"/>
            </w:pPr>
            <w:r>
              <w:drawing>
                <wp:inline>
                  <wp:extent cx="5334000" cy="3413760"/>
                  <wp:effectExtent b="0" l="0" r="0" t="0"/>
                  <wp:docPr descr="" title="" id="42" name="Picture"/>
                  <a:graphic>
                    <a:graphicData uri="http://schemas.openxmlformats.org/drawingml/2006/picture">
                      <pic:pic>
                        <pic:nvPicPr>
                          <pic:cNvPr descr="figures/ema_1.jpeg" id="43" name="Picture"/>
                          <pic:cNvPicPr>
                            <a:picLocks noChangeArrowheads="1" noChangeAspect="1"/>
                          </pic:cNvPicPr>
                        </pic:nvPicPr>
                        <pic:blipFill>
                          <a:blip r:embed="rId41"/>
                          <a:stretch>
                            <a:fillRect/>
                          </a:stretch>
                        </pic:blipFill>
                        <pic:spPr bwMode="auto">
                          <a:xfrm>
                            <a:off x="0" y="0"/>
                            <a:ext cx="5334000" cy="341376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ROC curves and posterior probabilities for auROCs by prediction window. The left panel depicts the aggregate receiver operating characteristic (ROC) curve for each model, derived by concatenating predicted lapse probabilities across all test sets. The dotted line represents the expected ROC curve for a random classifier. The histograms on the right depict the posterior probability distribution for the areas under the receiver operating characteristic curves (auROCs) for each model. The vertical lines represent the median posterior probability and the horizontal line represents the boundaries 95% CI.</w:t>
            </w:r>
          </w:p>
          <w:bookmarkEnd w:id="44"/>
        </w:tc>
      </w:tr>
    </w:tbl>
    <w:p>
      <w:pPr>
        <w:pStyle w:val="BodyText"/>
      </w:pPr>
      <w:r>
        <w:rPr>
          <w:vertAlign w:val="subscript"/>
        </w:rPr>
        <w:t xml:space="preserve">Source:</w:t>
      </w:r>
      <w:r>
        <w:rPr>
          <w:vertAlign w:val="subscript"/>
        </w:rPr>
        <w:t xml:space="preserve"> </w:t>
      </w:r>
      <w:hyperlink r:id="rId9">
        <w:r>
          <w:rPr>
            <w:rStyle w:val="Hyperlink"/>
            <w:vertAlign w:val="subscript"/>
          </w:rPr>
          <w:t xml:space="preserve">Article Notebook</w:t>
        </w:r>
      </w:hyperlink>
    </w:p>
    <w:bookmarkEnd w:id="45"/>
    <w:bookmarkEnd w:id="46"/>
    <w:bookmarkStart w:id="47" w:name="Xf523002bacf112eddca4f07c113dccd0116386f"/>
    <w:p>
      <w:pPr>
        <w:pStyle w:val="Heading4"/>
      </w:pPr>
      <w:r>
        <w:t xml:space="preserve">2.3.3.3 Bayesian Comparisons of Baseline vs. Full Models</w:t>
      </w:r>
    </w:p>
    <w:p>
      <w:pPr>
        <w:pStyle w:val="FirstParagraph"/>
      </w:pPr>
      <w:r>
        <w:t xml:space="preserve">We used the posterior probability distributions for the auROCs to formally compare the baseline versus full models (matched for prediction window). The median increase in auROC for the full versus baseline week model was 0.097 (95% CI [0.081–0.114]), yielding a probability of 1.000 that the full week model had superior performance. The median increase in auROC for the full versus baseline day model was 0.120 (95% CI [0.102–0.138]), yielding a probability of 1.000 that the full-day model had superior performance. The median increase in auROC for the full versus baseline hour model was 0.149 (95% CI [0.131–0.170]), yielding a probability of 1.000 that the full hour model had superior performance.</w:t>
      </w:r>
    </w:p>
    <w:bookmarkEnd w:id="47"/>
    <w:bookmarkStart w:id="48" w:name="Xd2022afc30f21e23f8a8e726f30761ae3c66ae2"/>
    <w:p>
      <w:pPr>
        <w:pStyle w:val="Heading4"/>
      </w:pPr>
      <w:r>
        <w:t xml:space="preserve">2.3.3.4 Bayesian Comparisons of Full Models by Prediction Window</w:t>
      </w:r>
    </w:p>
    <w:p>
      <w:pPr>
        <w:pStyle w:val="FirstParagraph"/>
      </w:pPr>
      <w:r>
        <w:t xml:space="preserve">We also used the posterior probability distributions for the auROCs for the three full models to formally compare the differences in performance by prediction window width. The median increase in auROC for the hour versus the day model was 0.025 (95% CI [0.017–0.034]), yielding a probability of 1.000 that the hour (vs. day) model had superior performance. The median increase in auROC for the hour versus the week model was 0.035 (95% CI [0.026–0.045]), yielding a probability of 1.000 that the hour model (vs. week) had superior performance. The median increase in auROC for the day versus the week model was 0.010 (95% CI [0.001–0.020]), yielding a probability of 0.982 that the day (vs. week) model had superior performance.</w:t>
      </w:r>
    </w:p>
    <w:bookmarkEnd w:id="48"/>
    <w:bookmarkStart w:id="56" w:name="Xbe259558597b606f7f061f5074581059473b676"/>
    <w:p>
      <w:pPr>
        <w:pStyle w:val="Heading4"/>
      </w:pPr>
      <w:r>
        <w:t xml:space="preserve">2.3.3.5 Other Performance Metrics for the Full Models</w:t>
      </w:r>
    </w:p>
    <w:p>
      <w:pPr>
        <w:pStyle w:val="FirstParagraph"/>
      </w:pPr>
      <w:r>
        <w:t xml:space="preserve">We evaluated the sensitivity, specificity, balanced accuracy, PPV, and NPV when the predicted lapse probabilities were used for binary classification (</w:t>
      </w:r>
      <w:r>
        <w:rPr>
          <w:i/>
          <w:iCs/>
        </w:rPr>
        <w:t xml:space="preserve">lapse</w:t>
      </w:r>
      <w:r>
        <w:t xml:space="preserve"> </w:t>
      </w:r>
      <w:r>
        <w:t xml:space="preserve">vs. </w:t>
      </w:r>
      <w:r>
        <w:rPr>
          <w:i/>
          <w:iCs/>
        </w:rPr>
        <w:t xml:space="preserve">no lapse</w:t>
      </w:r>
      <w:r>
        <w:t xml:space="preserve">) with decision thresholds identified by Youden’s Index. All three full models had high sensitivity, specificity, balanced accuracy, and NPV (</w:t>
      </w:r>
      <w:hyperlink w:anchor="tbl-perf-ema">
        <w:r>
          <w:rPr>
            <w:rStyle w:val="Hyperlink"/>
          </w:rPr>
          <w:t xml:space="preserve">Table 2</w:t>
        </w:r>
      </w:hyperlink>
      <w:r>
        <w:t xml:space="preserve">). PPV, however, notably declined as the prediction window width decreased.</w:t>
      </w:r>
    </w:p>
    <w:tbl>
      <w:tblPr>
        <w:tblStyle w:val="Table"/>
        <w:tblW w:type="pct" w:w="5000"/>
        <w:tblLayout w:type="fixed"/>
        <w:tblLook w:firstRow="0" w:lastRow="0" w:firstColumn="0" w:lastColumn="0" w:noHBand="0" w:noVBand="0" w:val="0000"/>
      </w:tblPr>
      <w:tblGrid>
        <w:gridCol w:w="7920"/>
      </w:tblGrid>
      <w:tr>
        <w:tc>
          <w:tcPr/>
          <w:bookmarkStart w:id="49" w:name="tbl-perf-ema"/>
          <w:p>
            <w:pPr>
              <w:jc w:val="center"/>
            </w:pPr>
            <w:pPr>
              <w:jc w:val="left"/>
              <w:spacing w:before="200"/>
              <w:pStyle w:val="ImageCaption"/>
            </w:pPr>
            <w:r>
              <w:t xml:space="preserve">Table 2: Performance Metrics for Full models by Prediction Window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Metric</w:t>
                  </w:r>
                </w:p>
              </w:tc>
              <w:tc>
                <w:tcPr/>
                <w:p>
                  <w:pPr>
                    <w:pStyle w:val="Compact"/>
                    <w:jc w:val="right"/>
                    <w:jc w:val="center"/>
                  </w:pPr>
                  <w:r>
                    <w:t xml:space="preserve">Week</w:t>
                  </w:r>
                </w:p>
              </w:tc>
              <w:tc>
                <w:tcPr/>
                <w:p>
                  <w:pPr>
                    <w:pStyle w:val="Compact"/>
                    <w:jc w:val="right"/>
                    <w:jc w:val="center"/>
                  </w:pPr>
                  <w:r>
                    <w:t xml:space="preserve">Day</w:t>
                  </w:r>
                </w:p>
              </w:tc>
              <w:tc>
                <w:tcPr/>
                <w:p>
                  <w:pPr>
                    <w:pStyle w:val="Compact"/>
                    <w:jc w:val="right"/>
                    <w:jc w:val="center"/>
                  </w:pPr>
                  <w:r>
                    <w:t xml:space="preserve">Hour</w:t>
                  </w:r>
                </w:p>
              </w:tc>
            </w:tr>
            <w:tr>
              <w:tc>
                <w:tcPr/>
                <w:p>
                  <w:pPr>
                    <w:pStyle w:val="Compact"/>
                    <w:jc w:val="left"/>
                    <w:jc w:val="center"/>
                  </w:pPr>
                  <w:r>
                    <w:t xml:space="preserve">auROC</w:t>
                  </w:r>
                </w:p>
              </w:tc>
              <w:tc>
                <w:tcPr/>
                <w:p>
                  <w:pPr>
                    <w:pStyle w:val="Compact"/>
                    <w:jc w:val="right"/>
                    <w:jc w:val="center"/>
                  </w:pPr>
                  <w:r>
                    <w:t xml:space="preserve">0.8906310</w:t>
                  </w:r>
                </w:p>
              </w:tc>
              <w:tc>
                <w:tcPr/>
                <w:p>
                  <w:pPr>
                    <w:pStyle w:val="Compact"/>
                    <w:jc w:val="right"/>
                    <w:jc w:val="center"/>
                  </w:pPr>
                  <w:r>
                    <w:t xml:space="preserve">0.8989930</w:t>
                  </w:r>
                </w:p>
              </w:tc>
              <w:tc>
                <w:tcPr/>
                <w:p>
                  <w:pPr>
                    <w:pStyle w:val="Compact"/>
                    <w:jc w:val="right"/>
                    <w:jc w:val="center"/>
                  </w:pPr>
                  <w:r>
                    <w:t xml:space="preserve">0.9293432</w:t>
                  </w:r>
                </w:p>
              </w:tc>
            </w:tr>
            <w:tr>
              <w:tc>
                <w:tcPr/>
                <w:p>
                  <w:pPr>
                    <w:pStyle w:val="Compact"/>
                    <w:jc w:val="left"/>
                    <w:jc w:val="center"/>
                  </w:pPr>
                  <w:r>
                    <w:t xml:space="preserve">sensitivity</w:t>
                  </w:r>
                </w:p>
              </w:tc>
              <w:tc>
                <w:tcPr/>
                <w:p>
                  <w:pPr>
                    <w:pStyle w:val="Compact"/>
                    <w:jc w:val="right"/>
                    <w:jc w:val="center"/>
                  </w:pPr>
                  <w:r>
                    <w:t xml:space="preserve">0.8232301</w:t>
                  </w:r>
                </w:p>
              </w:tc>
              <w:tc>
                <w:tcPr/>
                <w:p>
                  <w:pPr>
                    <w:pStyle w:val="Compact"/>
                    <w:jc w:val="right"/>
                    <w:jc w:val="center"/>
                  </w:pPr>
                  <w:r>
                    <w:t xml:space="preserve">0.8275224</w:t>
                  </w:r>
                </w:p>
              </w:tc>
              <w:tc>
                <w:tcPr/>
                <w:p>
                  <w:pPr>
                    <w:pStyle w:val="Compact"/>
                    <w:jc w:val="right"/>
                    <w:jc w:val="center"/>
                  </w:pPr>
                  <w:r>
                    <w:t xml:space="preserve">0.8636420</w:t>
                  </w:r>
                </w:p>
              </w:tc>
            </w:tr>
            <w:tr>
              <w:tc>
                <w:tcPr/>
                <w:p>
                  <w:pPr>
                    <w:pStyle w:val="Compact"/>
                    <w:jc w:val="left"/>
                    <w:jc w:val="center"/>
                  </w:pPr>
                  <w:r>
                    <w:t xml:space="preserve">specificity</w:t>
                  </w:r>
                </w:p>
              </w:tc>
              <w:tc>
                <w:tcPr/>
                <w:p>
                  <w:pPr>
                    <w:pStyle w:val="Compact"/>
                    <w:jc w:val="right"/>
                    <w:jc w:val="center"/>
                  </w:pPr>
                  <w:r>
                    <w:t xml:space="preserve">0.8192581</w:t>
                  </w:r>
                </w:p>
              </w:tc>
              <w:tc>
                <w:tcPr/>
                <w:p>
                  <w:pPr>
                    <w:pStyle w:val="Compact"/>
                    <w:jc w:val="right"/>
                    <w:jc w:val="center"/>
                  </w:pPr>
                  <w:r>
                    <w:t xml:space="preserve">0.8454889</w:t>
                  </w:r>
                </w:p>
              </w:tc>
              <w:tc>
                <w:tcPr/>
                <w:p>
                  <w:pPr>
                    <w:pStyle w:val="Compact"/>
                    <w:jc w:val="right"/>
                    <w:jc w:val="center"/>
                  </w:pPr>
                  <w:r>
                    <w:t xml:space="preserve">0.8813554</w:t>
                  </w:r>
                </w:p>
              </w:tc>
            </w:tr>
            <w:tr>
              <w:tc>
                <w:tcPr/>
                <w:p>
                  <w:pPr>
                    <w:pStyle w:val="Compact"/>
                    <w:jc w:val="left"/>
                    <w:jc w:val="center"/>
                  </w:pPr>
                  <w:r>
                    <w:t xml:space="preserve">balanced accuracy</w:t>
                  </w:r>
                </w:p>
              </w:tc>
              <w:tc>
                <w:tcPr/>
                <w:p>
                  <w:pPr>
                    <w:pStyle w:val="Compact"/>
                    <w:jc w:val="right"/>
                    <w:jc w:val="center"/>
                  </w:pPr>
                  <w:r>
                    <w:t xml:space="preserve">0.8275871</w:t>
                  </w:r>
                </w:p>
              </w:tc>
              <w:tc>
                <w:tcPr/>
                <w:p>
                  <w:pPr>
                    <w:pStyle w:val="Compact"/>
                    <w:jc w:val="right"/>
                    <w:jc w:val="center"/>
                  </w:pPr>
                  <w:r>
                    <w:t xml:space="preserve">0.8345976</w:t>
                  </w:r>
                </w:p>
              </w:tc>
              <w:tc>
                <w:tcPr/>
                <w:p>
                  <w:pPr>
                    <w:pStyle w:val="Compact"/>
                    <w:jc w:val="right"/>
                    <w:jc w:val="center"/>
                  </w:pPr>
                  <w:r>
                    <w:t xml:space="preserve">0.8536644</w:t>
                  </w:r>
                </w:p>
              </w:tc>
            </w:tr>
            <w:tr>
              <w:tc>
                <w:tcPr/>
                <w:p>
                  <w:pPr>
                    <w:pStyle w:val="Compact"/>
                    <w:jc w:val="left"/>
                    <w:jc w:val="center"/>
                  </w:pPr>
                  <w:r>
                    <w:t xml:space="preserve">positive predictive value</w:t>
                  </w:r>
                </w:p>
              </w:tc>
              <w:tc>
                <w:tcPr/>
                <w:p>
                  <w:pPr>
                    <w:pStyle w:val="Compact"/>
                    <w:jc w:val="right"/>
                    <w:jc w:val="center"/>
                  </w:pPr>
                  <w:r>
                    <w:t xml:space="preserve">0.6301088</w:t>
                  </w:r>
                </w:p>
              </w:tc>
              <w:tc>
                <w:tcPr/>
                <w:p>
                  <w:pPr>
                    <w:pStyle w:val="Compact"/>
                    <w:jc w:val="right"/>
                    <w:jc w:val="center"/>
                  </w:pPr>
                  <w:r>
                    <w:t xml:space="preserve">0.2997223</w:t>
                  </w:r>
                </w:p>
              </w:tc>
              <w:tc>
                <w:tcPr/>
                <w:p>
                  <w:pPr>
                    <w:pStyle w:val="Compact"/>
                    <w:jc w:val="right"/>
                    <w:jc w:val="center"/>
                  </w:pPr>
                  <w:r>
                    <w:t xml:space="preserve">0.0254053</w:t>
                  </w:r>
                </w:p>
              </w:tc>
            </w:tr>
            <w:tr>
              <w:tc>
                <w:tcPr/>
                <w:p>
                  <w:pPr>
                    <w:pStyle w:val="Compact"/>
                    <w:jc w:val="left"/>
                    <w:jc w:val="center"/>
                  </w:pPr>
                  <w:r>
                    <w:t xml:space="preserve">negative predictive value</w:t>
                  </w:r>
                </w:p>
              </w:tc>
              <w:tc>
                <w:tcPr/>
                <w:p>
                  <w:pPr>
                    <w:pStyle w:val="Compact"/>
                    <w:jc w:val="right"/>
                    <w:jc w:val="center"/>
                  </w:pPr>
                  <w:r>
                    <w:t xml:space="preserve">0.9435759</w:t>
                  </w:r>
                </w:p>
              </w:tc>
              <w:tc>
                <w:tcPr/>
                <w:p>
                  <w:pPr>
                    <w:pStyle w:val="Compact"/>
                    <w:jc w:val="right"/>
                    <w:jc w:val="center"/>
                  </w:pPr>
                  <w:r>
                    <w:t xml:space="preserve">0.9877148</w:t>
                  </w:r>
                </w:p>
              </w:tc>
              <w:tc>
                <w:tcPr/>
                <w:p>
                  <w:pPr>
                    <w:pStyle w:val="Compact"/>
                    <w:jc w:val="right"/>
                    <w:jc w:val="center"/>
                  </w:pPr>
                  <w:r>
                    <w:t xml:space="preserve">0.9994361</w:t>
                  </w:r>
                </w:p>
              </w:tc>
            </w:tr>
          </w:tbl>
          <w:bookmarkEnd w:id="49"/>
          <w:p/>
        </w:tc>
      </w:tr>
    </w:tbl>
    <w:p>
      <w:pPr>
        <w:pStyle w:val="BodyText"/>
      </w:pPr>
      <w:r>
        <w:rPr>
          <w:vertAlign w:val="subscript"/>
        </w:rPr>
        <w:t xml:space="preserve">Source:</w:t>
      </w:r>
      <w:r>
        <w:rPr>
          <w:vertAlign w:val="subscript"/>
        </w:rPr>
        <w:t xml:space="preserve"> </w:t>
      </w:r>
      <w:hyperlink r:id="rId50">
        <w:r>
          <w:rPr>
            <w:rStyle w:val="Hyperlink"/>
            <w:vertAlign w:val="subscript"/>
          </w:rPr>
          <w:t xml:space="preserve">Make All Tables for Dissertation</w:t>
        </w:r>
      </w:hyperlink>
    </w:p>
    <w:p>
      <w:pPr>
        <w:pStyle w:val="BodyText"/>
      </w:pPr>
      <w:r>
        <w:t xml:space="preserve">PPV can be increased by increasing the decision threshold; however, increasing the decision threshold will also lower the model’s sensitivity. To evaluate the trade-off between PPV (i.e., precision) and sensitivity (i.e., recall) across decision thresholds, we created Precision-Recall curves by concatenating predicted lapse probabilities across the 30 test sets (</w:t>
      </w:r>
      <w:hyperlink w:anchor="fig-2-ema">
        <w:r>
          <w:rPr>
            <w:rStyle w:val="Hyperlink"/>
          </w:rPr>
          <w:t xml:space="preserve">Figure 2</w:t>
        </w:r>
      </w:hyperlink>
      <w:r>
        <w:t xml:space="preserve">). For example, the dotted lines in</w:t>
      </w:r>
      <w:r>
        <w:t xml:space="preserve"> </w:t>
      </w:r>
      <w:hyperlink w:anchor="fig-2-ema">
        <w:r>
          <w:rPr>
            <w:rStyle w:val="Hyperlink"/>
          </w:rPr>
          <w:t xml:space="preserve">Figure 2</w:t>
        </w:r>
      </w:hyperlink>
      <w:r>
        <w:t xml:space="preserve"> </w:t>
      </w:r>
      <w:r>
        <w:t xml:space="preserve">depict the sensitivities (0.718, 0.473, and 0.327 for week, day, and hour models, respectively) associated with decision thresholds that yield 0.700 PPV for each model.</w:t>
      </w:r>
    </w:p>
    <w:bookmarkStart w:id="55" w:name="cell-fig-2-ema"/>
    <w:tbl>
      <w:tblPr>
        <w:tblStyle w:val="Table"/>
        <w:tblW w:type="pct" w:w="5000"/>
        <w:tblLayout w:type="fixed"/>
        <w:tblLook w:firstRow="0" w:lastRow="0" w:firstColumn="0" w:lastColumn="0" w:noHBand="0" w:noVBand="0" w:val="0000"/>
      </w:tblPr>
      <w:tblGrid>
        <w:gridCol w:w="7920"/>
      </w:tblGrid>
      <w:tr>
        <w:tc>
          <w:tcPr/>
          <w:bookmarkStart w:id="54" w:name="fig-2-ema"/>
          <w:p>
            <w:pPr>
              <w:pStyle w:val="Compact"/>
              <w:jc w:val="center"/>
            </w:pPr>
            <w:r>
              <w:drawing>
                <wp:inline>
                  <wp:extent cx="5334000" cy="4445000"/>
                  <wp:effectExtent b="0" l="0" r="0" t="0"/>
                  <wp:docPr descr="" title="" id="52" name="Picture"/>
                  <a:graphic>
                    <a:graphicData uri="http://schemas.openxmlformats.org/drawingml/2006/picture">
                      <pic:pic>
                        <pic:nvPicPr>
                          <pic:cNvPr descr="figures/ema_2.jpeg" id="53" name="Picture"/>
                          <pic:cNvPicPr>
                            <a:picLocks noChangeArrowheads="1" noChangeAspect="1"/>
                          </pic:cNvPicPr>
                        </pic:nvPicPr>
                        <pic:blipFill>
                          <a:blip r:embed="rId51"/>
                          <a:stretch>
                            <a:fillRect/>
                          </a:stretch>
                        </pic:blipFill>
                        <pic:spPr bwMode="auto">
                          <a:xfrm>
                            <a:off x="0" y="0"/>
                            <a:ext cx="5334000" cy="4445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Precision-recall Curves by Prediction Window for the Full Models. The plot depicts the aggregate precision-recall curves for each full model, derived by concatenating predicted lapse probabilities across all test sets. The dotted lines depict the sensitivities (0.718, 0.473, and 0.327 for week, day, and hour models, respectively) associated with decision thresholds that yield 0.700 positive predictive value for each of those models.</w:t>
            </w:r>
          </w:p>
          <w:bookmarkEnd w:id="54"/>
        </w:tc>
      </w:tr>
    </w:tbl>
    <w:p>
      <w:pPr>
        <w:pStyle w:val="BodyText"/>
      </w:pPr>
      <w:r>
        <w:rPr>
          <w:vertAlign w:val="subscript"/>
        </w:rPr>
        <w:t xml:space="preserve">Source:</w:t>
      </w:r>
      <w:r>
        <w:rPr>
          <w:vertAlign w:val="subscript"/>
        </w:rPr>
        <w:t xml:space="preserve"> </w:t>
      </w:r>
      <w:hyperlink r:id="rId9">
        <w:r>
          <w:rPr>
            <w:rStyle w:val="Hyperlink"/>
            <w:vertAlign w:val="subscript"/>
          </w:rPr>
          <w:t xml:space="preserve">Article Notebook</w:t>
        </w:r>
      </w:hyperlink>
    </w:p>
    <w:bookmarkEnd w:id="55"/>
    <w:bookmarkEnd w:id="56"/>
    <w:bookmarkEnd w:id="57"/>
    <w:bookmarkStart w:id="63" w:name="feature-importance-for-full-models"/>
    <w:p>
      <w:pPr>
        <w:pStyle w:val="Heading3"/>
      </w:pPr>
      <w:r>
        <w:t xml:space="preserve">2.3.4 Feature Importance for Full Models</w:t>
      </w:r>
    </w:p>
    <w:p>
      <w:pPr>
        <w:pStyle w:val="FirstParagraph"/>
      </w:pPr>
      <w:r>
        <w:t xml:space="preserve">Global importance (mean |Shapley value|) for feature categories for each full model appears in Panel A of</w:t>
      </w:r>
      <w:r>
        <w:t xml:space="preserve"> </w:t>
      </w:r>
      <w:hyperlink w:anchor="fig-3-ema">
        <w:r>
          <w:rPr>
            <w:rStyle w:val="Hyperlink"/>
          </w:rPr>
          <w:t xml:space="preserve">Figure 3</w:t>
        </w:r>
      </w:hyperlink>
      <w:r>
        <w:t xml:space="preserve">. Past use was the most important feature category for lapse prediction across prediction window widths. Future abstinence efficacy was also globally important across window widths. Time-varying constructs (craving, time of day) appear to have more impact in lapse prediction for the hour model compared to the day and week models.</w:t>
      </w:r>
    </w:p>
    <w:p>
      <w:pPr>
        <w:pStyle w:val="BodyText"/>
      </w:pPr>
      <w:r>
        <w:t xml:space="preserve">Sina plots of local Shapley values (i.e., the influence of feature categories on individual observations) for each model show that some feature categories (e.g., past pleasant events, future stressful events) impact lapse probability for specific individuals at specific times even if they are not globally important across all observations (</w:t>
      </w:r>
      <w:hyperlink w:anchor="fig-3-ema">
        <w:r>
          <w:rPr>
            <w:rStyle w:val="Hyperlink"/>
          </w:rPr>
          <w:t xml:space="preserve">Figure 3</w:t>
        </w:r>
      </w:hyperlink>
      <w:r>
        <w:t xml:space="preserve">, Panels B-D).</w:t>
      </w:r>
    </w:p>
    <w:bookmarkStart w:id="62" w:name="cell-fig-3-ema"/>
    <w:tbl>
      <w:tblPr>
        <w:tblStyle w:val="Table"/>
        <w:tblW w:type="pct" w:w="5000"/>
        <w:tblLayout w:type="fixed"/>
        <w:tblLook w:firstRow="0" w:lastRow="0" w:firstColumn="0" w:lastColumn="0" w:noHBand="0" w:noVBand="0" w:val="0000"/>
      </w:tblPr>
      <w:tblGrid>
        <w:gridCol w:w="7920"/>
      </w:tblGrid>
      <w:tr>
        <w:tc>
          <w:tcPr/>
          <w:bookmarkStart w:id="61" w:name="fig-3-ema"/>
          <w:p>
            <w:pPr>
              <w:pStyle w:val="Compact"/>
              <w:jc w:val="center"/>
            </w:pPr>
            <w:r>
              <w:drawing>
                <wp:inline>
                  <wp:extent cx="5334000" cy="4267200"/>
                  <wp:effectExtent b="0" l="0" r="0" t="0"/>
                  <wp:docPr descr="" title="" id="59" name="Picture"/>
                  <a:graphic>
                    <a:graphicData uri="http://schemas.openxmlformats.org/drawingml/2006/picture">
                      <pic:pic>
                        <pic:nvPicPr>
                          <pic:cNvPr descr="figures/ema_3.jpeg" id="60" name="Picture"/>
                          <pic:cNvPicPr>
                            <a:picLocks noChangeArrowheads="1" noChangeAspect="1"/>
                          </pic:cNvPicPr>
                        </pic:nvPicPr>
                        <pic:blipFill>
                          <a:blip r:embed="rId58"/>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Feature importance (Shapley values) for Full Models by Prediction Window. Panel A displays the global importance (mean |Shapley value|) for feature categories for each full model. Raw EMA features are grouped into categories by the original question from the EMA. Features based on the rates of previous lapses and previous missing surveys, as well as demographics, and the time of day and day of the week for the start of the prediction window are also included. Feature categories are ordered by their aggregate global importance (i.e., total bar length) across the three models. The importance of each feature category for specific models is displayed separately by color. Panels B-D display local Shapley values that quantify the influence of feature categories on individual observations (i.e., a single prediction window for a specific participant) for each model.</w:t>
            </w:r>
          </w:p>
          <w:bookmarkEnd w:id="61"/>
        </w:tc>
      </w:tr>
    </w:tbl>
    <w:p>
      <w:pPr>
        <w:pStyle w:val="BodyText"/>
      </w:pPr>
      <w:r>
        <w:rPr>
          <w:vertAlign w:val="subscript"/>
        </w:rPr>
        <w:t xml:space="preserve">Source:</w:t>
      </w:r>
      <w:r>
        <w:rPr>
          <w:vertAlign w:val="subscript"/>
        </w:rPr>
        <w:t xml:space="preserve"> </w:t>
      </w:r>
      <w:hyperlink r:id="rId9">
        <w:r>
          <w:rPr>
            <w:rStyle w:val="Hyperlink"/>
            <w:vertAlign w:val="subscript"/>
          </w:rPr>
          <w:t xml:space="preserve">Article Notebook</w:t>
        </w:r>
      </w:hyperlink>
    </w:p>
    <w:bookmarkEnd w:id="62"/>
    <w:bookmarkEnd w:id="63"/>
    <w:bookmarkEnd w:id="64"/>
    <w:bookmarkStart w:id="71" w:name="discussion"/>
    <w:p>
      <w:pPr>
        <w:pStyle w:val="Heading2"/>
      </w:pPr>
      <w:r>
        <w:t xml:space="preserve">2.4 Discussion</w:t>
      </w:r>
    </w:p>
    <w:bookmarkStart w:id="65" w:name="model-performance-1"/>
    <w:p>
      <w:pPr>
        <w:pStyle w:val="Heading3"/>
      </w:pPr>
      <w:r>
        <w:t xml:space="preserve">2.4.1 Model Performance</w:t>
      </w:r>
    </w:p>
    <w:p>
      <w:pPr>
        <w:pStyle w:val="FirstParagraph"/>
      </w:pPr>
      <w:r>
        <w:t xml:space="preserve">All baseline models, which used only past frequency of lapses to predict future lapses, performed moderately well with auROCs in the upper .70s. These results confirm what we would expect: past behavior is a relatively good predictor of future behavior. However, there was still substantial room for increased predictive performance. Furthermore, these baseline models do not identify specific risk factors contributing to lapse predictions at any moment in time for each participant.</w:t>
      </w:r>
    </w:p>
    <w:p>
      <w:pPr>
        <w:pStyle w:val="BodyText"/>
      </w:pPr>
      <w:r>
        <w:t xml:space="preserve">All three full models performed exceptionally well, yielding auROCs of 0.89, 0.90, and 0.93 for week, day, and hour level models, respectively. auROCs above .9 are generally described as having</w:t>
      </w:r>
      <w:r>
        <w:t xml:space="preserve"> </w:t>
      </w:r>
      <w:r>
        <w:t xml:space="preserve">“excellent”</w:t>
      </w:r>
      <w:r>
        <w:t xml:space="preserve"> </w:t>
      </w:r>
      <w:r>
        <w:t xml:space="preserve">performance; the model will correctly assign a higher probability to a positive case (e.g., lapse) than a negative case 90% of the time</w:t>
      </w:r>
      <w:r>
        <w:t xml:space="preserve"> </w:t>
      </w:r>
      <w:r>
        <w:t xml:space="preserve">(Mandrekar, 2010)</w:t>
      </w:r>
      <w:r>
        <w:t xml:space="preserve">. Bayesian comparisons indicated that these full models performed better than the baseline models for the same prediction window. This confirms that EMA can predict future alcohol lapses in the next week, next day, and next hour with high sensitivity and specificity for new individuals. And, as we describe later, using features that map onto important relapse prevention risk constructs may illuminate momentary contributors to predicted lapses.</w:t>
      </w:r>
    </w:p>
    <w:p>
      <w:pPr>
        <w:pStyle w:val="BodyText"/>
      </w:pPr>
      <w:r>
        <w:t xml:space="preserve">This study addressed several important limitations of previous research to advance toward robust sensing and prediction models that can be embedded within digital therapeutics. First, our models were trained on a relatively large, treatment-seeking sample of adults in early recovery from AUD that closely matches the individuals most likely to benefit from such models within a digital therapeutic. Second, we explicitly predicted episodes of goal-inconsistent alcohol use (i.e., lapses) because features that predict goal-inconsistent use likely differ from those that predict other types of alcohol use. Third, we measured EMA features and alcohol use with sufficient frequency and granularity to train well-performing models with high temporal resolution - specifically, hour-by-hour predicted probabilities for lapses in the next week, day, and hour. Fourth, we collected features and outcomes over three months during a high risk period (initial remission</w:t>
      </w:r>
      <w:r>
        <w:t xml:space="preserve"> </w:t>
      </w:r>
      <w:r>
        <w:t xml:space="preserve">(Hagman et al., 2022)</w:t>
      </w:r>
      <w:r>
        <w:t xml:space="preserve"> </w:t>
      </w:r>
      <w:r>
        <w:t xml:space="preserve">from AUD). Fifth, we used cutting-edge resampling methods (grouped, nested, k-fold cross-validation) to provide valid estimates of how our models would perform with new individuals. Finally, we used interpretable machine learning methods (SHAP</w:t>
      </w:r>
      <w:r>
        <w:t xml:space="preserve"> </w:t>
      </w:r>
      <w:r>
        <w:t xml:space="preserve">(Lundberg &amp; Lee, 2017; Molnar, 2022)</w:t>
      </w:r>
      <w:r>
        <w:t xml:space="preserve">) to better understand how our models made predictions globally and locally for specific participants at discrete moments in time.</w:t>
      </w:r>
    </w:p>
    <w:bookmarkEnd w:id="65"/>
    <w:bookmarkStart w:id="66" w:name="Xd8b0b0392fefe9f95f48596146254215fb9137f"/>
    <w:p>
      <w:pPr>
        <w:pStyle w:val="Heading3"/>
      </w:pPr>
      <w:r>
        <w:t xml:space="preserve">2.4.2 Understanding &amp; Contextualizing Model Performance</w:t>
      </w:r>
    </w:p>
    <w:p>
      <w:pPr>
        <w:pStyle w:val="FirstParagraph"/>
      </w:pPr>
      <w:r>
        <w:t xml:space="preserve">We used SHAP to describe the relative importance of key relapse prevention model constructs (represented by categories of features) to predicted lapses in our three full models. Some constructs consistently emerged as globally important across week, day, and hour level models. Unsurprisingly, the largest contribution to lapse prediction was past use. This is consistent with decades of research on relapse precipitants and our understanding of human behavior more generally (i.e., past behavior predicts future behavior)</w:t>
      </w:r>
      <w:r>
        <w:t xml:space="preserve"> </w:t>
      </w:r>
      <w:r>
        <w:t xml:space="preserve">(Marlatt &amp; Gordon, 1985)</w:t>
      </w:r>
      <w:r>
        <w:t xml:space="preserve">. Decreases in abstinence self-efficacy were also strongly associated with increased probability of future lapses across windows.</w:t>
      </w:r>
    </w:p>
    <w:p>
      <w:pPr>
        <w:pStyle w:val="BodyText"/>
      </w:pPr>
      <w:r>
        <w:t xml:space="preserve">The relative importance of some constructs descriptively differed by window width. Punctate, time-varying constructs (e.g., craving, arousal, recent risky situation) had greater impact on predicted lapse probabilities in the hour model compared to day or week models. The time of day feature was relatively important (top four) in the hour model, such that lapses were more likely for hour-level prediction windows that began in the evenings. The day of week feature made a small contribution to the hour and day models given that lapses were more likely on weekends. The time and day features were not useful in the week model because its associated prediction window (a full week) spanned all days and times, making the time and day that the window began irrelevant. The increased global importance for all these punctate features/constructs to immediate lapse risk likely contributed to the hour model outperforming the day and week models. These important global differences in next hour lapse risk also highlight the need for just-in-time interventions that can address these imminent but short-lived risks.</w:t>
      </w:r>
    </w:p>
    <w:p>
      <w:pPr>
        <w:pStyle w:val="BodyText"/>
      </w:pPr>
      <w:r>
        <w:t xml:space="preserve">The individual, local Shapley values also shed light on the multidimensional and heterogeneous nature of lapse risk in our sample. Sina plots of local Shapley values (</w:t>
      </w:r>
      <w:hyperlink w:anchor="fig-3-ema">
        <w:r>
          <w:rPr>
            <w:rStyle w:val="Hyperlink"/>
          </w:rPr>
          <w:t xml:space="preserve">Figure 3</w:t>
        </w:r>
      </w:hyperlink>
      <w:r>
        <w:t xml:space="preserve">) display meaningful ranges of scores for most feature categories. This means that even feature categories with lower global importance (e.g., past pleasant events, future stressful events) still consequentially impacted predictions for some individuals at specific times. This variability in locally important features highlights the potential benefits of recommending optimal interventions and other supports that are personalized for that person at that moment in time.</w:t>
      </w:r>
    </w:p>
    <w:p>
      <w:pPr>
        <w:pStyle w:val="BodyText"/>
      </w:pPr>
      <w:r>
        <w:t xml:space="preserve">Our demographic features did not display high global or local importance. Despite the diversity in sex, age, education, and marital status in our sample, these features did not meaningfully contribute to lapse prediction. Although this does not preclude these features’ predictive utility, it does suggest that other EMA feature categories may be more relevant for lapse prediction than these characteristics. Race/ethnicity also did not emerge as globally or locally important features. However, the limited representation of participants of color in our sample warrants caution in drawing conclusions about the predictive utility of race and ethnicity at this time.</w:t>
      </w:r>
    </w:p>
    <w:bookmarkEnd w:id="66"/>
    <w:bookmarkStart w:id="69" w:name="Xf6ca54159972f4f7729ee08f27d71911bd3ae56"/>
    <w:p>
      <w:pPr>
        <w:pStyle w:val="Heading3"/>
      </w:pPr>
      <w:r>
        <w:t xml:space="preserve">2.4.3 Considerations for Clinical Implementation</w:t>
      </w:r>
    </w:p>
    <w:bookmarkStart w:id="67" w:name="smart-digital-therapeutics"/>
    <w:p>
      <w:pPr>
        <w:pStyle w:val="Heading4"/>
      </w:pPr>
      <w:r>
        <w:t xml:space="preserve">2.4.3.1 Smart Digital Therapeutics</w:t>
      </w:r>
    </w:p>
    <w:p>
      <w:pPr>
        <w:pStyle w:val="FirstParagraph"/>
      </w:pPr>
      <w:r>
        <w:t xml:space="preserve">We believe these full models may be most effective when embedded in a</w:t>
      </w:r>
      <w:r>
        <w:t xml:space="preserve"> </w:t>
      </w:r>
      <w:r>
        <w:t xml:space="preserve">“smart”</w:t>
      </w:r>
      <w:r>
        <w:t xml:space="preserve"> </w:t>
      </w:r>
      <w:r>
        <w:t xml:space="preserve">digital therapeutic that guides patients toward optimal, adaptive engagement to address their ongoing and momentary risks. These models can provide the patient’s predicted future lapse probability and the features that meaningfully contribute to that probability. We consciously selected EMA items that map onto well-known risk factors from the relapse prevention literature. Consequently, these outputs can be used to recommend specific intervention and support modules that are risk-relevant for each patient - much like a clinician would do if they were available in-the-moment. For example, during sensed periods of high stress, stress reduction techniques (e.g., guided mindfulness) could be recommended. If increased time with risky people or locations is driving lapse risk, the digital therapeutic can support patients to attend support meetings, or encourage participation in the in-app discussion board.</w:t>
      </w:r>
    </w:p>
    <w:p>
      <w:pPr>
        <w:pStyle w:val="BodyText"/>
      </w:pPr>
      <w:r>
        <w:t xml:space="preserve">Module recommendations can also be tuned more precisely using the patient’s current lapse probability. If increased craving yields a high predicted lapse probability, stimulus control modules would be recommended (e.g., remove drinking cues, leave unsafe environment). Conversely, if craving is detected but lapse probability is lower, urge management modules that permit coping with the craving in-place could be recommended (e.g., urge surfing, distracting activities/games).</w:t>
      </w:r>
    </w:p>
    <w:p>
      <w:pPr>
        <w:pStyle w:val="BodyText"/>
      </w:pPr>
      <w:r>
        <w:t xml:space="preserve">Of course, we must first determine how best to provide module recommendations such that patients trust and follow the recommendation. Increasing the interpretability and transparency of otherwise</w:t>
      </w:r>
      <w:r>
        <w:t xml:space="preserve"> </w:t>
      </w:r>
      <w:r>
        <w:t xml:space="preserve">“black box”</w:t>
      </w:r>
      <w:r>
        <w:t xml:space="preserve"> </w:t>
      </w:r>
      <w:r>
        <w:t xml:space="preserve">machine learning prediction models can improve perceptions, but providing complex or unnecessary information may instead undermine trust</w:t>
      </w:r>
      <w:r>
        <w:t xml:space="preserve"> </w:t>
      </w:r>
      <w:r>
        <w:t xml:space="preserve">(Molnar, 2022)</w:t>
      </w:r>
      <w:r>
        <w:t xml:space="preserve">. Additional research using appropriate research designs is needed to optimize recommendation messaging to increase adherence and clinical outcomes</w:t>
      </w:r>
      <w:r>
        <w:t xml:space="preserve"> </w:t>
      </w:r>
      <w:r>
        <w:t xml:space="preserve">(L. M. Collins, 2018)</w:t>
      </w:r>
      <w:r>
        <w:t xml:space="preserve">.</w:t>
      </w:r>
    </w:p>
    <w:p>
      <w:pPr>
        <w:pStyle w:val="BodyText"/>
      </w:pPr>
      <w:r>
        <w:t xml:space="preserve">A smart digital therapeutic can potentially improve clinical outcomes in multiple ways. First, feedback from the prediction model could improve patient insight and self-monitoring by connecting their daily experiences to changing risk. Second, it can remove patient uncertainty by guiding selection from the substantial content available. Third, a smart digital therapeutic could encourage risk-relevant engagement. Rather than trying to increase overall time using the digital therapeutic, patients could be guided to use the supports that specifically target their personal risk factors at that moment in time. Thus, smart digital therapeutics are well-positioned to pursue the precision mental health goal to</w:t>
      </w:r>
      <w:r>
        <w:t xml:space="preserve"> </w:t>
      </w:r>
      <w:r>
        <w:t xml:space="preserve">“provide the right treatment to the right patient at the right time, every time”</w:t>
      </w:r>
      <w:r>
        <w:t xml:space="preserve"> </w:t>
      </w:r>
      <w:r>
        <w:t xml:space="preserve">(Kaiser, 2015)</w:t>
      </w:r>
      <w:r>
        <w:t xml:space="preserve">.</w:t>
      </w:r>
    </w:p>
    <w:bookmarkEnd w:id="67"/>
    <w:bookmarkStart w:id="68" w:name="categorical-lapse-predictions"/>
    <w:p>
      <w:pPr>
        <w:pStyle w:val="Heading4"/>
      </w:pPr>
      <w:r>
        <w:t xml:space="preserve">2.4.3.2 Categorical Lapse Predictions</w:t>
      </w:r>
    </w:p>
    <w:p>
      <w:pPr>
        <w:pStyle w:val="FirstParagraph"/>
      </w:pPr>
      <w:r>
        <w:t xml:space="preserve">Our models natively provide quantitative predictions of lapse probabilities. These lapse probabilities can also be used to make categorical predictions (lapse vs. no-lapse) by applying a decision threshold to the quantitative predicted lapse probabilities (i.e., predict lapse when the probability exceeds the decision threshold).</w:t>
      </w:r>
    </w:p>
    <w:p>
      <w:pPr>
        <w:pStyle w:val="BodyText"/>
      </w:pPr>
      <w:r>
        <w:t xml:space="preserve">We observed high sensitivity and specificity for these categorical predictions at a decision threshold selected to balance these two performance metrics. However, the PPV (proportion of predicted lapses that were true lapses) of these categorical predictions in our full models was moderate to very low at this threshold (ranging from .630 down to .025 across window widths). For this reason, categorical predictions should be provided to patients with extreme caution, if at all. Instead, we favor the quantitative lapse probabilities as risk indicators to guide intervention and support recommendations.</w:t>
      </w:r>
    </w:p>
    <w:p>
      <w:pPr>
        <w:pStyle w:val="BodyText"/>
      </w:pPr>
      <w:r>
        <w:t xml:space="preserve">If categorical predictions are necessary, PPV can be improved by raising the decision threshold, but this comes at the cost of reduced sensitivity. We explored this trade-off in the precision-recall curves displayed in</w:t>
      </w:r>
      <w:r>
        <w:t xml:space="preserve"> </w:t>
      </w:r>
      <w:hyperlink w:anchor="fig-2-ema">
        <w:r>
          <w:rPr>
            <w:rStyle w:val="Hyperlink"/>
          </w:rPr>
          <w:t xml:space="preserve">Figure 2</w:t>
        </w:r>
      </w:hyperlink>
      <w:r>
        <w:t xml:space="preserve">. From these curves, it is clear decision thresholds that yield higher PPV (e.g., .700) exist for all three full models, but the associated sensitivity will be lower (e.g., 0.718, 0.473, and 0.327 for the week, day, and hour models, respectively, at this threshold). Clinical implementation of categorical predictions will require selecting an optimal decision threshold after weighing the cost of missing true lapses (low sensitivity) vs. predicting lapses that subsequently do not occur (low PPV). Different thresholds could be used depending on the purpose, context, available resources, or even patient preference.</w:t>
      </w:r>
    </w:p>
    <w:bookmarkEnd w:id="68"/>
    <w:bookmarkEnd w:id="69"/>
    <w:bookmarkStart w:id="70" w:name="X40ab624ebf83813907a18dba36edd4d1d14a553"/>
    <w:p>
      <w:pPr>
        <w:pStyle w:val="Heading3"/>
      </w:pPr>
      <w:r>
        <w:t xml:space="preserve">2.4.4 Additional Limitations and Future Directions</w:t>
      </w:r>
    </w:p>
    <w:p>
      <w:pPr>
        <w:pStyle w:val="FirstParagraph"/>
      </w:pPr>
      <w:r>
        <w:t xml:space="preserve">Successful clinical implementation of our models will require several important steps to address limitations in our work to-date. First, we need to enrich the training data to include diversity across race, ethnicity, and geographic region. Our current prediction models may not work well for people of color or people from rural communities. Prediction models must use diverse training samples to avoid exacerbating rather than mitigating existing disparities. We must also collect data from individuals in later stages of recovery beyond initial remission; features that predict lapses may differ in these later periods. We are intentionally addressing these issues in a current NIH protocol that recruits nationally for demographic and geographic diversity and follows participants for up to 1.5 years into their recovery</w:t>
      </w:r>
      <w:r>
        <w:t xml:space="preserve"> </w:t>
      </w:r>
      <w:r>
        <w:t xml:space="preserve">(Moshontz et al., 2021)</w:t>
      </w:r>
      <w:r>
        <w:t xml:space="preserve">.</w:t>
      </w:r>
    </w:p>
    <w:p>
      <w:pPr>
        <w:pStyle w:val="BodyText"/>
      </w:pPr>
      <w:r>
        <w:t xml:space="preserve">The chronic nature of AUD may require sustained use of a sensing and prediction system. Consequently, the burden of using such systems must be considered. Participants with AUD find three months of 4x daily EMA to be generally acceptable and report that they could hypothetically sustain this for at least a year if there were clinical benefits to them</w:t>
      </w:r>
      <w:r>
        <w:t xml:space="preserve"> </w:t>
      </w:r>
      <w:r>
        <w:t xml:space="preserve">(Wyant et al., 2023)</w:t>
      </w:r>
      <w:r>
        <w:t xml:space="preserve">. They also report that 1x daily EMA may be more feasible still</w:t>
      </w:r>
      <w:r>
        <w:t xml:space="preserve"> </w:t>
      </w:r>
      <w:r>
        <w:t xml:space="preserve">(Wyant et al., 2023)</w:t>
      </w:r>
      <w:r>
        <w:t xml:space="preserve">. We plan to develop future prediction models that use only the single morning EMA to contrast the assessment burden vs. model performance trade-off between our current models and putatively lower burden models. We also plan to train models that use features based on passively sensed geolocation and cellular communications data-streams (i.e., meta-data from calls and text messages; text message content) that were also collected from our participants. These passively sensed signals may be sufficient as inputs to an exceptionally low burden prediction model. Alternatively, they can be added to models that also include EMA to increase model performance further and/or to reduce the frequency or length of the EMA surveys while maintaining comparable performance.</w:t>
      </w:r>
    </w:p>
    <w:p>
      <w:pPr>
        <w:pStyle w:val="BodyText"/>
      </w:pPr>
      <w:r>
        <w:t xml:space="preserve">Our current models predict probability of imminent lapses. The hour and day full models are well-positioned to identify and recommend just-in-time interventions to address these immediate risks. However, the week model may not have sufficient temporal specificity to recommend immediate patient action. Instead, its clinical utility may improve if we shift this coarser window width into the future. For example, we could train a model to predict the probability of lapse at any point during a week window that begins two weeks in the future. This</w:t>
      </w:r>
      <w:r>
        <w:t xml:space="preserve"> </w:t>
      </w:r>
      <w:r>
        <w:t xml:space="preserve">“time-lagged”</w:t>
      </w:r>
      <w:r>
        <w:t xml:space="preserve"> </w:t>
      </w:r>
      <w:r>
        <w:t xml:space="preserve">model could provide patients with increased lead time to implement supports that might not be immediately available to them (e.g., schedule therapy appointment, request support from an AA sponsor).</w:t>
      </w:r>
    </w:p>
    <w:p>
      <w:pPr>
        <w:pStyle w:val="BodyText"/>
      </w:pPr>
      <w:r>
        <w:t xml:space="preserve">Finally, XGBoost does not take advantage of grouping observations within participants or systematic variation unique to individual participants. Although XGBoost ignores participant-level information, we do leverage this information to some degree by including change features that anchor participants’ EMA responses to their own previous responses. Independence of observations is not necessary for statistically valid prediction. When observations are grouped/repeated within participants, linear mixed effects models or other statistical models that can estimate both population-level (fixed) effects and participant-level (random) effects may predict better for the participants on which they were trained than would XGBoost. However, we are not interested in making predictions for participants in our training set. We want to know how well our models will work with new individuals like those that will use smart digital therapeutics in the future.</w:t>
      </w:r>
    </w:p>
    <w:p>
      <w:pPr>
        <w:pStyle w:val="BodyText"/>
      </w:pPr>
      <w:r>
        <w:t xml:space="preserve">In some domains, there has been increasing interest in idiographic approaches where models are trained and then implemented for the same individual</w:t>
      </w:r>
      <w:r>
        <w:t xml:space="preserve">(Fisher et al., 2019; Wright &amp; Zimmermann, 2019)</w:t>
      </w:r>
      <w:r>
        <w:t xml:space="preserve">. Such approaches may also yield superior predictive performance but are not possible to implement for outcomes like alcohol use lapse. A person-specific lapse prediction model requires a sufficient number of positive labels (i.e., lapses) for that individual. It may be too late to prevent relapse if we must wait until an individual has lapsed multiple (perhaps many) times to offer help. We believe the most promising approaches may involve first developing population-based models and updating these models with person-specific information as the patient uses the system</w:t>
      </w:r>
      <w:r>
        <w:t xml:space="preserve"> </w:t>
      </w:r>
      <w:r>
        <w:t xml:space="preserve">(Zhou et al., 2018)</w:t>
      </w:r>
      <w:r>
        <w:t xml:space="preserve">. We are pursuing these cutting-edge models as a near-term future direction.</w:t>
      </w:r>
    </w:p>
    <w:p>
      <w:pPr>
        <w:pStyle w:val="BodyText"/>
      </w:pPr>
      <w:r>
        <w:t xml:space="preserve">In this study, we have demonstrated that sensing and prediction systems can now be developed to predict future lapses with high temporal resolution. Important steps still remain before these systems can be embedded within smart digital therapeutics and delivered to patients. However, the necessary steps are clear and, when completed, these smart digital therapeutics hold promise to advance us toward precision mental health solutions that may reduce both barriers and disparities in AUD treatment.</w:t>
      </w:r>
    </w:p>
    <w:bookmarkEnd w:id="70"/>
    <w:bookmarkEnd w:id="71"/>
    <w:bookmarkEnd w:id="72"/>
    <w:bookmarkStart w:id="73" w:name="Xa9dab75cb028dec3684db25ff70acaea84b1b87"/>
    <w:p>
      <w:pPr>
        <w:pStyle w:val="Heading1"/>
      </w:pPr>
      <w:r>
        <w:t xml:space="preserve">3. Lagged predictions of next day alcohol lapse risk for personalized and adaptive continuing care support</w:t>
      </w:r>
    </w:p>
    <w:bookmarkEnd w:id="73"/>
    <w:bookmarkStart w:id="74" w:name="introduction-2"/>
    <w:p>
      <w:pPr>
        <w:pStyle w:val="Heading1"/>
      </w:pPr>
      <w:r>
        <w:t xml:space="preserve">4. Introduction</w:t>
      </w:r>
    </w:p>
    <w:p>
      <w:pPr>
        <w:pStyle w:val="FirstParagraph"/>
      </w:pPr>
      <w:r>
        <w:t xml:space="preserve">Alcohol and other substance use disorders (SUDs) are serious chronic conditions, characterized by high relapse rates</w:t>
      </w:r>
      <w:r>
        <w:t xml:space="preserve"> </w:t>
      </w:r>
      <w:r>
        <w:t xml:space="preserve">(Dennis &amp; Scott, 2007; McLellan et al., 2000)</w:t>
      </w:r>
      <w:r>
        <w:t xml:space="preserve">, substantial co-morbidity with other physical and mental health problems</w:t>
      </w:r>
      <w:r>
        <w:t xml:space="preserve"> </w:t>
      </w:r>
      <w:r>
        <w:t xml:space="preserve">(Dennis &amp; Scott, 2007; Substance Abuse and Mental Health Services Administration, n.d.)</w:t>
      </w:r>
      <w:r>
        <w:t xml:space="preserve">, and an increased risk of mortality</w:t>
      </w:r>
      <w:r>
        <w:t xml:space="preserve"> </w:t>
      </w:r>
      <w:r>
        <w:t xml:space="preserve">(Centers for Disease Control and Prevention (CDC), n.d.; Hedegaard et al., 2021)</w:t>
      </w:r>
      <w:r>
        <w:t xml:space="preserve">. Too few individuals receive medications or clinician-delivered interventions to help them initially achieve abstinence and/or reduce harms associated with their use</w:t>
      </w:r>
      <w:r>
        <w:t xml:space="preserve"> </w:t>
      </w:r>
      <w:r>
        <w:t xml:space="preserve">(Substance Abuse and Mental Health Services Administration, n.d.)</w:t>
      </w:r>
      <w:r>
        <w:t xml:space="preserve">. Moreover, this problem is even worse for subsequent continuing care during SUD recovery. Continuing care, including both risk monitoring and ongoing support, is the gold standard for managing chronic health conditions such as diabetes, asthma, and HIV</w:t>
      </w:r>
      <w:r>
        <w:t xml:space="preserve"> </w:t>
      </w:r>
      <w:r>
        <w:t xml:space="preserve">(Wagner et al., 2001)</w:t>
      </w:r>
      <w:r>
        <w:t xml:space="preserve">. Yet, continuing care for SUDs is largely lacking despite ample evidence that SUDs are chronic, relapsing conditions</w:t>
      </w:r>
      <w:r>
        <w:t xml:space="preserve"> </w:t>
      </w:r>
      <w:r>
        <w:t xml:space="preserve">(Socías et al., 2016; Stanojlović &amp; Davidson, 2021; Substance Abuse and Mental Health Services Administration, n.d.)</w:t>
      </w:r>
      <w:r>
        <w:t xml:space="preserve">.</w:t>
      </w:r>
    </w:p>
    <w:p>
      <w:pPr>
        <w:pStyle w:val="BodyText"/>
      </w:pPr>
      <w:r>
        <w:t xml:space="preserve">An important focus of continuing care during SUD recovery is to prevent lapses (i.e., single instances of goal-inconsistent substance use) and full relapse back to harmful use</w:t>
      </w:r>
      <w:r>
        <w:t xml:space="preserve"> </w:t>
      </w:r>
      <w:r>
        <w:t xml:space="preserve">(Marlatt &amp; Gordon, 1985; K. Witkiewitz &amp; Marlatt, 2004)</w:t>
      </w:r>
      <w:r>
        <w:t xml:space="preserve">. Critically, the risk factors that instigate lapses during recovery are individualized, numerous, dynamic, interactive, and non-linear</w:t>
      </w:r>
      <w:r>
        <w:t xml:space="preserve"> </w:t>
      </w:r>
      <w:r>
        <w:t xml:space="preserve">(Brandon et al., 2007; K. Witkiewitz &amp; Marlatt, 2007)</w:t>
      </w:r>
      <w:r>
        <w:t xml:space="preserve">. The optimal supports to address these risk factors and encourage continued, successful recovery vary both across individuals and within an individual over time. Given this, continuing care could benefit greatly from a precision mental health approach that seeks to provide the right support to the right individual at the right time, every time</w:t>
      </w:r>
      <w:r>
        <w:t xml:space="preserve"> </w:t>
      </w:r>
      <w:r>
        <w:t xml:space="preserve">(Bickman et al., 2016; DeRubeis, 2019; Kranzler &amp; McKay, 2012)</w:t>
      </w:r>
      <w:r>
        <w:t xml:space="preserve">. However, such monitoring and personalized support must also be highly scalable to address the substantial unmet need for SUD continuing care.</w:t>
      </w:r>
    </w:p>
    <w:p>
      <w:pPr>
        <w:pStyle w:val="BodyText"/>
      </w:pPr>
      <w:r>
        <w:t xml:space="preserve">Recent advances in both smartphone sensing</w:t>
      </w:r>
      <w:r>
        <w:t xml:space="preserve"> </w:t>
      </w:r>
      <w:r>
        <w:t xml:space="preserve">(Mohr et al., 2017)</w:t>
      </w:r>
      <w:r>
        <w:t xml:space="preserve"> </w:t>
      </w:r>
      <w:r>
        <w:t xml:space="preserve">and machine learning</w:t>
      </w:r>
      <w:r>
        <w:t xml:space="preserve"> </w:t>
      </w:r>
      <w:r>
        <w:t xml:space="preserve">(Hastie et al., 2009)</w:t>
      </w:r>
      <w:r>
        <w:t xml:space="preserve"> </w:t>
      </w:r>
      <w:r>
        <w:t xml:space="preserve">hold promise as a scalable foundation for monitoring and personalized support during SUD recovery. Smartphone sensing approaches (e.g., ecological momentary assessment [EMA], geolocation sensing) can provide the frequent, longitudinal measurement of proximal risk factors that is necessary for prediction of future lapses with high temporal precision. EMA may be particularly well-suited for lapse prediction because it can provide privileged access to subjective experiences (e.g., craving, affect, stress, motivation, self-efficacy) that are targets for change in evidence-based approaches for relapse prevention</w:t>
      </w:r>
      <w:r>
        <w:t xml:space="preserve"> </w:t>
      </w:r>
      <w:r>
        <w:t xml:space="preserve">(Bowen et al., 2021; Marlatt &amp; Gordon, 1985; K. Witkiewitz &amp; Marlatt, 2004)</w:t>
      </w:r>
      <w:r>
        <w:t xml:space="preserve">. Furthermore, individuals with SUDs have found EMA to be acceptable for sustained measurement for up to a year with relatively high compliance</w:t>
      </w:r>
      <w:r>
        <w:t xml:space="preserve"> </w:t>
      </w:r>
      <w:r>
        <w:t xml:space="preserve">(Moshontz et al., 2021; Wyant et al., 2023)</w:t>
      </w:r>
      <w:r>
        <w:t xml:space="preserve">, suggesting that this method is feasible for long-term monitoring throughout SUD recovery.</w:t>
      </w:r>
    </w:p>
    <w:p>
      <w:pPr>
        <w:pStyle w:val="BodyText"/>
      </w:pPr>
      <w:r>
        <w:t xml:space="preserve">Machine learning models are well-positioned to use EMAs as inputs to provide temporally precise prediction of the probability of future lapses with sufficiently high performance to support decisions about interventions and other supports for specific individuals. These models can handle the high dimensional feature sets that may result from feature engineering densely sampled raw EMA over time. They can also accommodate non-linear and interactive relationships between features and lapse probability that are likely necessary for accurate prediction of lapse probability. Moreover, rapid advances in the tools for interpretable machine learning (e.g., Shapley values</w:t>
      </w:r>
      <w:r>
        <w:t xml:space="preserve"> </w:t>
      </w:r>
      <w:r>
        <w:t xml:space="preserve">(Lundberg &amp; Lee, 2017)</w:t>
      </w:r>
      <w:r>
        <w:t xml:space="preserve">) now allow us to probe these models to understand which risk features contribute most strongly to a lapse prediction for a specific individual at a specific moment in time. Interventions, supports, and/or suggested lifestyle adjustments can then be personalized to address these risks following from our understanding about relapse prevention.</w:t>
      </w:r>
    </w:p>
    <w:p>
      <w:pPr>
        <w:pStyle w:val="BodyText"/>
      </w:pPr>
      <w:r>
        <w:t xml:space="preserve">Preliminary research is now emerging that uses features derived from EMAs in machine learning models to predict the probability of future alcohol use</w:t>
      </w:r>
      <w:r>
        <w:t xml:space="preserve"> </w:t>
      </w:r>
      <w:r>
        <w:t xml:space="preserve">(Soyster et al., 2022; Walters et al., 2021)</w:t>
      </w:r>
      <w:r>
        <w:t xml:space="preserve">. This research is important because it rigorously required strict temporal ordering necessary for true prediction, with features measured before alcohol use outcomes. These studies also used resampling methods (e.g., cross-validation) that prioritize model generalizability to increase the likelihood these models will perform well with new people. Perhaps most importantly, Chapter 2 demonstrated that machine learning models using EMA can provide predictions with very high temporal precision at clinically implementable levels of performance. Specifically, we developed models that predict lapses in the immediate future (i.e., the next day and even the next hour) with areas under the receiver operating characteristic curve (auROCs) of 0.91 and 0.93, respectively.</w:t>
      </w:r>
    </w:p>
    <w:p>
      <w:pPr>
        <w:pStyle w:val="BodyText"/>
      </w:pPr>
      <w:r>
        <w:t xml:space="preserve">Chapter 2’s next day lapse prediction model can provide personalized support recommendations to address immediate risks for possible lapses. Features derived from past EMAs can be updated in the early morning to yield the predicted lapse probability for an individual that day. Personalized supports that target the top features contributing to that prediction can then be provided. For example, if predicted lapse probability is high due to frequent craving, the individual could be reminded about the benefits of urge surfing or distracting activities during brief periods when cravings arise. Conversely, guided relaxation techniques could be recommended if lapse probability is high due to recent past and anticipated stressors that day. Patients could also be assisted to implement any of these recommendations using videos or other tools within a digital therapeutic. Curtin and colleagues are currently evaluating outcomes associated with the use of this</w:t>
      </w:r>
      <w:r>
        <w:t xml:space="preserve"> </w:t>
      </w:r>
      <w:r>
        <w:t xml:space="preserve">“smart”</w:t>
      </w:r>
      <w:r>
        <w:t xml:space="preserve"> </w:t>
      </w:r>
      <w:r>
        <w:t xml:space="preserve">(machine learning guided) recovery monitoring and support system (RMSS) for patients with an alcohol use disorder (AUD)</w:t>
      </w:r>
      <w:r>
        <w:t xml:space="preserve"> </w:t>
      </w:r>
      <w:r>
        <w:t xml:space="preserve">(Wyant et al., 2025)</w:t>
      </w:r>
      <w:r>
        <w:t xml:space="preserve">.</w:t>
      </w:r>
    </w:p>
    <w:p>
      <w:pPr>
        <w:pStyle w:val="BodyText"/>
      </w:pPr>
      <w:r>
        <w:t xml:space="preserve">Despite the promise offered by a smart RMSS based on immediate future risks (e.g., the next day), such a system has limitations. Most importantly, recommendations must be limited to previously learned skills and/or supports that are available to implement that day. However, many risks may require supports that are not available in the moment. For example, to address lifestyle imbalances, several future positive activities may need to be planned. Time with supportive friends or an AA sponsor may require time to schedule. Similarly, work or family schedules may need to be adjusted to return to attending self-help meetings. If new recovery skills or therapeutic activities are needed to address emerging risks, patients may need to book sessions with a therapist. In all these instances, patients would benefit from advanced warning about changes in their lapse probability and the associated risks that contribute to these changes. A smart RMSS could provide this advanced warning by lagging lapse probability predictions further into the future (e.g., predicting lapse probability in a 24-hour window that begins two weeks in the future). However, we do not know if such lagged models could maintain adequate performance for clinical implementation.</w:t>
      </w:r>
    </w:p>
    <w:p>
      <w:pPr>
        <w:pStyle w:val="BodyText"/>
      </w:pPr>
      <w:r>
        <w:t xml:space="preserve">In this study, we evaluated the performance of machine learning models that predict the probability of future lapses within 24-hour prediction windows that were systematically lagged further into the future. We considered several meaningful lags for these prediction windows: 1 day, 3 days, 1 week, and 2 weeks. We conducted pre-registered analyses of both the absolute performance of these lagged models and their relative performance compared to a baseline model that predicted lapse probability in the immediate next day (i.e., no lag). In addition to the aggregate performance of these models, we also evaluated algorithmic fairness by comparing model performance across important subgroups that have documented disparities in treatment access and/or outcomes. These include comparisons by race/ethnicity</w:t>
      </w:r>
      <w:r>
        <w:t xml:space="preserve"> </w:t>
      </w:r>
      <w:r>
        <w:t xml:space="preserve">(Kilaru et al., 2020; Pinedo, 2019)</w:t>
      </w:r>
      <w:r>
        <w:t xml:space="preserve">, income</w:t>
      </w:r>
      <w:r>
        <w:t xml:space="preserve"> </w:t>
      </w:r>
      <w:r>
        <w:t xml:space="preserve">(Olfson et al., 2022)</w:t>
      </w:r>
      <w:r>
        <w:t xml:space="preserve"> </w:t>
      </w:r>
      <w:r>
        <w:t xml:space="preserve">and sex at birth</w:t>
      </w:r>
      <w:r>
        <w:t xml:space="preserve"> </w:t>
      </w:r>
      <w:r>
        <w:t xml:space="preserve">(Greenfield et al., 2007; Kilaru et al., 2020)</w:t>
      </w:r>
      <w:r>
        <w:t xml:space="preserve">. Finally, we calculated Shapley values for feature categories defined by EMA items to better understand how these models generate predictions and how these features can be used to tailor personalized supports.</w:t>
      </w:r>
    </w:p>
    <w:bookmarkEnd w:id="74"/>
    <w:bookmarkStart w:id="100" w:name="methods"/>
    <w:p>
      <w:pPr>
        <w:pStyle w:val="Heading1"/>
      </w:pPr>
      <w:r>
        <w:t xml:space="preserve">5. Methods</w:t>
      </w:r>
    </w:p>
    <w:bookmarkStart w:id="77" w:name="transparency"/>
    <w:p>
      <w:pPr>
        <w:pStyle w:val="Heading2"/>
      </w:pPr>
      <w:r>
        <w:t xml:space="preserve">5.1 Transparency</w:t>
      </w:r>
    </w:p>
    <w:p>
      <w:pPr>
        <w:pStyle w:val="FirstParagraph"/>
      </w:pPr>
      <w:r>
        <w:t xml:space="preserve">We adhere to research transparency principles that are crucial for robust and replicable science. We preregistered our data analytic strategy. We reported all data exclusions. Our data, questionnaires, preregistration, and other study materials are publicly available on our OSF page (</w:t>
      </w:r>
      <w:hyperlink r:id="rId75">
        <w:r>
          <w:rPr>
            <w:rStyle w:val="Hyperlink"/>
          </w:rPr>
          <w:t xml:space="preserve">https://osf.io/xta67/</w:t>
        </w:r>
      </w:hyperlink>
      <w:r>
        <w:t xml:space="preserve">). Our annotated analysis scripts and results are publicly available on our study website (</w:t>
      </w:r>
      <w:hyperlink r:id="rId76">
        <w:r>
          <w:rPr>
            <w:rStyle w:val="Hyperlink"/>
          </w:rPr>
          <w:t xml:space="preserve">https://jjcurtin.github.io/study_lag/</w:t>
        </w:r>
      </w:hyperlink>
      <w:r>
        <w:t xml:space="preserve">).</w:t>
      </w:r>
    </w:p>
    <w:bookmarkEnd w:id="77"/>
    <w:bookmarkStart w:id="78" w:name="participants-1"/>
    <w:p>
      <w:pPr>
        <w:pStyle w:val="Heading2"/>
      </w:pPr>
      <w:r>
        <w:t xml:space="preserve">5.2 Participants</w:t>
      </w:r>
    </w:p>
    <w:p>
      <w:pPr>
        <w:pStyle w:val="FirstParagraph"/>
      </w:pPr>
      <w:r>
        <w:t xml:space="preserve">We recruited 192 participants in early recovery from AUD in Madison, Wisconsin, USA for a 3-month longitudinal study from February 15, 2017 through September 19, 2019. This sample size was determined based on traditional power analysis methods for logistic regression</w:t>
      </w:r>
      <w:r>
        <w:t xml:space="preserve"> </w:t>
      </w:r>
      <w:r>
        <w:t xml:space="preserve">(Hsieh, 1989)</w:t>
      </w:r>
      <w:r>
        <w:t xml:space="preserve"> </w:t>
      </w:r>
      <w:r>
        <w:t xml:space="preserve">because comparable approaches for machine learning models have not yet been validated. Participants were recruited through print and targeted digital advertisements and partnerships with treatment centers. We required that participants:</w:t>
      </w:r>
    </w:p>
    <w:p>
      <w:pPr>
        <w:pStyle w:val="Compact"/>
        <w:numPr>
          <w:ilvl w:val="0"/>
          <w:numId w:val="1004"/>
        </w:numPr>
      </w:pPr>
      <w:r>
        <w:t xml:space="preserve">were age 18 or older,</w:t>
      </w:r>
    </w:p>
    <w:p>
      <w:pPr>
        <w:pStyle w:val="Compact"/>
        <w:numPr>
          <w:ilvl w:val="0"/>
          <w:numId w:val="1004"/>
        </w:numPr>
      </w:pPr>
      <w:r>
        <w:t xml:space="preserve">could write and read in English,</w:t>
      </w:r>
    </w:p>
    <w:p>
      <w:pPr>
        <w:pStyle w:val="Compact"/>
        <w:numPr>
          <w:ilvl w:val="0"/>
          <w:numId w:val="1004"/>
        </w:numPr>
      </w:pPr>
      <w:r>
        <w:t xml:space="preserve">had at least moderate AUD (&gt;= 4 self-reported DSM-5 symptoms),</w:t>
      </w:r>
    </w:p>
    <w:p>
      <w:pPr>
        <w:pStyle w:val="Compact"/>
        <w:numPr>
          <w:ilvl w:val="0"/>
          <w:numId w:val="1004"/>
        </w:numPr>
      </w:pPr>
      <w:r>
        <w:t xml:space="preserve">were abstinent from alcohol for 1-8 weeks, and</w:t>
      </w:r>
    </w:p>
    <w:p>
      <w:pPr>
        <w:pStyle w:val="Compact"/>
        <w:numPr>
          <w:ilvl w:val="0"/>
          <w:numId w:val="1004"/>
        </w:numPr>
      </w:pPr>
      <w:r>
        <w:t xml:space="preserve">were willing to use a single smartphone (personal or study provided) while on study.</w:t>
      </w:r>
    </w:p>
    <w:p>
      <w:pPr>
        <w:pStyle w:val="FirstParagraph"/>
      </w:pPr>
      <w:r>
        <w:t xml:space="preserve">We also excluded participants exhibiting severe symptoms of psychosis or paranoia (Defined as scores &gt;2.2 or 2.8, respectively, on the psychosis or paranoia scales of the Symptom Checklist–90</w:t>
      </w:r>
      <w:r>
        <w:t xml:space="preserve"> </w:t>
      </w:r>
      <w:r>
        <w:t xml:space="preserve">(Derogatis, L.R., 2000)</w:t>
      </w:r>
      <w:r>
        <w:t xml:space="preserve">)</w:t>
      </w:r>
    </w:p>
    <w:p>
      <w:pPr>
        <w:pStyle w:val="BodyText"/>
      </w:pPr>
      <w:r>
        <w:t xml:space="preserve">Of the 192 eligible participants, 191 consented to participate in the study at the screening visit, and 169 subsequently enrolled in the study at the enrollment visit, which occurred approximately one week later. Fifteen participants discontinued before the first monthly follow-up visit. We excluded data from one participant who did not maintain a goal of abstinence during their participation. We also excluded data from two participants due to evidence of careless responding and unusually low compliance. Our final sample consisted of 151 participants.</w:t>
      </w:r>
    </w:p>
    <w:bookmarkEnd w:id="78"/>
    <w:bookmarkStart w:id="79" w:name="procedure-1"/>
    <w:p>
      <w:pPr>
        <w:pStyle w:val="Heading2"/>
      </w:pPr>
      <w:r>
        <w:t xml:space="preserve">5.3 Procedure</w:t>
      </w:r>
    </w:p>
    <w:p>
      <w:pPr>
        <w:pStyle w:val="FirstParagraph"/>
      </w:pPr>
      <w:r>
        <w:t xml:space="preserve">Participants completed five study visits over approximately three months. After an initial phone screen, participants attended an in-person screening visit to determine eligibility, complete informed consent, and collect self-report measures. Eligible, consented participants returned approximately one week later for an intake visit. Three additional follow-up visits occurred about every 30 days that participants remained on study. Participants were expected to complete four daily EMAs. Other personal sensing data streams (geolocation, cellular communications, sleep quality, and audio check-ins) were collected as part of the parent grant’s aims (R01 AA024391). Participants could earn up to $150/month if they completed all study visits, had 10% or less missing EMA data, and opted in to provide data for other personal sensing data streams.</w:t>
      </w:r>
    </w:p>
    <w:bookmarkEnd w:id="79"/>
    <w:bookmarkStart w:id="80" w:name="ethics"/>
    <w:p>
      <w:pPr>
        <w:pStyle w:val="Heading2"/>
      </w:pPr>
      <w:r>
        <w:t xml:space="preserve">5.4 Ethics</w:t>
      </w:r>
    </w:p>
    <w:p>
      <w:pPr>
        <w:pStyle w:val="FirstParagraph"/>
      </w:pPr>
      <w:r>
        <w:t xml:space="preserve">All procedures were approved by the University of Wisconsin-Madison Institutional Review Board (Study #2015-0780) and carried out in accordance with the principles of the Declaration of Helsinki. All participants provided written informed consent observed by a research assistant.</w:t>
      </w:r>
    </w:p>
    <w:bookmarkEnd w:id="80"/>
    <w:bookmarkStart w:id="83" w:name="measures-1"/>
    <w:p>
      <w:pPr>
        <w:pStyle w:val="Heading2"/>
      </w:pPr>
      <w:r>
        <w:t xml:space="preserve">5.5 Measures</w:t>
      </w:r>
    </w:p>
    <w:bookmarkStart w:id="81" w:name="ecological-momentary-assessments-1"/>
    <w:p>
      <w:pPr>
        <w:pStyle w:val="Heading3"/>
      </w:pPr>
      <w:r>
        <w:t xml:space="preserve">5.5.1 Ecological Momentary Assessments</w:t>
      </w:r>
    </w:p>
    <w:p>
      <w:pPr>
        <w:pStyle w:val="FirstParagraph"/>
      </w:pPr>
      <w:r>
        <w:t xml:space="preserve">Participants completed four brief (7-10 questions) EMAs daily. The first and last EMAs of the day were scheduled within one hour of participants’ typical wake and sleep times. The other two EMAs were scheduled randomly within the first and second halves of their typical day, with at least one hour between EMAs. Participants learned how to complete the EMA and reviewed the meaning of each question with a member of the research team during their intake visit to ensure consistent question interpretation.</w:t>
      </w:r>
    </w:p>
    <w:p>
      <w:pPr>
        <w:pStyle w:val="BodyText"/>
      </w:pPr>
      <w:r>
        <w:t xml:space="preserve">On all EMAs, participants reported dates and times of any previously unreported past alcohol use. Next, participants rated the maximum intensity of recent (i.e., since last EMA) experiences of craving, risky situations, stressful events, and pleasant events. Finally, participants rated their current affect on two bipolar scales: valence (Unpleasant/Unhappy to Pleasant/Happy) and arousal (Calm/Sleepy to Aroused/Alert). On the first EMA each day, participants also rated anticipated risky situations, stressful events, and the likelihood that they would drink alcohol in the next week (i.e., abstinence self-efficacy).</w:t>
      </w:r>
    </w:p>
    <w:bookmarkEnd w:id="81"/>
    <w:bookmarkStart w:id="82" w:name="individual-characteristics"/>
    <w:p>
      <w:pPr>
        <w:pStyle w:val="Heading3"/>
      </w:pPr>
      <w:r>
        <w:t xml:space="preserve">5.5.2 Individual Characteristics</w:t>
      </w:r>
    </w:p>
    <w:p>
      <w:pPr>
        <w:pStyle w:val="FirstParagraph"/>
      </w:pPr>
      <w:r>
        <w:t xml:space="preserve">We collected self-report information about demographics (age, sex at birth, race, ethnicity, education, marital status, employment, and income) and clinical characteristics (AUD milestones, number of quit attempts, lifetime AUD treatment history, lifetime receipt of AUD medication, DSM-5 AUD symptom count, current drug use</w:t>
      </w:r>
      <w:r>
        <w:t xml:space="preserve"> </w:t>
      </w:r>
      <w:r>
        <w:t xml:space="preserve">(WHO ASSIST Working Group, 2002)</w:t>
      </w:r>
      <w:r>
        <w:t xml:space="preserve">, and presence of psychological symptoms</w:t>
      </w:r>
      <w:r>
        <w:t xml:space="preserve"> </w:t>
      </w:r>
      <w:r>
        <w:t xml:space="preserve">(Derogatis, L.R., 2000)</w:t>
      </w:r>
      <w:r>
        <w:t xml:space="preserve"> </w:t>
      </w:r>
      <w:r>
        <w:t xml:space="preserve">to characterize our sample. DSM-5 AUD symptom count and presence of psychological symptoms were also used to determine eligibility. Demographics were included as features in our models. A subset of these variables (sex at birth, race, ethnicity, and income) were used for model fairness analyses, as they have documented disparities in treatment access and outcomes. As part of the aims of the parent project, we collected many other trait and state measures throughout the study. A complete list of all measures can be found on our study’s OSF page (</w:t>
      </w:r>
      <w:hyperlink r:id="rId75">
        <w:r>
          <w:rPr>
            <w:rStyle w:val="Hyperlink"/>
          </w:rPr>
          <w:t xml:space="preserve">https://osf.io/xta67/</w:t>
        </w:r>
      </w:hyperlink>
      <w:r>
        <w:t xml:space="preserve">).</w:t>
      </w:r>
    </w:p>
    <w:bookmarkEnd w:id="82"/>
    <w:bookmarkEnd w:id="83"/>
    <w:bookmarkStart w:id="99" w:name="data-analytic-strategy-1"/>
    <w:p>
      <w:pPr>
        <w:pStyle w:val="Heading2"/>
      </w:pPr>
      <w:r>
        <w:t xml:space="preserve">5.6 Data Analytic Strategy</w:t>
      </w:r>
    </w:p>
    <w:p>
      <w:pPr>
        <w:pStyle w:val="FirstParagraph"/>
      </w:pPr>
      <w:r>
        <w:t xml:space="preserve">Data preprocessing, modeling, and Bayesian analyses were done in R (version 4.4.2) using the tidymodels ecosystem</w:t>
      </w:r>
      <w:r>
        <w:t xml:space="preserve"> </w:t>
      </w:r>
      <w:r>
        <w:t xml:space="preserve">(Goodrich et al., 2023; Kuhn, 2022; Kuhn &amp; Wickham, 2020)</w:t>
      </w:r>
      <w:r>
        <w:t xml:space="preserve">. Models were trained and evaluated using high-throughput computing resources provided by the University of Wisconsin Center for High Throughput Computing</w:t>
      </w:r>
      <w:r>
        <w:t xml:space="preserve"> </w:t>
      </w:r>
      <w:r>
        <w:t xml:space="preserve">(Center for High Throughput Computing, 2006)</w:t>
      </w:r>
      <w:r>
        <w:t xml:space="preserve">.</w:t>
      </w:r>
    </w:p>
    <w:bookmarkStart w:id="89" w:name="predictions"/>
    <w:p>
      <w:pPr>
        <w:pStyle w:val="Heading3"/>
      </w:pPr>
      <w:r>
        <w:t xml:space="preserve">5.6.1 Predictions</w:t>
      </w:r>
    </w:p>
    <w:p>
      <w:pPr>
        <w:pStyle w:val="FirstParagraph"/>
      </w:pPr>
      <w:r>
        <w:t xml:space="preserve">A</w:t>
      </w:r>
      <w:r>
        <w:t xml:space="preserve"> </w:t>
      </w:r>
      <w:r>
        <w:rPr>
          <w:i/>
          <w:iCs/>
        </w:rPr>
        <w:t xml:space="preserve">prediction timepoint</w:t>
      </w:r>
      <w:r>
        <w:t xml:space="preserve"> </w:t>
      </w:r>
      <w:r>
        <w:t xml:space="preserve">(</w:t>
      </w:r>
      <w:hyperlink w:anchor="fig-method">
        <w:r>
          <w:rPr>
            <w:rStyle w:val="Hyperlink"/>
          </w:rPr>
          <w:t xml:space="preserve">Figure 4</w:t>
        </w:r>
      </w:hyperlink>
      <w:r>
        <w:t xml:space="preserve">, Panel A) is the hour at which our model calculates a predicted probability of a lapse within a future 24-hour prediction window for any specific individual. We calculated the features used to make predictions at each prediction timepoint within a feature scoring epoch that included all available EMAs up until, but not including, the prediction timepoint. The first prediction timepoint for each participant was 24 hours from midnight on their study start date. This ensured at least 24 hours of past EMAs were available in the feature scoring epoch. Subsequent prediction timepoints for each participant repeatedly rolled forward hour-by-hour until the end of their study participation.</w:t>
      </w:r>
    </w:p>
    <w:p>
      <w:pPr>
        <w:pStyle w:val="BodyText"/>
      </w:pPr>
      <w:r>
        <w:t xml:space="preserve">The</w:t>
      </w:r>
      <w:r>
        <w:t xml:space="preserve"> </w:t>
      </w:r>
      <w:r>
        <w:rPr>
          <w:i/>
          <w:iCs/>
        </w:rPr>
        <w:t xml:space="preserve">prediction window</w:t>
      </w:r>
      <w:r>
        <w:t xml:space="preserve"> </w:t>
      </w:r>
      <w:r>
        <w:t xml:space="preserve">(</w:t>
      </w:r>
      <w:hyperlink w:anchor="fig-method">
        <w:r>
          <w:rPr>
            <w:rStyle w:val="Hyperlink"/>
          </w:rPr>
          <w:t xml:space="preserve">Figure 4</w:t>
        </w:r>
      </w:hyperlink>
      <w:r>
        <w:t xml:space="preserve">, Panel B) spans a period of time in which a lapse might occur. The prediction window width for all models was 24 hours (i.e., models predicted the probability of a lapse occurring within a specific 24-hour period). Prediction windows rolled forward hour-by-hour with the prediction timepoint. However, there were five possible</w:t>
      </w:r>
      <w:r>
        <w:t xml:space="preserve"> </w:t>
      </w:r>
      <w:r>
        <w:rPr>
          <w:i/>
          <w:iCs/>
        </w:rPr>
        <w:t xml:space="preserve">lag times</w:t>
      </w:r>
      <w:r>
        <w:t xml:space="preserve"> </w:t>
      </w:r>
      <w:r>
        <w:t xml:space="preserve">between the prediction timepoint and start of the associated prediction window. A prediction window either started immediately after the prediction time point (no lag) or was lagged by 1 day, 3 days, 1 week, or 2 weeks.</w:t>
      </w:r>
    </w:p>
    <w:p>
      <w:pPr>
        <w:pStyle w:val="BodyText"/>
      </w:pPr>
      <w:r>
        <w:t xml:space="preserve">Given this structure, our models provided hour-by-hour predicted probabilities of an alcohol lapse in a future 24-hour period. Depending on the model, that future period (the prediction window) might start immediately after the prediction timepoint or up to 2 weeks into the future. For example, at midnight on the 30th day of participation, the feature scoring epoch would include the past 30 days of EMAs. Separate models would predict the probability of lapse for 24-hour periods starting at midnight that day, or 24-hour periods starting 1 day, 3 days, 1 week or 2 weeks after midnight on day 30.</w:t>
      </w:r>
    </w:p>
    <w:bookmarkStart w:id="88" w:name="cell-fig-method"/>
    <w:tbl>
      <w:tblPr>
        <w:tblStyle w:val="Table"/>
        <w:tblW w:type="pct" w:w="5000"/>
        <w:tblLayout w:type="fixed"/>
        <w:tblLook w:firstRow="0" w:lastRow="0" w:firstColumn="0" w:lastColumn="0" w:noHBand="0" w:noVBand="0" w:val="0000"/>
      </w:tblPr>
      <w:tblGrid>
        <w:gridCol w:w="7920"/>
      </w:tblGrid>
      <w:tr>
        <w:tc>
          <w:tcPr/>
          <w:bookmarkStart w:id="87" w:name="fig-method"/>
          <w:p>
            <w:pPr>
              <w:pStyle w:val="Compact"/>
              <w:jc w:val="center"/>
            </w:pPr>
            <w:r>
              <w:drawing>
                <wp:inline>
                  <wp:extent cx="5334000" cy="4240840"/>
                  <wp:effectExtent b="0" l="0" r="0" t="0"/>
                  <wp:docPr descr="" title="" id="85" name="Picture"/>
                  <a:graphic>
                    <a:graphicData uri="http://schemas.openxmlformats.org/drawingml/2006/picture">
                      <pic:pic>
                        <pic:nvPicPr>
                          <pic:cNvPr descr="figures/methods.png" id="86" name="Picture"/>
                          <pic:cNvPicPr>
                            <a:picLocks noChangeArrowheads="1" noChangeAspect="1"/>
                          </pic:cNvPicPr>
                        </pic:nvPicPr>
                        <pic:blipFill>
                          <a:blip r:embed="rId84"/>
                          <a:stretch>
                            <a:fillRect/>
                          </a:stretch>
                        </pic:blipFill>
                        <pic:spPr bwMode="auto">
                          <a:xfrm>
                            <a:off x="0" y="0"/>
                            <a:ext cx="5334000" cy="4240840"/>
                          </a:xfrm>
                          <a:prstGeom prst="rect">
                            <a:avLst/>
                          </a:prstGeom>
                          <a:noFill/>
                          <a:ln w="9525">
                            <a:noFill/>
                            <a:headEnd/>
                            <a:tailEnd/>
                          </a:ln>
                        </pic:spPr>
                      </pic:pic>
                    </a:graphicData>
                  </a:graphic>
                </wp:inline>
              </w:drawing>
            </w:r>
          </w:p>
          <w:p>
            <w:pPr>
              <w:jc w:val="center"/>
            </w:pPr>
            <w:pPr>
              <w:jc w:val="left"/>
              <w:spacing w:before="200"/>
              <w:pStyle w:val="ImageCaption"/>
            </w:pPr>
            <w:r>
              <w:t xml:space="preserve">Figure 4: Panel A shows the prediction time points at which our model calculated a predicted probability of a lapse. All available data up until, but not including, the prediction time point was used to generate these predictions. Features were created for varying scoring epochs before the prediction time point (i.e., 12, 24, 48, 72, and 168 hours). Prediction time points were updated hourly. Panel B shows how the prediction window (i.e., window of time in which a lapse might occur) rolls forward hour-by-hour with the prediction time point with the prediction time point. The prediction window width for all our models was one week (i.e., models predicted the probability of a lapse occurring within a one week window). Additionally, there were five possible lag times between the prediction time point and start of the prediction window. A prediction window either started immediately after the prediction time point (0 lag) or was lagged by 24, 72, 168, or 336 hours.</w:t>
            </w:r>
          </w:p>
          <w:bookmarkEnd w:id="87"/>
        </w:tc>
      </w:tr>
    </w:tbl>
    <w:p>
      <w:pPr>
        <w:pStyle w:val="BodyText"/>
      </w:pPr>
      <w:r>
        <w:rPr>
          <w:vertAlign w:val="subscript"/>
        </w:rPr>
        <w:t xml:space="preserve">Source:</w:t>
      </w:r>
      <w:r>
        <w:rPr>
          <w:vertAlign w:val="subscript"/>
        </w:rPr>
        <w:t xml:space="preserve"> </w:t>
      </w:r>
      <w:hyperlink r:id="rId9">
        <w:r>
          <w:rPr>
            <w:rStyle w:val="Hyperlink"/>
            <w:vertAlign w:val="subscript"/>
          </w:rPr>
          <w:t xml:space="preserve">Article Notebook</w:t>
        </w:r>
      </w:hyperlink>
    </w:p>
    <w:bookmarkEnd w:id="88"/>
    <w:bookmarkEnd w:id="89"/>
    <w:bookmarkStart w:id="90" w:name="labels"/>
    <w:p>
      <w:pPr>
        <w:pStyle w:val="Heading3"/>
      </w:pPr>
      <w:r>
        <w:t xml:space="preserve">5.6.2 Labels</w:t>
      </w:r>
    </w:p>
    <w:p>
      <w:pPr>
        <w:pStyle w:val="FirstParagraph"/>
      </w:pPr>
      <w:r>
        <w:t xml:space="preserve">The start and end dates and times of past drinking episodes were reported on the first EMA item. A prediction window was labeled</w:t>
      </w:r>
      <w:r>
        <w:t xml:space="preserve"> </w:t>
      </w:r>
      <w:r>
        <w:rPr>
          <w:i/>
          <w:iCs/>
        </w:rPr>
        <w:t xml:space="preserve">lapse</w:t>
      </w:r>
      <w:r>
        <w:t xml:space="preserve"> </w:t>
      </w:r>
      <w:r>
        <w:t xml:space="preserve">if the start date/hour of any drinking episode fell within that window. A window was labeled</w:t>
      </w:r>
      <w:r>
        <w:t xml:space="preserve"> </w:t>
      </w:r>
      <w:r>
        <w:rPr>
          <w:i/>
          <w:iCs/>
        </w:rPr>
        <w:t xml:space="preserve">no lapse</w:t>
      </w:r>
      <w:r>
        <w:t xml:space="preserve"> </w:t>
      </w:r>
      <w:r>
        <w:t xml:space="preserve">if no alcohol use occurred within that window +/- 24 hours. If no alcohol use occurred within the window but did occur within 24 hours of the start or end of the window, the window was excluded. We used this conservative 24-hour fence for labeling windows as no lapse (vs. excluded) to increase the fidelity of these labels. Given that most windows were labeled no lapse, and the outcome was highly unbalanced, it was not problematic to exclude some no lapse events to further increase confidence in those labels.</w:t>
      </w:r>
    </w:p>
    <w:p>
      <w:pPr>
        <w:pStyle w:val="BodyText"/>
      </w:pPr>
      <w:r>
        <w:t xml:space="preserve">This method produced totals of: 274,179 labels for the baseline (no lag) model; 270,911 labels for the 1-day lagged model; 264,362 labels for the 3-day lagged model; 251,458 labels for the 1-week lagged model; and 228,420 labels for the 2-week lagged model.</w:t>
      </w:r>
    </w:p>
    <w:bookmarkEnd w:id="90"/>
    <w:bookmarkStart w:id="91" w:name="feature-engineering-1"/>
    <w:p>
      <w:pPr>
        <w:pStyle w:val="Heading3"/>
      </w:pPr>
      <w:r>
        <w:t xml:space="preserve">5.6.3 Feature Engineering</w:t>
      </w:r>
    </w:p>
    <w:p>
      <w:pPr>
        <w:pStyle w:val="FirstParagraph"/>
      </w:pPr>
      <w:r>
        <w:t xml:space="preserve">Features were calculated using only data collected in feature scoring epochs before each prediction timepoint to ensure our models were making true future predictions. For the no lag model, the prediction timepoint was at the start of prediction window, so all data prior to the start of the prediction window were included. For the lagged models, the prediction timepoint was 1 day, 3 days, 1 week, or 2 weeks prior to the start of the prediction window, so the last EMA data used for feature engineering were collected 1 day, 3 days, 1 week, or 2 weeks prior to the start of the prediction window.</w:t>
      </w:r>
    </w:p>
    <w:p>
      <w:pPr>
        <w:pStyle w:val="BodyText"/>
      </w:pPr>
      <w:r>
        <w:t xml:space="preserve">A total of 285 features were derived from three data sources:</w:t>
      </w:r>
    </w:p>
    <w:p>
      <w:pPr>
        <w:numPr>
          <w:ilvl w:val="0"/>
          <w:numId w:val="1005"/>
        </w:numPr>
      </w:pPr>
      <w:r>
        <w:rPr>
          <w:i/>
          <w:iCs/>
        </w:rPr>
        <w:t xml:space="preserve">Prediction window</w:t>
      </w:r>
      <w:r>
        <w:t xml:space="preserve">: We dummy-coded features for day of the week at the start of the prediction window.</w:t>
      </w:r>
    </w:p>
    <w:p>
      <w:pPr>
        <w:numPr>
          <w:ilvl w:val="0"/>
          <w:numId w:val="1005"/>
        </w:numPr>
      </w:pPr>
      <w:r>
        <w:rPr>
          <w:i/>
          <w:iCs/>
        </w:rPr>
        <w:t xml:space="preserve">Demographics</w:t>
      </w:r>
      <w:r>
        <w:t xml:space="preserve">: We created quantitative features for age (in years) and personal income (in dollars), and dummy-coded features for sex at birth (male vs. female), race/ethnicity (non-Hispanic White vs. non-White and/or Hispanic), marital status (married vs. not married vs. other), education (high school or less vs. some college vs. college degree), and employment status (employed vs. unemployed).</w:t>
      </w:r>
    </w:p>
    <w:p>
      <w:pPr>
        <w:numPr>
          <w:ilvl w:val="0"/>
          <w:numId w:val="1005"/>
        </w:numPr>
      </w:pPr>
      <w:r>
        <w:rPr>
          <w:i/>
          <w:iCs/>
        </w:rPr>
        <w:t xml:space="preserve">Previous EMA responses</w:t>
      </w:r>
      <w:r>
        <w:t xml:space="preserve">: We calculated raw and change features using EMAs in varying feature scoring epochs (i.e., 12, 24, 48, 72, and 168 hours) before the prediction timepoint for all EMA items. Raw features included min, max, and median scores for each EMA item across all EMAs in each epoch for a given participant. We calculated change features by subtracting each participant’s baseline mean score for each EMA item from their raw feature. These baseline mean scores were calculated using all of a participant’s EMAs collected from the start of participation until the prediction timepoint. We also created raw and change features based on the most recent response for each EMA question and raw and change rate features from previously reported lapses and number of completed EMAs.</w:t>
      </w:r>
    </w:p>
    <w:p>
      <w:pPr>
        <w:pStyle w:val="FirstParagraph"/>
      </w:pPr>
      <w:r>
        <w:t xml:space="preserve">Features had missing values if the participant did not respond to the relevant EMA question during the associated scoring epoch. The proportion of missing values across features and models was low (median = .02, range = 0 - .13). We imputed missing data using median imputation for numeric features and mode imputation for nominal features. We selected coarse median/mode methods for handling missing data due to the computational costs associated with more advanced forms of imputation (e.g., KNN imputation, multiple imputation). Importantly, our imputation calculations are done using only held-in data and can be applied to any new observation.</w:t>
      </w:r>
    </w:p>
    <w:p>
      <w:pPr>
        <w:pStyle w:val="BodyText"/>
      </w:pPr>
      <w:r>
        <w:t xml:space="preserve">Other generic feature engineering steps included removing zero and near-zero variance features as determined from held-in data. A sample feature engineering script (i.e., tidymodels recipe) containing all feature engineering steps is available on our OSF study page.</w:t>
      </w:r>
    </w:p>
    <w:bookmarkEnd w:id="91"/>
    <w:bookmarkStart w:id="92" w:name="model-configurations"/>
    <w:p>
      <w:pPr>
        <w:pStyle w:val="Heading3"/>
      </w:pPr>
      <w:r>
        <w:t xml:space="preserve">5.6.4 Model Configurations</w:t>
      </w:r>
    </w:p>
    <w:p>
      <w:pPr>
        <w:pStyle w:val="FirstParagraph"/>
      </w:pPr>
      <w:r>
        <w:t xml:space="preserve">We trained and evaluated five separate classification models: one baseline (no lag) model and one model for 1-day, 3-day, 1-week, and 2-week lagged predictions. We considered four well-established statistical algorithms (elastic net, XGBoost, regularized discriminant analysis, and single layer neural networks) that vary across characteristics expected to affect model performance (e.g., flexibility, complexity, handling higher-order interactions natively)</w:t>
      </w:r>
      <w:r>
        <w:t xml:space="preserve"> </w:t>
      </w:r>
      <w:r>
        <w:t xml:space="preserve">(Kuhn &amp; Johnson, 2018)</w:t>
      </w:r>
      <w:r>
        <w:t xml:space="preserve">. Candidate model configurations differed across sensible values for key hyperparameters. Configurations also differed on outcome resampling method (i.e., no resampling and up-sampling and down-sampling of the outcome using majority/no lapse to minority/lapse ratios ranging from 5:1 to 1:1).</w:t>
      </w:r>
    </w:p>
    <w:bookmarkEnd w:id="92"/>
    <w:bookmarkStart w:id="93" w:name="cross-validation"/>
    <w:p>
      <w:pPr>
        <w:pStyle w:val="Heading3"/>
      </w:pPr>
      <w:r>
        <w:t xml:space="preserve">5.6.5 Cross-validation</w:t>
      </w:r>
    </w:p>
    <w:p>
      <w:pPr>
        <w:pStyle w:val="FirstParagraph"/>
      </w:pPr>
      <w:r>
        <w:t xml:space="preserve">We used participant-grouped, nested cross-validation for model training, selection, and evaluation with auROC. auROC indexes the probability that the model will predict a higher score for a randomly selected positive case (lapse) relative to a randomly selected negative case (no lapse). Grouped cross-validation assigns all data from a participant as either held-in or held-out to avoid bias introduced when predicting a participant’s data from their own data. Folds were stratified on a between-subject variable of low vs. high lapsers (low lapsers reported fewer than 10 lapses while on study, and high lapsers reported 10 or more lapses while on study). We used 2 repeats of 5-fold cross-validation for the inner loops (i.e.,</w:t>
      </w:r>
      <w:r>
        <w:t xml:space="preserve"> </w:t>
      </w:r>
      <w:r>
        <w:rPr>
          <w:i/>
          <w:iCs/>
        </w:rPr>
        <w:t xml:space="preserve">validation</w:t>
      </w:r>
      <w:r>
        <w:t xml:space="preserve"> </w:t>
      </w:r>
      <w:r>
        <w:t xml:space="preserve">sets) and 6 repeats of 5-fold cross-validation for the outer loop (i.e.,</w:t>
      </w:r>
      <w:r>
        <w:t xml:space="preserve"> </w:t>
      </w:r>
      <w:r>
        <w:rPr>
          <w:i/>
          <w:iCs/>
        </w:rPr>
        <w:t xml:space="preserve">test</w:t>
      </w:r>
      <w:r>
        <w:t xml:space="preserve"> </w:t>
      </w:r>
      <w:r>
        <w:t xml:space="preserve">sets). Best model configurations were selected using median auROC across the 10 validation sets. Final performance evaluation of those best model configurations used median auROC across the 30 test sets.</w:t>
      </w:r>
    </w:p>
    <w:bookmarkEnd w:id="93"/>
    <w:bookmarkStart w:id="94" w:name="bayesian-model"/>
    <w:p>
      <w:pPr>
        <w:pStyle w:val="Heading3"/>
      </w:pPr>
      <w:r>
        <w:t xml:space="preserve">5.6.6 Bayesian Model</w:t>
      </w:r>
    </w:p>
    <w:p>
      <w:pPr>
        <w:pStyle w:val="FirstParagraph"/>
      </w:pPr>
      <w:r>
        <w:t xml:space="preserve">We used a Bayesian hierarchical generalized linear model to estimate the posterior probability distributions and 95% Bayesian credible intervals (CIs) from the 30 held-out test sets for our five best models. Following recommendations from the rstanarm team and others</w:t>
      </w:r>
      <w:r>
        <w:t xml:space="preserve"> </w:t>
      </w:r>
      <w:r>
        <w:t xml:space="preserve">(Gabry &amp; Goodrich, 2023; RStudio Team, 2020)</w:t>
      </w:r>
      <w:r>
        <w:t xml:space="preserve">, we used the rstanarm default autoscaled, weakly informative, data-dependent priors that take into account the order of magnitude of the variables to provide some regularization to stabilize computation and avoid over-fitting. Priors were set as follows: residual standard deviation ~ normal(location=0, scale=exp(2)), intercept (after centering predictors) ~ normal(location=2.3, scale=1.3), the two coefficients for window width contrasts ~ normal (location=0, scale=2.69), and covariance ~ decov(regularization=1, concentration=1, shape=1, scale=1). We set two random intercepts to account for our resampling method: one for the repeat, and another for the fold nested within repeat. We specified two sets of pre-registered contrasts for model comparisons. The first set compared each lagged model to the baseline no lag model (1-day lag vs. no lag, 3-day lag vs. no lag, 1-week lag vs. no lag, 2-week lag vs. no lag). The second set compared adjacently lagged models (3-day lag vs. 1-day lag, 1-week lag vs. 3-day lag, 2-week lag vs. 1-week lag). auROCs were transformed using the logit function and regressed as a function of model contrast.</w:t>
      </w:r>
    </w:p>
    <w:p>
      <w:pPr>
        <w:pStyle w:val="BodyText"/>
      </w:pPr>
      <w:r>
        <w:t xml:space="preserve">From the Bayesian model we obtained the posterior distribution (transformed back from logit) and Bayesian CIs for auROCs for all five models. To evaluate our models’ overall performance, we report the median posterior probability for auROC and Bayesian CIs. This represents our best estimate for the magnitude of the auROC parameter for each model. If the CIs do not contain .5 (chance performance), this provides strong evidence (&gt; .95 probability) that our model is capturing signal in the data.</w:t>
      </w:r>
    </w:p>
    <w:p>
      <w:pPr>
        <w:pStyle w:val="BodyText"/>
      </w:pPr>
      <w:r>
        <w:t xml:space="preserve">We then conducted Bayesian model comparisons using our two sets of contrasts - baseline and adjacent lags. For both model comparisons, we determined the probability that the models’ performances differed systematically from each other. We also report the precise posterior probability for the difference in auROCs and the 95% Bayesian CIs.</w:t>
      </w:r>
    </w:p>
    <w:bookmarkEnd w:id="94"/>
    <w:bookmarkStart w:id="95" w:name="fairness-analyses"/>
    <w:p>
      <w:pPr>
        <w:pStyle w:val="Heading3"/>
      </w:pPr>
      <w:r>
        <w:t xml:space="preserve">5.6.7 Fairness Analyses</w:t>
      </w:r>
    </w:p>
    <w:p>
      <w:pPr>
        <w:pStyle w:val="FirstParagraph"/>
      </w:pPr>
      <w:r>
        <w:t xml:space="preserve">Using the same 30 held-out test sets, we calculated the median posterior probability and 95% Bayesian CI for auROC for each model separately by race/ethnicity (non-White and/or Hispanic vs. non-Hispanic White), income (below poverty line vs. above poverty line, and sex at birth (female vs. male). We used course race/ethnicity groupings due to the limited diversity of these demographics in our sample. The poverty cutoff was defined from the 2024 federal poverty line for the 48 contiguous United States. Participants at or below $15,060 annual income were categorized as below poverty. We conducted Bayesian group comparisons to assess the likelihood that each model performs differently by group. We summarize the differences in posterior probabilities for auROC across models.</w:t>
      </w:r>
    </w:p>
    <w:bookmarkEnd w:id="95"/>
    <w:bookmarkStart w:id="96" w:name="model-characterization"/>
    <w:p>
      <w:pPr>
        <w:pStyle w:val="Heading3"/>
      </w:pPr>
      <w:r>
        <w:t xml:space="preserve">5.6.8 Model Characterization</w:t>
      </w:r>
    </w:p>
    <w:p>
      <w:pPr>
        <w:pStyle w:val="FirstParagraph"/>
      </w:pPr>
      <w:r>
        <w:t xml:space="preserve">To further characterize and understand our models, we used our inner resampling procedure (2 repeats of 5-fold cross validation grouped on participant and stratified by high/low lapsers) on the full data set to select a single best model configuration for each classification model (no lag, 1-day, 3-day, 1-week, and 2-week lag). The final configuration selected for each model represents the most reliable and robust configuration for deployment. We can better understand our final models by looking at the calibration of the predicted probabilities and the most important features contributing to those predictions.</w:t>
      </w:r>
    </w:p>
    <w:bookmarkEnd w:id="96"/>
    <w:bookmarkStart w:id="97" w:name="model-calibration"/>
    <w:p>
      <w:pPr>
        <w:pStyle w:val="Heading3"/>
      </w:pPr>
      <w:r>
        <w:t xml:space="preserve">5.6.9 Model Calibration</w:t>
      </w:r>
    </w:p>
    <w:p>
      <w:pPr>
        <w:pStyle w:val="FirstParagraph"/>
      </w:pPr>
      <w:r>
        <w:t xml:space="preserve">The best model configuration for each classification model was fit on the full data set. We fit this configuration using single 5-fold cross-validation. This method allowed us to obtain a single predicted probability for each observation, while still using separate data for model training and prediction. We calibrated our probabilities using Platt scaling</w:t>
      </w:r>
      <w:r>
        <w:t xml:space="preserve"> </w:t>
      </w:r>
      <w:r>
        <w:t xml:space="preserve">(Platt, 1999)</w:t>
      </w:r>
      <w:r>
        <w:t xml:space="preserve">. We calculated Brier scores to assess the accuracy of our raw and calibrated probabilities for the no lag and 2-week lagged models. Brier scores range from 0 (perfect accuracy) to 1 (perfect inaccuracy). We provide calibration plots for the no lag and 2-week lagged models.</w:t>
      </w:r>
    </w:p>
    <w:bookmarkEnd w:id="97"/>
    <w:bookmarkStart w:id="98" w:name="global-feature-importance"/>
    <w:p>
      <w:pPr>
        <w:pStyle w:val="Heading3"/>
      </w:pPr>
      <w:r>
        <w:t xml:space="preserve">5.6.10 Global Feature Importance</w:t>
      </w:r>
    </w:p>
    <w:p>
      <w:pPr>
        <w:pStyle w:val="FirstParagraph"/>
      </w:pPr>
      <w:r>
        <w:t xml:space="preserve">We used the same single 5-fold cross-validation procedure to calculate raw Shapley values for observations in our held-out folds. Raw Shapley values index the importance of any feature (or set/category of features as described below) to any single prediction for a specific observation (i.e., for a specific 24-hour window for a specific participant), which indicates the</w:t>
      </w:r>
      <w:r>
        <w:t xml:space="preserve"> </w:t>
      </w:r>
      <w:r>
        <w:t xml:space="preserve">“local importance”</w:t>
      </w:r>
      <w:r>
        <w:t xml:space="preserve"> </w:t>
      </w:r>
      <w:r>
        <w:t xml:space="preserve">of that feature</w:t>
      </w:r>
      <w:r>
        <w:t xml:space="preserve"> </w:t>
      </w:r>
      <w:r>
        <w:t xml:space="preserve">(Lundberg &amp; Lee, 2017)</w:t>
      </w:r>
      <w:r>
        <w:t xml:space="preserve">. More precisely, the magnitude of the raw Shapley value for any feature indicates how much the feature score for that observation adjusted the prediction (in log-odds units) for that observation relative to the mean prediction across all observations. Positive Shapley values indicate that the feature score increased the prediction for that observation and negative values indicate that the feature score decreased the prediction.</w:t>
      </w:r>
    </w:p>
    <w:p>
      <w:pPr>
        <w:pStyle w:val="BodyText"/>
      </w:pPr>
      <w:r>
        <w:t xml:space="preserve">Raw Shapley values are additive across features for an observation, with their sum across features equal to the total adjustment of the predicted value for that observation vs. the mean predicted value across all observations. This property allows raw Shapley values to be added together across features within a category to index the importance of that feature category. We created feature categories by summing raw Shapley values for all features associated with specific EMA items. In three instances, we combined features across two similar EMA items (i.e., past and anticipated risky situations, past and anticipated stressful events, and affective valence and arousal) to yield seven feature categories for distinct constructs assessed by the original 10 EMA items. Specifically, we calculated Shapley values for past use, craving, affective state, past/anticipated risky situations, past/anticipated stressful events, past pleasant events, and abstinence self-efficacy.</w:t>
      </w:r>
    </w:p>
    <w:p>
      <w:pPr>
        <w:pStyle w:val="BodyText"/>
      </w:pPr>
      <w:r>
        <w:t xml:space="preserve">Shapley values can be aggregated across observations to describe the global importance of any feature (or feature category) across all predictions (i.e., for all 24-hour windows for all participants) in the dataset. Global feature importance is calculated by averaging the absolute value of the Shapley values for a feature across all observations. A large mean absolute Shapley value indicates that the feature makes big contributions to the predictions across the dataset. Global feature importance is a descriptive statistic that indicates the importance of the feature for predictions in a specific dataset, rather than a hypothetical population of observations. We provide a descriptive plot of the relative ranking of feature categories by their global feature importance for the no lag and 2-week lagged models.</w:t>
      </w:r>
    </w:p>
    <w:bookmarkEnd w:id="98"/>
    <w:bookmarkEnd w:id="99"/>
    <w:bookmarkEnd w:id="100"/>
    <w:bookmarkStart w:id="135" w:name="results-1"/>
    <w:p>
      <w:pPr>
        <w:pStyle w:val="Heading1"/>
      </w:pPr>
      <w:r>
        <w:t xml:space="preserve">6. Results</w:t>
      </w:r>
    </w:p>
    <w:bookmarkStart w:id="102" w:name="demographic-and-lapse-characteristics"/>
    <w:p>
      <w:pPr>
        <w:pStyle w:val="Heading2"/>
      </w:pPr>
      <w:r>
        <w:t xml:space="preserve">6.1 Demographic and Lapse Characteristics</w:t>
      </w:r>
    </w:p>
    <w:p>
      <w:pPr>
        <w:pStyle w:val="FirstParagraph"/>
      </w:pPr>
      <w:hyperlink w:anchor="tbl-dem">
        <w:r>
          <w:rPr>
            <w:rStyle w:val="Hyperlink"/>
          </w:rPr>
          <w:t xml:space="preserve">Table 3</w:t>
        </w:r>
      </w:hyperlink>
      <w:r>
        <w:t xml:space="preserve"> </w:t>
      </w:r>
      <w:r>
        <w:t xml:space="preserve">provides a detailed breakdown of the demographic and clinical characteristics of our sample (N = 151).</w:t>
      </w:r>
    </w:p>
    <w:tbl>
      <w:tblPr>
        <w:tblStyle w:val="Table"/>
        <w:tblW w:type="pct" w:w="5000"/>
        <w:tblLayout w:type="fixed"/>
        <w:tblLook w:firstRow="0" w:lastRow="0" w:firstColumn="0" w:lastColumn="0" w:noHBand="0" w:noVBand="0" w:val="0000"/>
      </w:tblPr>
      <w:tblGrid>
        <w:gridCol w:w="7920"/>
      </w:tblGrid>
      <w:tr>
        <w:tc>
          <w:tcPr/>
          <w:bookmarkStart w:id="101" w:name="tbl-dem"/>
          <w:p>
            <w:pPr>
              <w:jc w:val="center"/>
            </w:pPr>
            <w:pPr>
              <w:jc w:val="left"/>
              <w:spacing w:before="200"/>
              <w:pStyle w:val="ImageCaption"/>
            </w:pPr>
            <w:r>
              <w:t xml:space="preserve">Table 3: Demographic and Lapse Characteristics</w:t>
            </w:r>
          </w:p>
          <w:tbl>
            <w:tblPr>
              <w:tblStyle w:val="Table"/>
              <w:tblW w:type="pct" w:w="4894"/>
              <w:tblLayout w:type="fixed"/>
              <w:tblLook w:firstRow="1" w:lastRow="0" w:firstColumn="0" w:lastColumn="0" w:noHBand="0" w:noVBand="0" w:val="0020"/>
            </w:tblPr>
            <w:tblGrid>
              <w:gridCol w:w="3622"/>
              <w:gridCol w:w="505"/>
              <w:gridCol w:w="589"/>
              <w:gridCol w:w="926"/>
              <w:gridCol w:w="926"/>
              <w:gridCol w:w="1179"/>
            </w:tblGrid>
            <w:tr>
              <w:trPr>
                <w:tblHeader w:val="on"/>
              </w:trPr>
              <w:tc>
                <w:tcPr/>
                <w:p>
                  <w:pPr>
                    <w:pStyle w:val="Compact"/>
                    <w:jc w:val="left"/>
                    <w:jc w:val="center"/>
                  </w:pPr>
                  <w:r>
                    <w:t xml:space="preserve">var</w:t>
                  </w:r>
                </w:p>
              </w:tc>
              <w:tc>
                <w:tcPr/>
                <w:p>
                  <w:pPr>
                    <w:pStyle w:val="Compact"/>
                    <w:jc w:val="right"/>
                    <w:jc w:val="center"/>
                  </w:pPr>
                  <w:r>
                    <w:t xml:space="preserve">N</w:t>
                  </w:r>
                </w:p>
              </w:tc>
              <w:tc>
                <w:tcPr/>
                <w:p>
                  <w:pPr>
                    <w:pStyle w:val="Compact"/>
                    <w:jc w:val="right"/>
                    <w:jc w:val="center"/>
                  </w:pPr>
                  <w:r>
                    <w:t xml:space="preserve">%</w:t>
                  </w:r>
                </w:p>
              </w:tc>
              <w:tc>
                <w:tcPr/>
                <w:p>
                  <w:pPr>
                    <w:pStyle w:val="Compact"/>
                    <w:jc w:val="left"/>
                    <w:jc w:val="center"/>
                  </w:pPr>
                  <w:r>
                    <w:t xml:space="preserve">M</w:t>
                  </w:r>
                </w:p>
              </w:tc>
              <w:tc>
                <w:tcPr/>
                <w:p>
                  <w:pPr>
                    <w:pStyle w:val="Compact"/>
                    <w:jc w:val="left"/>
                    <w:jc w:val="center"/>
                  </w:pPr>
                  <w:r>
                    <w:t xml:space="preserve">SD</w:t>
                  </w:r>
                </w:p>
              </w:tc>
              <w:tc>
                <w:tcPr/>
                <w:p>
                  <w:pPr>
                    <w:pStyle w:val="Compact"/>
                    <w:jc w:val="left"/>
                    <w:jc w:val="center"/>
                  </w:pPr>
                  <w:r>
                    <w:t xml:space="preserve">Range</w:t>
                  </w:r>
                </w:p>
              </w:tc>
            </w:tr>
            <w:tr>
              <w:tc>
                <w:tcPr/>
                <w:p>
                  <w:pPr>
                    <w:pStyle w:val="Compact"/>
                    <w:jc w:val="left"/>
                    <w:jc w:val="center"/>
                  </w:pPr>
                  <w:r>
                    <w:t xml:space="preserve">Age</w:t>
                  </w:r>
                </w:p>
              </w:tc>
              <w:tc>
                <w:tcPr/>
                <w:p>
                  <w:pPr>
                    <w:pStyle w:val="Compact"/>
                  </w:pPr>
                </w:p>
              </w:tc>
              <w:tc>
                <w:tcPr/>
                <w:p>
                  <w:pPr>
                    <w:pStyle w:val="Compact"/>
                  </w:pPr>
                </w:p>
              </w:tc>
              <w:tc>
                <w:tcPr/>
                <w:p>
                  <w:pPr>
                    <w:pStyle w:val="Compact"/>
                    <w:jc w:val="left"/>
                    <w:jc w:val="center"/>
                  </w:pPr>
                  <w:r>
                    <w:t xml:space="preserve">41</w:t>
                  </w:r>
                </w:p>
              </w:tc>
              <w:tc>
                <w:tcPr/>
                <w:p>
                  <w:pPr>
                    <w:pStyle w:val="Compact"/>
                    <w:jc w:val="left"/>
                    <w:jc w:val="center"/>
                  </w:pPr>
                  <w:r>
                    <w:t xml:space="preserve">11.9</w:t>
                  </w:r>
                </w:p>
              </w:tc>
              <w:tc>
                <w:tcPr/>
                <w:p>
                  <w:pPr>
                    <w:pStyle w:val="Compact"/>
                    <w:jc w:val="left"/>
                    <w:jc w:val="center"/>
                  </w:pPr>
                  <w:r>
                    <w:t xml:space="preserve">21-72</w:t>
                  </w:r>
                </w:p>
              </w:tc>
            </w:tr>
            <w:tr>
              <w:tc>
                <w:tcPr/>
                <w:p>
                  <w:pPr>
                    <w:pStyle w:val="Compact"/>
                    <w:jc w:val="left"/>
                    <w:jc w:val="center"/>
                  </w:pPr>
                  <w:r>
                    <w:t xml:space="preserve">Sex</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Female</w:t>
                  </w:r>
                </w:p>
              </w:tc>
              <w:tc>
                <w:tcPr/>
                <w:p>
                  <w:pPr>
                    <w:pStyle w:val="Compact"/>
                    <w:jc w:val="right"/>
                    <w:jc w:val="center"/>
                  </w:pPr>
                  <w:r>
                    <w:t xml:space="preserve">74</w:t>
                  </w:r>
                </w:p>
              </w:tc>
              <w:tc>
                <w:tcPr/>
                <w:p>
                  <w:pPr>
                    <w:pStyle w:val="Compact"/>
                    <w:jc w:val="right"/>
                    <w:jc w:val="center"/>
                  </w:pPr>
                  <w:r>
                    <w:t xml:space="preserve">49.0</w:t>
                  </w:r>
                </w:p>
              </w:tc>
              <w:tc>
                <w:tcPr/>
                <w:p>
                  <w:pPr>
                    <w:pStyle w:val="Compact"/>
                  </w:pPr>
                </w:p>
              </w:tc>
              <w:tc>
                <w:tcPr/>
                <w:p>
                  <w:pPr>
                    <w:pStyle w:val="Compact"/>
                  </w:pPr>
                </w:p>
              </w:tc>
              <w:tc>
                <w:tcPr/>
                <w:p>
                  <w:pPr>
                    <w:pStyle w:val="Compact"/>
                  </w:pPr>
                </w:p>
              </w:tc>
            </w:tr>
            <w:tr>
              <w:tc>
                <w:tcPr/>
                <w:p>
                  <w:pPr>
                    <w:pStyle w:val="Compact"/>
                    <w:jc w:val="left"/>
                    <w:jc w:val="center"/>
                  </w:pPr>
                  <w:r>
                    <w:t xml:space="preserve">Male</w:t>
                  </w:r>
                </w:p>
              </w:tc>
              <w:tc>
                <w:tcPr/>
                <w:p>
                  <w:pPr>
                    <w:pStyle w:val="Compact"/>
                    <w:jc w:val="right"/>
                    <w:jc w:val="center"/>
                  </w:pPr>
                  <w:r>
                    <w:t xml:space="preserve">77</w:t>
                  </w:r>
                </w:p>
              </w:tc>
              <w:tc>
                <w:tcPr/>
                <w:p>
                  <w:pPr>
                    <w:pStyle w:val="Compact"/>
                    <w:jc w:val="right"/>
                    <w:jc w:val="center"/>
                  </w:pPr>
                  <w:r>
                    <w:t xml:space="preserve">51.0</w:t>
                  </w:r>
                </w:p>
              </w:tc>
              <w:tc>
                <w:tcPr/>
                <w:p>
                  <w:pPr>
                    <w:pStyle w:val="Compact"/>
                  </w:pPr>
                </w:p>
              </w:tc>
              <w:tc>
                <w:tcPr/>
                <w:p>
                  <w:pPr>
                    <w:pStyle w:val="Compact"/>
                  </w:pPr>
                </w:p>
              </w:tc>
              <w:tc>
                <w:tcPr/>
                <w:p>
                  <w:pPr>
                    <w:pStyle w:val="Compact"/>
                  </w:pPr>
                </w:p>
              </w:tc>
            </w:tr>
            <w:tr>
              <w:tc>
                <w:tcPr/>
                <w:p>
                  <w:pPr>
                    <w:pStyle w:val="Compact"/>
                    <w:jc w:val="left"/>
                    <w:jc w:val="center"/>
                  </w:pPr>
                  <w:r>
                    <w:t xml:space="preserve">Race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American Indian/Alaska Native</w:t>
                  </w:r>
                </w:p>
              </w:tc>
              <w:tc>
                <w:tcPr/>
                <w:p>
                  <w:pPr>
                    <w:pStyle w:val="Compact"/>
                    <w:jc w:val="right"/>
                    <w:jc w:val="center"/>
                  </w:pPr>
                  <w:r>
                    <w:t xml:space="preserve">3</w:t>
                  </w:r>
                </w:p>
              </w:tc>
              <w:tc>
                <w:tcPr/>
                <w:p>
                  <w:pPr>
                    <w:pStyle w:val="Compact"/>
                    <w:jc w:val="right"/>
                    <w:jc w:val="center"/>
                  </w:pPr>
                  <w:r>
                    <w:t xml:space="preserve">2.0</w:t>
                  </w:r>
                </w:p>
              </w:tc>
              <w:tc>
                <w:tcPr/>
                <w:p>
                  <w:pPr>
                    <w:pStyle w:val="Compact"/>
                  </w:pPr>
                </w:p>
              </w:tc>
              <w:tc>
                <w:tcPr/>
                <w:p>
                  <w:pPr>
                    <w:pStyle w:val="Compact"/>
                  </w:pPr>
                </w:p>
              </w:tc>
              <w:tc>
                <w:tcPr/>
                <w:p>
                  <w:pPr>
                    <w:pStyle w:val="Compact"/>
                  </w:pPr>
                </w:p>
              </w:tc>
            </w:tr>
            <w:tr>
              <w:tc>
                <w:tcPr/>
                <w:p>
                  <w:pPr>
                    <w:pStyle w:val="Compact"/>
                    <w:jc w:val="left"/>
                    <w:jc w:val="center"/>
                  </w:pPr>
                  <w:r>
                    <w:t xml:space="preserve">Asian</w:t>
                  </w:r>
                </w:p>
              </w:tc>
              <w:tc>
                <w:tcPr/>
                <w:p>
                  <w:pPr>
                    <w:pStyle w:val="Compact"/>
                    <w:jc w:val="right"/>
                    <w:jc w:val="center"/>
                  </w:pPr>
                  <w:r>
                    <w:t xml:space="preserve">2</w:t>
                  </w:r>
                </w:p>
              </w:tc>
              <w:tc>
                <w:tcPr/>
                <w:p>
                  <w:pPr>
                    <w:pStyle w:val="Compact"/>
                    <w:jc w:val="right"/>
                    <w:jc w:val="center"/>
                  </w:pPr>
                  <w:r>
                    <w:t xml:space="preserve">1.3</w:t>
                  </w:r>
                </w:p>
              </w:tc>
              <w:tc>
                <w:tcPr/>
                <w:p>
                  <w:pPr>
                    <w:pStyle w:val="Compact"/>
                  </w:pPr>
                </w:p>
              </w:tc>
              <w:tc>
                <w:tcPr/>
                <w:p>
                  <w:pPr>
                    <w:pStyle w:val="Compact"/>
                  </w:pPr>
                </w:p>
              </w:tc>
              <w:tc>
                <w:tcPr/>
                <w:p>
                  <w:pPr>
                    <w:pStyle w:val="Compact"/>
                  </w:pPr>
                </w:p>
              </w:tc>
            </w:tr>
            <w:tr>
              <w:tc>
                <w:tcPr/>
                <w:p>
                  <w:pPr>
                    <w:pStyle w:val="Compact"/>
                    <w:jc w:val="left"/>
                    <w:jc w:val="center"/>
                  </w:pPr>
                  <w:r>
                    <w:t xml:space="preserve">Black/African American</w:t>
                  </w:r>
                </w:p>
              </w:tc>
              <w:tc>
                <w:tcPr/>
                <w:p>
                  <w:pPr>
                    <w:pStyle w:val="Compact"/>
                    <w:jc w:val="right"/>
                    <w:jc w:val="center"/>
                  </w:pPr>
                  <w:r>
                    <w:t xml:space="preserve">8</w:t>
                  </w:r>
                </w:p>
              </w:tc>
              <w:tc>
                <w:tcPr/>
                <w:p>
                  <w:pPr>
                    <w:pStyle w:val="Compact"/>
                    <w:jc w:val="right"/>
                    <w:jc w:val="center"/>
                  </w:pPr>
                  <w:r>
                    <w:t xml:space="preserve">5.3</w:t>
                  </w:r>
                </w:p>
              </w:tc>
              <w:tc>
                <w:tcPr/>
                <w:p>
                  <w:pPr>
                    <w:pStyle w:val="Compact"/>
                  </w:pPr>
                </w:p>
              </w:tc>
              <w:tc>
                <w:tcPr/>
                <w:p>
                  <w:pPr>
                    <w:pStyle w:val="Compact"/>
                  </w:pPr>
                </w:p>
              </w:tc>
              <w:tc>
                <w:tcPr/>
                <w:p>
                  <w:pPr>
                    <w:pStyle w:val="Compact"/>
                  </w:pPr>
                </w:p>
              </w:tc>
            </w:tr>
            <w:tr>
              <w:tc>
                <w:tcPr/>
                <w:p>
                  <w:pPr>
                    <w:pStyle w:val="Compact"/>
                    <w:jc w:val="left"/>
                    <w:jc w:val="center"/>
                  </w:pPr>
                  <w:r>
                    <w:t xml:space="preserve">White/Caucasian</w:t>
                  </w:r>
                </w:p>
              </w:tc>
              <w:tc>
                <w:tcPr/>
                <w:p>
                  <w:pPr>
                    <w:pStyle w:val="Compact"/>
                    <w:jc w:val="right"/>
                    <w:jc w:val="center"/>
                  </w:pPr>
                  <w:r>
                    <w:t xml:space="preserve">131</w:t>
                  </w:r>
                </w:p>
              </w:tc>
              <w:tc>
                <w:tcPr/>
                <w:p>
                  <w:pPr>
                    <w:pStyle w:val="Compact"/>
                    <w:jc w:val="right"/>
                    <w:jc w:val="center"/>
                  </w:pPr>
                  <w:r>
                    <w:t xml:space="preserve">86.8</w:t>
                  </w:r>
                </w:p>
              </w:tc>
              <w:tc>
                <w:tcPr/>
                <w:p>
                  <w:pPr>
                    <w:pStyle w:val="Compact"/>
                  </w:pPr>
                </w:p>
              </w:tc>
              <w:tc>
                <w:tcPr/>
                <w:p>
                  <w:pPr>
                    <w:pStyle w:val="Compact"/>
                  </w:pPr>
                </w:p>
              </w:tc>
              <w:tc>
                <w:tcPr/>
                <w:p>
                  <w:pPr>
                    <w:pStyle w:val="Compact"/>
                  </w:pPr>
                </w:p>
              </w:tc>
            </w:tr>
            <w:tr>
              <w:tc>
                <w:tcPr/>
                <w:p>
                  <w:pPr>
                    <w:pStyle w:val="Compact"/>
                    <w:jc w:val="left"/>
                    <w:jc w:val="center"/>
                  </w:pPr>
                  <w:r>
                    <w:t xml:space="preserve">Other/Multiracial</w:t>
                  </w:r>
                </w:p>
              </w:tc>
              <w:tc>
                <w:tcPr/>
                <w:p>
                  <w:pPr>
                    <w:pStyle w:val="Compact"/>
                    <w:jc w:val="right"/>
                    <w:jc w:val="center"/>
                  </w:pPr>
                  <w:r>
                    <w:t xml:space="preserve">7</w:t>
                  </w:r>
                </w:p>
              </w:tc>
              <w:tc>
                <w:tcPr/>
                <w:p>
                  <w:pPr>
                    <w:pStyle w:val="Compact"/>
                    <w:jc w:val="right"/>
                    <w:jc w:val="center"/>
                  </w:pPr>
                  <w:r>
                    <w:t xml:space="preserve">4.6</w:t>
                  </w:r>
                </w:p>
              </w:tc>
              <w:tc>
                <w:tcPr/>
                <w:p>
                  <w:pPr>
                    <w:pStyle w:val="Compact"/>
                  </w:pPr>
                </w:p>
              </w:tc>
              <w:tc>
                <w:tcPr/>
                <w:p>
                  <w:pPr>
                    <w:pStyle w:val="Compact"/>
                  </w:pPr>
                </w:p>
              </w:tc>
              <w:tc>
                <w:tcPr/>
                <w:p>
                  <w:pPr>
                    <w:pStyle w:val="Compact"/>
                  </w:pPr>
                </w:p>
              </w:tc>
            </w:tr>
            <w:tr>
              <w:tc>
                <w:tcPr/>
                <w:p>
                  <w:pPr>
                    <w:pStyle w:val="Compact"/>
                    <w:jc w:val="left"/>
                    <w:jc w:val="center"/>
                  </w:pPr>
                  <w:r>
                    <w:t xml:space="preserve">Hispanic, Latino, or Spanish origin</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Yes</w:t>
                  </w:r>
                </w:p>
              </w:tc>
              <w:tc>
                <w:tcPr/>
                <w:p>
                  <w:pPr>
                    <w:pStyle w:val="Compact"/>
                    <w:jc w:val="right"/>
                    <w:jc w:val="center"/>
                  </w:pPr>
                  <w:r>
                    <w:t xml:space="preserve">4</w:t>
                  </w:r>
                </w:p>
              </w:tc>
              <w:tc>
                <w:tcPr/>
                <w:p>
                  <w:pPr>
                    <w:pStyle w:val="Compact"/>
                    <w:jc w:val="right"/>
                    <w:jc w:val="center"/>
                  </w:pPr>
                  <w:r>
                    <w:t xml:space="preserve">2.6</w:t>
                  </w:r>
                </w:p>
              </w:tc>
              <w:tc>
                <w:tcPr/>
                <w:p>
                  <w:pPr>
                    <w:pStyle w:val="Compact"/>
                  </w:pPr>
                </w:p>
              </w:tc>
              <w:tc>
                <w:tcPr/>
                <w:p>
                  <w:pPr>
                    <w:pStyle w:val="Compact"/>
                  </w:pPr>
                </w:p>
              </w:tc>
              <w:tc>
                <w:tcPr/>
                <w:p>
                  <w:pPr>
                    <w:pStyle w:val="Compact"/>
                  </w:pPr>
                </w:p>
              </w:tc>
            </w:tr>
            <w:tr>
              <w:tc>
                <w:tcPr/>
                <w:p>
                  <w:pPr>
                    <w:pStyle w:val="Compact"/>
                    <w:jc w:val="left"/>
                    <w:jc w:val="center"/>
                  </w:pPr>
                  <w:r>
                    <w:t xml:space="preserve">No</w:t>
                  </w:r>
                </w:p>
              </w:tc>
              <w:tc>
                <w:tcPr/>
                <w:p>
                  <w:pPr>
                    <w:pStyle w:val="Compact"/>
                    <w:jc w:val="right"/>
                    <w:jc w:val="center"/>
                  </w:pPr>
                  <w:r>
                    <w:t xml:space="preserve">147</w:t>
                  </w:r>
                </w:p>
              </w:tc>
              <w:tc>
                <w:tcPr/>
                <w:p>
                  <w:pPr>
                    <w:pStyle w:val="Compact"/>
                    <w:jc w:val="right"/>
                    <w:jc w:val="center"/>
                  </w:pPr>
                  <w:r>
                    <w:t xml:space="preserve">97.4</w:t>
                  </w:r>
                </w:p>
              </w:tc>
              <w:tc>
                <w:tcPr/>
                <w:p>
                  <w:pPr>
                    <w:pStyle w:val="Compact"/>
                  </w:pPr>
                </w:p>
              </w:tc>
              <w:tc>
                <w:tcPr/>
                <w:p>
                  <w:pPr>
                    <w:pStyle w:val="Compact"/>
                  </w:pPr>
                </w:p>
              </w:tc>
              <w:tc>
                <w:tcPr/>
                <w:p>
                  <w:pPr>
                    <w:pStyle w:val="Compact"/>
                  </w:pPr>
                </w:p>
              </w:tc>
            </w:tr>
            <w:tr>
              <w:tc>
                <w:tcPr/>
                <w:p>
                  <w:pPr>
                    <w:pStyle w:val="Compact"/>
                    <w:jc w:val="left"/>
                    <w:jc w:val="center"/>
                  </w:pPr>
                  <w:r>
                    <w:t xml:space="preserve">Education</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Less than high school or GED degree</w:t>
                  </w:r>
                </w:p>
              </w:tc>
              <w:tc>
                <w:tcPr/>
                <w:p>
                  <w:pPr>
                    <w:pStyle w:val="Compact"/>
                    <w:jc w:val="right"/>
                    <w:jc w:val="center"/>
                  </w:pPr>
                  <w:r>
                    <w:t xml:space="preserve">1</w:t>
                  </w:r>
                </w:p>
              </w:tc>
              <w:tc>
                <w:tcPr/>
                <w:p>
                  <w:pPr>
                    <w:pStyle w:val="Compact"/>
                    <w:jc w:val="right"/>
                    <w:jc w:val="center"/>
                  </w:pPr>
                  <w:r>
                    <w:t xml:space="preserve">0.7</w:t>
                  </w:r>
                </w:p>
              </w:tc>
              <w:tc>
                <w:tcPr/>
                <w:p>
                  <w:pPr>
                    <w:pStyle w:val="Compact"/>
                  </w:pPr>
                </w:p>
              </w:tc>
              <w:tc>
                <w:tcPr/>
                <w:p>
                  <w:pPr>
                    <w:pStyle w:val="Compact"/>
                  </w:pPr>
                </w:p>
              </w:tc>
              <w:tc>
                <w:tcPr/>
                <w:p>
                  <w:pPr>
                    <w:pStyle w:val="Compact"/>
                  </w:pPr>
                </w:p>
              </w:tc>
            </w:tr>
            <w:tr>
              <w:tc>
                <w:tcPr/>
                <w:p>
                  <w:pPr>
                    <w:pStyle w:val="Compact"/>
                    <w:jc w:val="left"/>
                    <w:jc w:val="center"/>
                  </w:pPr>
                  <w:r>
                    <w:t xml:space="preserve">High school or GED</w:t>
                  </w:r>
                </w:p>
              </w:tc>
              <w:tc>
                <w:tcPr/>
                <w:p>
                  <w:pPr>
                    <w:pStyle w:val="Compact"/>
                    <w:jc w:val="right"/>
                    <w:jc w:val="center"/>
                  </w:pPr>
                  <w:r>
                    <w:t xml:space="preserve">14</w:t>
                  </w:r>
                </w:p>
              </w:tc>
              <w:tc>
                <w:tcPr/>
                <w:p>
                  <w:pPr>
                    <w:pStyle w:val="Compact"/>
                    <w:jc w:val="right"/>
                    <w:jc w:val="center"/>
                  </w:pPr>
                  <w:r>
                    <w:t xml:space="preserve">9.3</w:t>
                  </w:r>
                </w:p>
              </w:tc>
              <w:tc>
                <w:tcPr/>
                <w:p>
                  <w:pPr>
                    <w:pStyle w:val="Compact"/>
                  </w:pPr>
                </w:p>
              </w:tc>
              <w:tc>
                <w:tcPr/>
                <w:p>
                  <w:pPr>
                    <w:pStyle w:val="Compact"/>
                  </w:pPr>
                </w:p>
              </w:tc>
              <w:tc>
                <w:tcPr/>
                <w:p>
                  <w:pPr>
                    <w:pStyle w:val="Compact"/>
                  </w:pPr>
                </w:p>
              </w:tc>
            </w:tr>
            <w:tr>
              <w:tc>
                <w:tcPr/>
                <w:p>
                  <w:pPr>
                    <w:pStyle w:val="Compact"/>
                    <w:jc w:val="left"/>
                    <w:jc w:val="center"/>
                  </w:pPr>
                  <w:r>
                    <w:t xml:space="preserve">Some college</w:t>
                  </w:r>
                </w:p>
              </w:tc>
              <w:tc>
                <w:tcPr/>
                <w:p>
                  <w:pPr>
                    <w:pStyle w:val="Compact"/>
                    <w:jc w:val="right"/>
                    <w:jc w:val="center"/>
                  </w:pPr>
                  <w:r>
                    <w:t xml:space="preserve">41</w:t>
                  </w:r>
                </w:p>
              </w:tc>
              <w:tc>
                <w:tcPr/>
                <w:p>
                  <w:pPr>
                    <w:pStyle w:val="Compact"/>
                    <w:jc w:val="right"/>
                    <w:jc w:val="center"/>
                  </w:pPr>
                  <w:r>
                    <w:t xml:space="preserve">27.2</w:t>
                  </w:r>
                </w:p>
              </w:tc>
              <w:tc>
                <w:tcPr/>
                <w:p>
                  <w:pPr>
                    <w:pStyle w:val="Compact"/>
                  </w:pPr>
                </w:p>
              </w:tc>
              <w:tc>
                <w:tcPr/>
                <w:p>
                  <w:pPr>
                    <w:pStyle w:val="Compact"/>
                  </w:pPr>
                </w:p>
              </w:tc>
              <w:tc>
                <w:tcPr/>
                <w:p>
                  <w:pPr>
                    <w:pStyle w:val="Compact"/>
                  </w:pPr>
                </w:p>
              </w:tc>
            </w:tr>
            <w:tr>
              <w:tc>
                <w:tcPr/>
                <w:p>
                  <w:pPr>
                    <w:pStyle w:val="Compact"/>
                    <w:jc w:val="left"/>
                    <w:jc w:val="center"/>
                  </w:pPr>
                  <w:r>
                    <w:t xml:space="preserve">2-Year degree</w:t>
                  </w:r>
                </w:p>
              </w:tc>
              <w:tc>
                <w:tcPr/>
                <w:p>
                  <w:pPr>
                    <w:pStyle w:val="Compact"/>
                    <w:jc w:val="right"/>
                    <w:jc w:val="center"/>
                  </w:pPr>
                  <w:r>
                    <w:t xml:space="preserve">14</w:t>
                  </w:r>
                </w:p>
              </w:tc>
              <w:tc>
                <w:tcPr/>
                <w:p>
                  <w:pPr>
                    <w:pStyle w:val="Compact"/>
                    <w:jc w:val="right"/>
                    <w:jc w:val="center"/>
                  </w:pPr>
                  <w:r>
                    <w:t xml:space="preserve">9.3</w:t>
                  </w:r>
                </w:p>
              </w:tc>
              <w:tc>
                <w:tcPr/>
                <w:p>
                  <w:pPr>
                    <w:pStyle w:val="Compact"/>
                  </w:pPr>
                </w:p>
              </w:tc>
              <w:tc>
                <w:tcPr/>
                <w:p>
                  <w:pPr>
                    <w:pStyle w:val="Compact"/>
                  </w:pPr>
                </w:p>
              </w:tc>
              <w:tc>
                <w:tcPr/>
                <w:p>
                  <w:pPr>
                    <w:pStyle w:val="Compact"/>
                  </w:pPr>
                </w:p>
              </w:tc>
            </w:tr>
            <w:tr>
              <w:tc>
                <w:tcPr/>
                <w:p>
                  <w:pPr>
                    <w:pStyle w:val="Compact"/>
                    <w:jc w:val="left"/>
                    <w:jc w:val="center"/>
                  </w:pPr>
                  <w:r>
                    <w:t xml:space="preserve">College degree</w:t>
                  </w:r>
                </w:p>
              </w:tc>
              <w:tc>
                <w:tcPr/>
                <w:p>
                  <w:pPr>
                    <w:pStyle w:val="Compact"/>
                    <w:jc w:val="right"/>
                    <w:jc w:val="center"/>
                  </w:pPr>
                  <w:r>
                    <w:t xml:space="preserve">58</w:t>
                  </w:r>
                </w:p>
              </w:tc>
              <w:tc>
                <w:tcPr/>
                <w:p>
                  <w:pPr>
                    <w:pStyle w:val="Compact"/>
                    <w:jc w:val="right"/>
                    <w:jc w:val="center"/>
                  </w:pPr>
                  <w:r>
                    <w:t xml:space="preserve">38.4</w:t>
                  </w:r>
                </w:p>
              </w:tc>
              <w:tc>
                <w:tcPr/>
                <w:p>
                  <w:pPr>
                    <w:pStyle w:val="Compact"/>
                  </w:pPr>
                </w:p>
              </w:tc>
              <w:tc>
                <w:tcPr/>
                <w:p>
                  <w:pPr>
                    <w:pStyle w:val="Compact"/>
                  </w:pPr>
                </w:p>
              </w:tc>
              <w:tc>
                <w:tcPr/>
                <w:p>
                  <w:pPr>
                    <w:pStyle w:val="Compact"/>
                  </w:pPr>
                </w:p>
              </w:tc>
            </w:tr>
            <w:tr>
              <w:tc>
                <w:tcPr/>
                <w:p>
                  <w:pPr>
                    <w:pStyle w:val="Compact"/>
                    <w:jc w:val="left"/>
                    <w:jc w:val="center"/>
                  </w:pPr>
                  <w:r>
                    <w:t xml:space="preserve">Advanced degree</w:t>
                  </w:r>
                </w:p>
              </w:tc>
              <w:tc>
                <w:tcPr/>
                <w:p>
                  <w:pPr>
                    <w:pStyle w:val="Compact"/>
                    <w:jc w:val="right"/>
                    <w:jc w:val="center"/>
                  </w:pPr>
                  <w:r>
                    <w:t xml:space="preserve">23</w:t>
                  </w:r>
                </w:p>
              </w:tc>
              <w:tc>
                <w:tcPr/>
                <w:p>
                  <w:pPr>
                    <w:pStyle w:val="Compact"/>
                    <w:jc w:val="right"/>
                    <w:jc w:val="center"/>
                  </w:pPr>
                  <w:r>
                    <w:t xml:space="preserve">15.2</w:t>
                  </w:r>
                </w:p>
              </w:tc>
              <w:tc>
                <w:tcPr/>
                <w:p>
                  <w:pPr>
                    <w:pStyle w:val="Compact"/>
                  </w:pPr>
                </w:p>
              </w:tc>
              <w:tc>
                <w:tcPr/>
                <w:p>
                  <w:pPr>
                    <w:pStyle w:val="Compact"/>
                  </w:pPr>
                </w:p>
              </w:tc>
              <w:tc>
                <w:tcPr/>
                <w:p>
                  <w:pPr>
                    <w:pStyle w:val="Compact"/>
                  </w:pPr>
                </w:p>
              </w:tc>
            </w:tr>
            <w:tr>
              <w:tc>
                <w:tcPr/>
                <w:p>
                  <w:pPr>
                    <w:pStyle w:val="Compact"/>
                    <w:jc w:val="left"/>
                    <w:jc w:val="center"/>
                  </w:pPr>
                  <w:r>
                    <w:t xml:space="preserve">Employment</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Employed full-time</w:t>
                  </w:r>
                </w:p>
              </w:tc>
              <w:tc>
                <w:tcPr/>
                <w:p>
                  <w:pPr>
                    <w:pStyle w:val="Compact"/>
                    <w:jc w:val="right"/>
                    <w:jc w:val="center"/>
                  </w:pPr>
                  <w:r>
                    <w:t xml:space="preserve">72</w:t>
                  </w:r>
                </w:p>
              </w:tc>
              <w:tc>
                <w:tcPr/>
                <w:p>
                  <w:pPr>
                    <w:pStyle w:val="Compact"/>
                    <w:jc w:val="right"/>
                    <w:jc w:val="center"/>
                  </w:pPr>
                  <w:r>
                    <w:t xml:space="preserve">47.7</w:t>
                  </w:r>
                </w:p>
              </w:tc>
              <w:tc>
                <w:tcPr/>
                <w:p>
                  <w:pPr>
                    <w:pStyle w:val="Compact"/>
                  </w:pPr>
                </w:p>
              </w:tc>
              <w:tc>
                <w:tcPr/>
                <w:p>
                  <w:pPr>
                    <w:pStyle w:val="Compact"/>
                  </w:pPr>
                </w:p>
              </w:tc>
              <w:tc>
                <w:tcPr/>
                <w:p>
                  <w:pPr>
                    <w:pStyle w:val="Compact"/>
                  </w:pPr>
                </w:p>
              </w:tc>
            </w:tr>
            <w:tr>
              <w:tc>
                <w:tcPr/>
                <w:p>
                  <w:pPr>
                    <w:pStyle w:val="Compact"/>
                    <w:jc w:val="left"/>
                    <w:jc w:val="center"/>
                  </w:pPr>
                  <w:r>
                    <w:t xml:space="preserve">Employed part-time</w:t>
                  </w:r>
                </w:p>
              </w:tc>
              <w:tc>
                <w:tcPr/>
                <w:p>
                  <w:pPr>
                    <w:pStyle w:val="Compact"/>
                    <w:jc w:val="right"/>
                    <w:jc w:val="center"/>
                  </w:pPr>
                  <w:r>
                    <w:t xml:space="preserve">26</w:t>
                  </w:r>
                </w:p>
              </w:tc>
              <w:tc>
                <w:tcPr/>
                <w:p>
                  <w:pPr>
                    <w:pStyle w:val="Compact"/>
                    <w:jc w:val="right"/>
                    <w:jc w:val="center"/>
                  </w:pPr>
                  <w:r>
                    <w:t xml:space="preserve">17.2</w:t>
                  </w:r>
                </w:p>
              </w:tc>
              <w:tc>
                <w:tcPr/>
                <w:p>
                  <w:pPr>
                    <w:pStyle w:val="Compact"/>
                  </w:pPr>
                </w:p>
              </w:tc>
              <w:tc>
                <w:tcPr/>
                <w:p>
                  <w:pPr>
                    <w:pStyle w:val="Compact"/>
                  </w:pPr>
                </w:p>
              </w:tc>
              <w:tc>
                <w:tcPr/>
                <w:p>
                  <w:pPr>
                    <w:pStyle w:val="Compact"/>
                  </w:pPr>
                </w:p>
              </w:tc>
            </w:tr>
            <w:tr>
              <w:tc>
                <w:tcPr/>
                <w:p>
                  <w:pPr>
                    <w:pStyle w:val="Compact"/>
                    <w:jc w:val="left"/>
                    <w:jc w:val="center"/>
                  </w:pPr>
                  <w:r>
                    <w:t xml:space="preserve">Full-time student</w:t>
                  </w:r>
                </w:p>
              </w:tc>
              <w:tc>
                <w:tcPr/>
                <w:p>
                  <w:pPr>
                    <w:pStyle w:val="Compact"/>
                    <w:jc w:val="right"/>
                    <w:jc w:val="center"/>
                  </w:pPr>
                  <w:r>
                    <w:t xml:space="preserve">7</w:t>
                  </w:r>
                </w:p>
              </w:tc>
              <w:tc>
                <w:tcPr/>
                <w:p>
                  <w:pPr>
                    <w:pStyle w:val="Compact"/>
                    <w:jc w:val="right"/>
                    <w:jc w:val="center"/>
                  </w:pPr>
                  <w:r>
                    <w:t xml:space="preserve">4.6</w:t>
                  </w:r>
                </w:p>
              </w:tc>
              <w:tc>
                <w:tcPr/>
                <w:p>
                  <w:pPr>
                    <w:pStyle w:val="Compact"/>
                  </w:pPr>
                </w:p>
              </w:tc>
              <w:tc>
                <w:tcPr/>
                <w:p>
                  <w:pPr>
                    <w:pStyle w:val="Compact"/>
                  </w:pPr>
                </w:p>
              </w:tc>
              <w:tc>
                <w:tcPr/>
                <w:p>
                  <w:pPr>
                    <w:pStyle w:val="Compact"/>
                  </w:pPr>
                </w:p>
              </w:tc>
            </w:tr>
            <w:tr>
              <w:tc>
                <w:tcPr/>
                <w:p>
                  <w:pPr>
                    <w:pStyle w:val="Compact"/>
                    <w:jc w:val="left"/>
                    <w:jc w:val="center"/>
                  </w:pPr>
                  <w:r>
                    <w:t xml:space="preserve">Homemaker</w:t>
                  </w:r>
                </w:p>
              </w:tc>
              <w:tc>
                <w:tcPr/>
                <w:p>
                  <w:pPr>
                    <w:pStyle w:val="Compact"/>
                    <w:jc w:val="right"/>
                    <w:jc w:val="center"/>
                  </w:pPr>
                  <w:r>
                    <w:t xml:space="preserve">1</w:t>
                  </w:r>
                </w:p>
              </w:tc>
              <w:tc>
                <w:tcPr/>
                <w:p>
                  <w:pPr>
                    <w:pStyle w:val="Compact"/>
                    <w:jc w:val="right"/>
                    <w:jc w:val="center"/>
                  </w:pPr>
                  <w:r>
                    <w:t xml:space="preserve">0.7</w:t>
                  </w:r>
                </w:p>
              </w:tc>
              <w:tc>
                <w:tcPr/>
                <w:p>
                  <w:pPr>
                    <w:pStyle w:val="Compact"/>
                  </w:pPr>
                </w:p>
              </w:tc>
              <w:tc>
                <w:tcPr/>
                <w:p>
                  <w:pPr>
                    <w:pStyle w:val="Compact"/>
                  </w:pPr>
                </w:p>
              </w:tc>
              <w:tc>
                <w:tcPr/>
                <w:p>
                  <w:pPr>
                    <w:pStyle w:val="Compact"/>
                  </w:pPr>
                </w:p>
              </w:tc>
            </w:tr>
            <w:tr>
              <w:tc>
                <w:tcPr/>
                <w:p>
                  <w:pPr>
                    <w:pStyle w:val="Compact"/>
                    <w:jc w:val="left"/>
                    <w:jc w:val="center"/>
                  </w:pPr>
                  <w:r>
                    <w:t xml:space="preserve">Disabled</w:t>
                  </w:r>
                </w:p>
              </w:tc>
              <w:tc>
                <w:tcPr/>
                <w:p>
                  <w:pPr>
                    <w:pStyle w:val="Compact"/>
                    <w:jc w:val="right"/>
                    <w:jc w:val="center"/>
                  </w:pPr>
                  <w:r>
                    <w:t xml:space="preserve">7</w:t>
                  </w:r>
                </w:p>
              </w:tc>
              <w:tc>
                <w:tcPr/>
                <w:p>
                  <w:pPr>
                    <w:pStyle w:val="Compact"/>
                    <w:jc w:val="right"/>
                    <w:jc w:val="center"/>
                  </w:pPr>
                  <w:r>
                    <w:t xml:space="preserve">4.6</w:t>
                  </w:r>
                </w:p>
              </w:tc>
              <w:tc>
                <w:tcPr/>
                <w:p>
                  <w:pPr>
                    <w:pStyle w:val="Compact"/>
                  </w:pPr>
                </w:p>
              </w:tc>
              <w:tc>
                <w:tcPr/>
                <w:p>
                  <w:pPr>
                    <w:pStyle w:val="Compact"/>
                  </w:pPr>
                </w:p>
              </w:tc>
              <w:tc>
                <w:tcPr/>
                <w:p>
                  <w:pPr>
                    <w:pStyle w:val="Compact"/>
                  </w:pPr>
                </w:p>
              </w:tc>
            </w:tr>
            <w:tr>
              <w:tc>
                <w:tcPr/>
                <w:p>
                  <w:pPr>
                    <w:pStyle w:val="Compact"/>
                    <w:jc w:val="left"/>
                    <w:jc w:val="center"/>
                  </w:pPr>
                  <w:r>
                    <w:t xml:space="preserve">Retired</w:t>
                  </w:r>
                </w:p>
              </w:tc>
              <w:tc>
                <w:tcPr/>
                <w:p>
                  <w:pPr>
                    <w:pStyle w:val="Compact"/>
                    <w:jc w:val="right"/>
                    <w:jc w:val="center"/>
                  </w:pPr>
                  <w:r>
                    <w:t xml:space="preserve">8</w:t>
                  </w:r>
                </w:p>
              </w:tc>
              <w:tc>
                <w:tcPr/>
                <w:p>
                  <w:pPr>
                    <w:pStyle w:val="Compact"/>
                    <w:jc w:val="right"/>
                    <w:jc w:val="center"/>
                  </w:pPr>
                  <w:r>
                    <w:t xml:space="preserve">5.3</w:t>
                  </w:r>
                </w:p>
              </w:tc>
              <w:tc>
                <w:tcPr/>
                <w:p>
                  <w:pPr>
                    <w:pStyle w:val="Compact"/>
                  </w:pPr>
                </w:p>
              </w:tc>
              <w:tc>
                <w:tcPr/>
                <w:p>
                  <w:pPr>
                    <w:pStyle w:val="Compact"/>
                  </w:pPr>
                </w:p>
              </w:tc>
              <w:tc>
                <w:tcPr/>
                <w:p>
                  <w:pPr>
                    <w:pStyle w:val="Compact"/>
                  </w:pPr>
                </w:p>
              </w:tc>
            </w:tr>
            <w:tr>
              <w:tc>
                <w:tcPr/>
                <w:p>
                  <w:pPr>
                    <w:pStyle w:val="Compact"/>
                    <w:jc w:val="left"/>
                    <w:jc w:val="center"/>
                  </w:pPr>
                  <w:r>
                    <w:t xml:space="preserve">Unemployed</w:t>
                  </w:r>
                </w:p>
              </w:tc>
              <w:tc>
                <w:tcPr/>
                <w:p>
                  <w:pPr>
                    <w:pStyle w:val="Compact"/>
                    <w:jc w:val="right"/>
                    <w:jc w:val="center"/>
                  </w:pPr>
                  <w:r>
                    <w:t xml:space="preserve">18</w:t>
                  </w:r>
                </w:p>
              </w:tc>
              <w:tc>
                <w:tcPr/>
                <w:p>
                  <w:pPr>
                    <w:pStyle w:val="Compact"/>
                    <w:jc w:val="right"/>
                    <w:jc w:val="center"/>
                  </w:pPr>
                  <w:r>
                    <w:t xml:space="preserve">11.9</w:t>
                  </w:r>
                </w:p>
              </w:tc>
              <w:tc>
                <w:tcPr/>
                <w:p>
                  <w:pPr>
                    <w:pStyle w:val="Compact"/>
                  </w:pPr>
                </w:p>
              </w:tc>
              <w:tc>
                <w:tcPr/>
                <w:p>
                  <w:pPr>
                    <w:pStyle w:val="Compact"/>
                  </w:pPr>
                </w:p>
              </w:tc>
              <w:tc>
                <w:tcPr/>
                <w:p>
                  <w:pPr>
                    <w:pStyle w:val="Compact"/>
                  </w:pPr>
                </w:p>
              </w:tc>
            </w:tr>
            <w:tr>
              <w:tc>
                <w:tcPr/>
                <w:p>
                  <w:pPr>
                    <w:pStyle w:val="Compact"/>
                    <w:jc w:val="left"/>
                    <w:jc w:val="center"/>
                  </w:pPr>
                  <w:r>
                    <w:t xml:space="preserve">Temporarily laid off, sick leave, or</w:t>
                  </w:r>
                  <w:r>
                    <w:t xml:space="preserve"> </w:t>
                  </w:r>
                  <w:r>
                    <w:t xml:space="preserve">maternity leave</w:t>
                  </w:r>
                </w:p>
              </w:tc>
              <w:tc>
                <w:tcPr/>
                <w:p>
                  <w:pPr>
                    <w:pStyle w:val="Compact"/>
                    <w:jc w:val="right"/>
                    <w:jc w:val="center"/>
                  </w:pPr>
                  <w:r>
                    <w:t xml:space="preserve">3</w:t>
                  </w:r>
                </w:p>
              </w:tc>
              <w:tc>
                <w:tcPr/>
                <w:p>
                  <w:pPr>
                    <w:pStyle w:val="Compact"/>
                    <w:jc w:val="right"/>
                    <w:jc w:val="center"/>
                  </w:pPr>
                  <w:r>
                    <w:t xml:space="preserve">2.0</w:t>
                  </w:r>
                </w:p>
              </w:tc>
              <w:tc>
                <w:tcPr/>
                <w:p>
                  <w:pPr>
                    <w:pStyle w:val="Compact"/>
                  </w:pPr>
                </w:p>
              </w:tc>
              <w:tc>
                <w:tcPr/>
                <w:p>
                  <w:pPr>
                    <w:pStyle w:val="Compact"/>
                  </w:pPr>
                </w:p>
              </w:tc>
              <w:tc>
                <w:tcPr/>
                <w:p>
                  <w:pPr>
                    <w:pStyle w:val="Compact"/>
                  </w:pPr>
                </w:p>
              </w:tc>
            </w:tr>
            <w:tr>
              <w:tc>
                <w:tcPr/>
                <w:p>
                  <w:pPr>
                    <w:pStyle w:val="Compact"/>
                    <w:jc w:val="left"/>
                    <w:jc w:val="center"/>
                  </w:pPr>
                  <w:r>
                    <w:t xml:space="preserve">Other, not otherwise specified</w:t>
                  </w:r>
                </w:p>
              </w:tc>
              <w:tc>
                <w:tcPr/>
                <w:p>
                  <w:pPr>
                    <w:pStyle w:val="Compact"/>
                    <w:jc w:val="right"/>
                    <w:jc w:val="center"/>
                  </w:pPr>
                  <w:r>
                    <w:t xml:space="preserve">9</w:t>
                  </w:r>
                </w:p>
              </w:tc>
              <w:tc>
                <w:tcPr/>
                <w:p>
                  <w:pPr>
                    <w:pStyle w:val="Compact"/>
                    <w:jc w:val="right"/>
                    <w:jc w:val="center"/>
                  </w:pPr>
                  <w:r>
                    <w:t xml:space="preserve">6.0</w:t>
                  </w:r>
                </w:p>
              </w:tc>
              <w:tc>
                <w:tcPr/>
                <w:p>
                  <w:pPr>
                    <w:pStyle w:val="Compact"/>
                  </w:pPr>
                </w:p>
              </w:tc>
              <w:tc>
                <w:tcPr/>
                <w:p>
                  <w:pPr>
                    <w:pStyle w:val="Compact"/>
                  </w:pPr>
                </w:p>
              </w:tc>
              <w:tc>
                <w:tcPr/>
                <w:p>
                  <w:pPr>
                    <w:pStyle w:val="Compact"/>
                  </w:pPr>
                </w:p>
              </w:tc>
            </w:tr>
            <w:tr>
              <w:tc>
                <w:tcPr/>
                <w:p>
                  <w:pPr>
                    <w:pStyle w:val="Compact"/>
                    <w:jc w:val="left"/>
                    <w:jc w:val="center"/>
                  </w:pPr>
                  <w:r>
                    <w:t xml:space="preserve">Personal Income</w:t>
                  </w:r>
                </w:p>
              </w:tc>
              <w:tc>
                <w:tcPr/>
                <w:p>
                  <w:pPr>
                    <w:pStyle w:val="Compact"/>
                  </w:pPr>
                </w:p>
              </w:tc>
              <w:tc>
                <w:tcPr/>
                <w:p>
                  <w:pPr>
                    <w:pStyle w:val="Compact"/>
                  </w:pPr>
                </w:p>
              </w:tc>
              <w:tc>
                <w:tcPr/>
                <w:p>
                  <w:pPr>
                    <w:pStyle w:val="Compact"/>
                    <w:jc w:val="left"/>
                    <w:jc w:val="center"/>
                  </w:pPr>
                  <w:r>
                    <w:t xml:space="preserve">$34,298</w:t>
                  </w:r>
                </w:p>
              </w:tc>
              <w:tc>
                <w:tcPr/>
                <w:p>
                  <w:pPr>
                    <w:pStyle w:val="Compact"/>
                    <w:jc w:val="left"/>
                    <w:jc w:val="center"/>
                  </w:pPr>
                  <w:r>
                    <w:t xml:space="preserve">$31,807</w:t>
                  </w:r>
                </w:p>
              </w:tc>
              <w:tc>
                <w:tcPr/>
                <w:p>
                  <w:pPr>
                    <w:pStyle w:val="Compact"/>
                    <w:jc w:val="left"/>
                    <w:jc w:val="center"/>
                  </w:pPr>
                  <w:r>
                    <w:t xml:space="preserve">$0-200,000</w:t>
                  </w:r>
                </w:p>
              </w:tc>
            </w:tr>
            <w:tr>
              <w:tc>
                <w:tcPr/>
                <w:p>
                  <w:pPr>
                    <w:pStyle w:val="Compact"/>
                    <w:jc w:val="left"/>
                    <w:jc w:val="center"/>
                  </w:pPr>
                  <w:r>
                    <w:t xml:space="preserve">Marital Status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Never married</w:t>
                  </w:r>
                </w:p>
              </w:tc>
              <w:tc>
                <w:tcPr/>
                <w:p>
                  <w:pPr>
                    <w:pStyle w:val="Compact"/>
                    <w:jc w:val="right"/>
                    <w:jc w:val="center"/>
                  </w:pPr>
                  <w:r>
                    <w:t xml:space="preserve">67</w:t>
                  </w:r>
                </w:p>
              </w:tc>
              <w:tc>
                <w:tcPr/>
                <w:p>
                  <w:pPr>
                    <w:pStyle w:val="Compact"/>
                    <w:jc w:val="right"/>
                    <w:jc w:val="center"/>
                  </w:pPr>
                  <w:r>
                    <w:t xml:space="preserve">44.4</w:t>
                  </w:r>
                </w:p>
              </w:tc>
              <w:tc>
                <w:tcPr/>
                <w:p>
                  <w:pPr>
                    <w:pStyle w:val="Compact"/>
                  </w:pPr>
                </w:p>
              </w:tc>
              <w:tc>
                <w:tcPr/>
                <w:p>
                  <w:pPr>
                    <w:pStyle w:val="Compact"/>
                  </w:pPr>
                </w:p>
              </w:tc>
              <w:tc>
                <w:tcPr/>
                <w:p>
                  <w:pPr>
                    <w:pStyle w:val="Compact"/>
                  </w:pPr>
                </w:p>
              </w:tc>
            </w:tr>
            <w:tr>
              <w:tc>
                <w:tcPr/>
                <w:p>
                  <w:pPr>
                    <w:pStyle w:val="Compact"/>
                    <w:jc w:val="left"/>
                    <w:jc w:val="center"/>
                  </w:pPr>
                  <w:r>
                    <w:t xml:space="preserve">Married</w:t>
                  </w:r>
                </w:p>
              </w:tc>
              <w:tc>
                <w:tcPr/>
                <w:p>
                  <w:pPr>
                    <w:pStyle w:val="Compact"/>
                    <w:jc w:val="right"/>
                    <w:jc w:val="center"/>
                  </w:pPr>
                  <w:r>
                    <w:t xml:space="preserve">32</w:t>
                  </w:r>
                </w:p>
              </w:tc>
              <w:tc>
                <w:tcPr/>
                <w:p>
                  <w:pPr>
                    <w:pStyle w:val="Compact"/>
                    <w:jc w:val="right"/>
                    <w:jc w:val="center"/>
                  </w:pPr>
                  <w:r>
                    <w:t xml:space="preserve">21.2</w:t>
                  </w:r>
                </w:p>
              </w:tc>
              <w:tc>
                <w:tcPr/>
                <w:p>
                  <w:pPr>
                    <w:pStyle w:val="Compact"/>
                  </w:pPr>
                </w:p>
              </w:tc>
              <w:tc>
                <w:tcPr/>
                <w:p>
                  <w:pPr>
                    <w:pStyle w:val="Compact"/>
                  </w:pPr>
                </w:p>
              </w:tc>
              <w:tc>
                <w:tcPr/>
                <w:p>
                  <w:pPr>
                    <w:pStyle w:val="Compact"/>
                  </w:pPr>
                </w:p>
              </w:tc>
            </w:tr>
            <w:tr>
              <w:tc>
                <w:tcPr/>
                <w:p>
                  <w:pPr>
                    <w:pStyle w:val="Compact"/>
                    <w:jc w:val="left"/>
                    <w:jc w:val="center"/>
                  </w:pPr>
                  <w:r>
                    <w:t xml:space="preserve">Divorced</w:t>
                  </w:r>
                </w:p>
              </w:tc>
              <w:tc>
                <w:tcPr/>
                <w:p>
                  <w:pPr>
                    <w:pStyle w:val="Compact"/>
                    <w:jc w:val="right"/>
                    <w:jc w:val="center"/>
                  </w:pPr>
                  <w:r>
                    <w:t xml:space="preserve">45</w:t>
                  </w:r>
                </w:p>
              </w:tc>
              <w:tc>
                <w:tcPr/>
                <w:p>
                  <w:pPr>
                    <w:pStyle w:val="Compact"/>
                    <w:jc w:val="right"/>
                    <w:jc w:val="center"/>
                  </w:pPr>
                  <w:r>
                    <w:t xml:space="preserve">29.8</w:t>
                  </w:r>
                </w:p>
              </w:tc>
              <w:tc>
                <w:tcPr/>
                <w:p>
                  <w:pPr>
                    <w:pStyle w:val="Compact"/>
                  </w:pPr>
                </w:p>
              </w:tc>
              <w:tc>
                <w:tcPr/>
                <w:p>
                  <w:pPr>
                    <w:pStyle w:val="Compact"/>
                  </w:pPr>
                </w:p>
              </w:tc>
              <w:tc>
                <w:tcPr/>
                <w:p>
                  <w:pPr>
                    <w:pStyle w:val="Compact"/>
                  </w:pPr>
                </w:p>
              </w:tc>
            </w:tr>
            <w:tr>
              <w:tc>
                <w:tcPr/>
                <w:p>
                  <w:pPr>
                    <w:pStyle w:val="Compact"/>
                    <w:jc w:val="left"/>
                    <w:jc w:val="center"/>
                  </w:pPr>
                  <w:r>
                    <w:t xml:space="preserve">Separated</w:t>
                  </w:r>
                </w:p>
              </w:tc>
              <w:tc>
                <w:tcPr/>
                <w:p>
                  <w:pPr>
                    <w:pStyle w:val="Compact"/>
                    <w:jc w:val="right"/>
                    <w:jc w:val="center"/>
                  </w:pPr>
                  <w:r>
                    <w:t xml:space="preserve">5</w:t>
                  </w:r>
                </w:p>
              </w:tc>
              <w:tc>
                <w:tcPr/>
                <w:p>
                  <w:pPr>
                    <w:pStyle w:val="Compact"/>
                    <w:jc w:val="right"/>
                    <w:jc w:val="center"/>
                  </w:pPr>
                  <w:r>
                    <w:t xml:space="preserve">3.3</w:t>
                  </w:r>
                </w:p>
              </w:tc>
              <w:tc>
                <w:tcPr/>
                <w:p>
                  <w:pPr>
                    <w:pStyle w:val="Compact"/>
                  </w:pPr>
                </w:p>
              </w:tc>
              <w:tc>
                <w:tcPr/>
                <w:p>
                  <w:pPr>
                    <w:pStyle w:val="Compact"/>
                  </w:pPr>
                </w:p>
              </w:tc>
              <w:tc>
                <w:tcPr/>
                <w:p>
                  <w:pPr>
                    <w:pStyle w:val="Compact"/>
                  </w:pPr>
                </w:p>
              </w:tc>
            </w:tr>
            <w:tr>
              <w:tc>
                <w:tcPr/>
                <w:p>
                  <w:pPr>
                    <w:pStyle w:val="Compact"/>
                    <w:jc w:val="left"/>
                    <w:jc w:val="center"/>
                  </w:pPr>
                  <w:r>
                    <w:t xml:space="preserve">Widowed</w:t>
                  </w:r>
                </w:p>
              </w:tc>
              <w:tc>
                <w:tcPr/>
                <w:p>
                  <w:pPr>
                    <w:pStyle w:val="Compact"/>
                    <w:jc w:val="right"/>
                    <w:jc w:val="center"/>
                  </w:pPr>
                  <w:r>
                    <w:t xml:space="preserve">2</w:t>
                  </w:r>
                </w:p>
              </w:tc>
              <w:tc>
                <w:tcPr/>
                <w:p>
                  <w:pPr>
                    <w:pStyle w:val="Compact"/>
                    <w:jc w:val="right"/>
                    <w:jc w:val="center"/>
                  </w:pPr>
                  <w:r>
                    <w:t xml:space="preserve">1.3</w:t>
                  </w:r>
                </w:p>
              </w:tc>
              <w:tc>
                <w:tcPr/>
                <w:p>
                  <w:pPr>
                    <w:pStyle w:val="Compact"/>
                  </w:pPr>
                </w:p>
              </w:tc>
              <w:tc>
                <w:tcPr/>
                <w:p>
                  <w:pPr>
                    <w:pStyle w:val="Compact"/>
                  </w:pPr>
                </w:p>
              </w:tc>
              <w:tc>
                <w:tcPr/>
                <w:p>
                  <w:pPr>
                    <w:pStyle w:val="Compact"/>
                  </w:pPr>
                </w:p>
              </w:tc>
            </w:tr>
            <w:tr>
              <w:tc>
                <w:tcPr/>
                <w:p>
                  <w:pPr>
                    <w:pStyle w:val="Compact"/>
                    <w:jc w:val="left"/>
                    <w:jc w:val="center"/>
                  </w:pPr>
                  <w:r>
                    <w:t xml:space="preserve">DSM-5 AUD Symptom Count</w:t>
                  </w:r>
                </w:p>
              </w:tc>
              <w:tc>
                <w:tcPr/>
                <w:p>
                  <w:pPr>
                    <w:pStyle w:val="Compact"/>
                  </w:pPr>
                </w:p>
              </w:tc>
              <w:tc>
                <w:tcPr/>
                <w:p>
                  <w:pPr>
                    <w:pStyle w:val="Compact"/>
                  </w:pPr>
                </w:p>
              </w:tc>
              <w:tc>
                <w:tcPr/>
                <w:p>
                  <w:pPr>
                    <w:pStyle w:val="Compact"/>
                    <w:jc w:val="left"/>
                    <w:jc w:val="center"/>
                  </w:pPr>
                  <w:r>
                    <w:t xml:space="preserve">8.9</w:t>
                  </w:r>
                </w:p>
              </w:tc>
              <w:tc>
                <w:tcPr/>
                <w:p>
                  <w:pPr>
                    <w:pStyle w:val="Compact"/>
                    <w:jc w:val="left"/>
                    <w:jc w:val="center"/>
                  </w:pPr>
                  <w:r>
                    <w:t xml:space="preserve">1.9</w:t>
                  </w:r>
                </w:p>
              </w:tc>
              <w:tc>
                <w:tcPr/>
                <w:p>
                  <w:pPr>
                    <w:pStyle w:val="Compact"/>
                    <w:jc w:val="left"/>
                    <w:jc w:val="center"/>
                  </w:pPr>
                  <w:r>
                    <w:t xml:space="preserve">4-11</w:t>
                  </w:r>
                </w:p>
              </w:tc>
            </w:tr>
            <w:tr>
              <w:tc>
                <w:tcPr/>
                <w:p>
                  <w:pPr>
                    <w:pStyle w:val="Compact"/>
                    <w:jc w:val="left"/>
                    <w:jc w:val="center"/>
                  </w:pPr>
                  <w:r>
                    <w:t xml:space="preserve">Reported 1 or More Lapse During Study</w:t>
                  </w:r>
                  <w:r>
                    <w:t xml:space="preserve"> </w:t>
                  </w:r>
                  <w:r>
                    <w:t xml:space="preserve">Period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Yes</w:t>
                  </w:r>
                </w:p>
              </w:tc>
              <w:tc>
                <w:tcPr/>
                <w:p>
                  <w:pPr>
                    <w:pStyle w:val="Compact"/>
                    <w:jc w:val="right"/>
                    <w:jc w:val="center"/>
                  </w:pPr>
                  <w:r>
                    <w:t xml:space="preserve">84</w:t>
                  </w:r>
                </w:p>
              </w:tc>
              <w:tc>
                <w:tcPr/>
                <w:p>
                  <w:pPr>
                    <w:pStyle w:val="Compact"/>
                    <w:jc w:val="right"/>
                    <w:jc w:val="center"/>
                  </w:pPr>
                  <w:r>
                    <w:t xml:space="preserve">55.6</w:t>
                  </w:r>
                </w:p>
              </w:tc>
              <w:tc>
                <w:tcPr/>
                <w:p>
                  <w:pPr>
                    <w:pStyle w:val="Compact"/>
                  </w:pPr>
                </w:p>
              </w:tc>
              <w:tc>
                <w:tcPr/>
                <w:p>
                  <w:pPr>
                    <w:pStyle w:val="Compact"/>
                  </w:pPr>
                </w:p>
              </w:tc>
              <w:tc>
                <w:tcPr/>
                <w:p>
                  <w:pPr>
                    <w:pStyle w:val="Compact"/>
                  </w:pPr>
                </w:p>
              </w:tc>
            </w:tr>
            <w:tr>
              <w:tc>
                <w:tcPr/>
                <w:p>
                  <w:pPr>
                    <w:pStyle w:val="Compact"/>
                    <w:jc w:val="left"/>
                    <w:jc w:val="center"/>
                  </w:pPr>
                  <w:r>
                    <w:t xml:space="preserve">No</w:t>
                  </w:r>
                </w:p>
              </w:tc>
              <w:tc>
                <w:tcPr/>
                <w:p>
                  <w:pPr>
                    <w:pStyle w:val="Compact"/>
                    <w:jc w:val="right"/>
                    <w:jc w:val="center"/>
                  </w:pPr>
                  <w:r>
                    <w:t xml:space="preserve">67</w:t>
                  </w:r>
                </w:p>
              </w:tc>
              <w:tc>
                <w:tcPr/>
                <w:p>
                  <w:pPr>
                    <w:pStyle w:val="Compact"/>
                    <w:jc w:val="right"/>
                    <w:jc w:val="center"/>
                  </w:pPr>
                  <w:r>
                    <w:t xml:space="preserve">44.4</w:t>
                  </w:r>
                </w:p>
              </w:tc>
              <w:tc>
                <w:tcPr/>
                <w:p>
                  <w:pPr>
                    <w:pStyle w:val="Compact"/>
                  </w:pPr>
                </w:p>
              </w:tc>
              <w:tc>
                <w:tcPr/>
                <w:p>
                  <w:pPr>
                    <w:pStyle w:val="Compact"/>
                  </w:pPr>
                </w:p>
              </w:tc>
              <w:tc>
                <w:tcPr/>
                <w:p>
                  <w:pPr>
                    <w:pStyle w:val="Compact"/>
                  </w:pPr>
                </w:p>
              </w:tc>
            </w:tr>
            <w:tr>
              <w:tc>
                <w:tcPr/>
                <w:p>
                  <w:pPr>
                    <w:pStyle w:val="Compact"/>
                    <w:jc w:val="left"/>
                    <w:jc w:val="center"/>
                  </w:pPr>
                  <w:r>
                    <w:t xml:space="preserve">Number of reported lapses</w:t>
                  </w:r>
                </w:p>
              </w:tc>
              <w:tc>
                <w:tcPr/>
                <w:p>
                  <w:pPr>
                    <w:pStyle w:val="Compact"/>
                  </w:pPr>
                </w:p>
              </w:tc>
              <w:tc>
                <w:tcPr/>
                <w:p>
                  <w:pPr>
                    <w:pStyle w:val="Compact"/>
                  </w:pPr>
                </w:p>
              </w:tc>
              <w:tc>
                <w:tcPr/>
                <w:p>
                  <w:pPr>
                    <w:pStyle w:val="Compact"/>
                    <w:jc w:val="left"/>
                    <w:jc w:val="center"/>
                  </w:pPr>
                  <w:r>
                    <w:t xml:space="preserve">6.8</w:t>
                  </w:r>
                </w:p>
              </w:tc>
              <w:tc>
                <w:tcPr/>
                <w:p>
                  <w:pPr>
                    <w:pStyle w:val="Compact"/>
                    <w:jc w:val="left"/>
                    <w:jc w:val="center"/>
                  </w:pPr>
                  <w:r>
                    <w:t xml:space="preserve">12</w:t>
                  </w:r>
                </w:p>
              </w:tc>
              <w:tc>
                <w:tcPr/>
                <w:p>
                  <w:pPr>
                    <w:pStyle w:val="Compact"/>
                    <w:jc w:val="left"/>
                    <w:jc w:val="center"/>
                  </w:pPr>
                  <w:r>
                    <w:t xml:space="preserve">0-75</w:t>
                  </w:r>
                </w:p>
              </w:tc>
            </w:tr>
          </w:tbl>
          <w:bookmarkEnd w:id="101"/>
          <w:p/>
        </w:tc>
      </w:tr>
    </w:tbl>
    <w:p>
      <w:pPr>
        <w:pStyle w:val="BodyText"/>
      </w:pPr>
      <w:r>
        <w:rPr>
          <w:vertAlign w:val="subscript"/>
        </w:rPr>
        <w:t xml:space="preserve">Source:</w:t>
      </w:r>
      <w:r>
        <w:rPr>
          <w:vertAlign w:val="subscript"/>
        </w:rPr>
        <w:t xml:space="preserve"> </w:t>
      </w:r>
      <w:hyperlink r:id="rId37">
        <w:r>
          <w:rPr>
            <w:rStyle w:val="Hyperlink"/>
            <w:vertAlign w:val="subscript"/>
          </w:rPr>
          <w:t xml:space="preserve">Make All Tables for Dissertation</w:t>
        </w:r>
      </w:hyperlink>
    </w:p>
    <w:bookmarkEnd w:id="102"/>
    <w:bookmarkStart w:id="108" w:name="model-evaluation"/>
    <w:p>
      <w:pPr>
        <w:pStyle w:val="Heading2"/>
      </w:pPr>
      <w:r>
        <w:t xml:space="preserve">6.2 Model Evaluation</w:t>
      </w:r>
    </w:p>
    <w:p>
      <w:pPr>
        <w:pStyle w:val="FirstParagraph"/>
      </w:pPr>
      <w:hyperlink w:anchor="fig-2-lag">
        <w:r>
          <w:rPr>
            <w:rStyle w:val="Hyperlink"/>
          </w:rPr>
          <w:t xml:space="preserve">Figure 5</w:t>
        </w:r>
      </w:hyperlink>
      <w:r>
        <w:t xml:space="preserve"> </w:t>
      </w:r>
      <w:r>
        <w:t xml:space="preserve">presents the full posterior probability distributions for auROC for each model (no lag, 1-day, 3-day, 1-week, and 2-week lag). The median auROCs from these posterior distributions were 0.91 (no lag), 0.89 (1-day lag), 0.88 (3-day lag), 0.87 (1-week lag), and 0.85 (2-week lag). These values represent our best estimates for the magnitude of the auROC parameter for each model. The 95% Bayesian CI for the auROCs for these models were relatively narrow and did not contain 0.5: no lag [0.90-0.92], 1-day lag [0.88-0.90], 3-day lag [0.87-0.90], 1-week lag [0.85-0.88], 2-week lag [0.83-0.87].</w:t>
      </w:r>
    </w:p>
    <w:tbl>
      <w:tblPr>
        <w:tblStyle w:val="Table"/>
        <w:tblW w:type="pct" w:w="5000"/>
        <w:tblLayout w:type="fixed"/>
        <w:tblLook w:firstRow="0" w:lastRow="0" w:firstColumn="0" w:lastColumn="0" w:noHBand="0" w:noVBand="0" w:val="0000"/>
      </w:tblPr>
      <w:tblGrid>
        <w:gridCol w:w="7920"/>
      </w:tblGrid>
      <w:tr>
        <w:tc>
          <w:tcPr/>
          <w:bookmarkStart w:id="106" w:name="fig-2-lag"/>
          <w:p>
            <w:pPr>
              <w:pStyle w:val="Compact"/>
              <w:jc w:val="center"/>
            </w:pPr>
            <w:r>
              <w:drawing>
                <wp:inline>
                  <wp:extent cx="5334000" cy="5334000"/>
                  <wp:effectExtent b="0" l="0" r="0" t="0"/>
                  <wp:docPr descr="" title="" id="104" name="Picture"/>
                  <a:graphic>
                    <a:graphicData uri="http://schemas.openxmlformats.org/drawingml/2006/picture">
                      <pic:pic>
                        <pic:nvPicPr>
                          <pic:cNvPr descr="index_files/figure-docx/notebooks-figures-fig-2-lag-output-1.png" id="105" name="Picture"/>
                          <pic:cNvPicPr>
                            <a:picLocks noChangeArrowheads="1" noChangeAspect="1"/>
                          </pic:cNvPicPr>
                        </pic:nvPicPr>
                        <pic:blipFill>
                          <a:blip r:embed="rId103"/>
                          <a:stretch>
                            <a:fillRect/>
                          </a:stretch>
                        </pic:blipFill>
                        <pic:spPr bwMode="auto">
                          <a:xfrm>
                            <a:off x="0" y="0"/>
                            <a:ext cx="5334000" cy="5334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5: Posterior probability distributions for area under ROC curve (auROC) for each model (no lag, 1-day, 3-day, 1-week, and 2-week lag). Each distribution reflects 12,000 posterior samples (4 chains × 3,000 samples) from a Bayesian hierarchical generalized linear model. Horizontal lines depict 95% Bayesian credible intervals (CI) and vertical solid lines depict median posterior probability for auROC. Vertical dashed line represents expected performance from a random classifier (.5 auROC).</w:t>
            </w:r>
          </w:p>
          <w:bookmarkEnd w:id="106"/>
        </w:tc>
      </w:tr>
    </w:tbl>
    <w:p>
      <w:pPr>
        <w:pStyle w:val="BodyText"/>
      </w:pPr>
      <w:r>
        <w:rPr>
          <w:vertAlign w:val="subscript"/>
        </w:rPr>
        <w:t xml:space="preserve">Source:</w:t>
      </w:r>
      <w:r>
        <w:rPr>
          <w:vertAlign w:val="subscript"/>
        </w:rPr>
        <w:t xml:space="preserve"> </w:t>
      </w:r>
      <w:hyperlink r:id="rId107">
        <w:r>
          <w:rPr>
            <w:rStyle w:val="Hyperlink"/>
            <w:vertAlign w:val="subscript"/>
          </w:rPr>
          <w:t xml:space="preserve">Make All Figures for Dissertation</w:t>
        </w:r>
      </w:hyperlink>
    </w:p>
    <w:bookmarkEnd w:id="108"/>
    <w:bookmarkStart w:id="111" w:name="model-comparisons"/>
    <w:p>
      <w:pPr>
        <w:pStyle w:val="Heading2"/>
      </w:pPr>
      <w:r>
        <w:t xml:space="preserve">6.3 Model Comparisons</w:t>
      </w:r>
    </w:p>
    <w:p>
      <w:pPr>
        <w:pStyle w:val="FirstParagraph"/>
      </w:pPr>
      <w:hyperlink w:anchor="tbl-model">
        <w:r>
          <w:rPr>
            <w:rStyle w:val="Hyperlink"/>
          </w:rPr>
          <w:t xml:space="preserve">Table 4</w:t>
        </w:r>
      </w:hyperlink>
      <w:r>
        <w:t xml:space="preserve"> </w:t>
      </w:r>
      <w:r>
        <w:t xml:space="preserve">presents the median difference in auROC, 95% Bayesian CI, and posterior probability that that the auROC difference was smaller than 0 for all baseline and adjacent lag contrasts. Median auROC differences less than 0 indicate the more lagged model, on average, performed worse than the more immediate model (e.g., 1-day lag – no lag, 3-day lag – 1-day lag). There was strong evidence (probabilities = 1) that the lagged models performed worse than the baseline (no lag) model, with average drops in auROC ranging from 0.02-0.06, and the previous adjacent lagged model, with average drops in auROC ranging from 0.01-0.02.</w:t>
      </w:r>
    </w:p>
    <w:tbl>
      <w:tblPr>
        <w:tblStyle w:val="Table"/>
        <w:tblW w:type="pct" w:w="5000"/>
        <w:tblLayout w:type="fixed"/>
        <w:tblLook w:firstRow="0" w:lastRow="0" w:firstColumn="0" w:lastColumn="0" w:noHBand="0" w:noVBand="0" w:val="0000"/>
      </w:tblPr>
      <w:tblGrid>
        <w:gridCol w:w="7920"/>
      </w:tblGrid>
      <w:tr>
        <w:tc>
          <w:tcPr/>
          <w:bookmarkStart w:id="109" w:name="tbl-model"/>
          <w:p>
            <w:pPr>
              <w:jc w:val="center"/>
            </w:pPr>
            <w:pPr>
              <w:jc w:val="left"/>
              <w:spacing w:before="200"/>
              <w:pStyle w:val="ImageCaption"/>
            </w:pPr>
            <w:r>
              <w:t xml:space="preserve">Table 4: Median difference in auROC, 95% Bayesian credible interval (CI), and posterior probability that that the auROC difference was smaller than 0 for all baseline and adjacent lag contrasts.</w:t>
            </w:r>
          </w:p>
          <w:tbl>
            <w:tblPr>
              <w:tblStyle w:val="Table"/>
              <w:tblW w:type="auto" w:w="0"/>
              <w:tblLook w:firstRow="1" w:lastRow="1" w:firstColumn="0" w:lastColumn="0" w:noHBand="0" w:noVBand="0" w:val="0020"/>
            </w:tblPr>
            <w:tblGrid>
              <w:gridCol w:w="1980"/>
              <w:gridCol w:w="1980"/>
              <w:gridCol w:w="1980"/>
              <w:gridCol w:w="1980"/>
            </w:tblGrid>
            <w:tr>
              <w:trPr>
                <w:tblHeader w:val="on"/>
              </w:trPr>
              <w:tc>
                <w:tcPr/>
                <w:p>
                  <w:pPr>
                    <w:pStyle w:val="Compact"/>
                    <w:jc w:val="left"/>
                    <w:jc w:val="center"/>
                  </w:pPr>
                  <w:r>
                    <w:t xml:space="preserve">Contrast</w:t>
                  </w:r>
                </w:p>
              </w:tc>
              <w:tc>
                <w:tcPr/>
                <w:p>
                  <w:pPr>
                    <w:pStyle w:val="Compact"/>
                    <w:jc w:val="left"/>
                    <w:jc w:val="center"/>
                  </w:pPr>
                  <w:r>
                    <w:t xml:space="preserve">Median</w:t>
                  </w:r>
                </w:p>
              </w:tc>
              <w:tc>
                <w:tcPr/>
                <w:p>
                  <w:pPr>
                    <w:pStyle w:val="Compact"/>
                    <w:jc w:val="left"/>
                    <w:jc w:val="center"/>
                  </w:pPr>
                  <w:r>
                    <w:t xml:space="preserve">Bayesian CI</w:t>
                  </w:r>
                </w:p>
              </w:tc>
              <w:tc>
                <w:tcPr/>
                <w:p>
                  <w:pPr>
                    <w:pStyle w:val="Compact"/>
                    <w:jc w:val="left"/>
                    <w:jc w:val="center"/>
                  </w:pPr>
                  <w:r>
                    <w:t xml:space="preserve">Probability</w:t>
                  </w:r>
                </w:p>
              </w:tc>
            </w:tr>
            <w:tr>
              <w:tc>
                <w:tcPr/>
                <w:p>
                  <w:pPr>
                    <w:pStyle w:val="Compact"/>
                    <w:jc w:val="left"/>
                    <w:jc w:val="center"/>
                  </w:pPr>
                  <w:r>
                    <w:t xml:space="preserve">Baseline Contrasts</w:t>
                  </w:r>
                </w:p>
              </w:tc>
              <w:tc>
                <w:tcPr/>
                <w:p>
                  <w:pPr>
                    <w:pStyle w:val="Compact"/>
                  </w:pPr>
                </w:p>
              </w:tc>
              <w:tc>
                <w:tcPr/>
                <w:p>
                  <w:pPr>
                    <w:pStyle w:val="Compact"/>
                  </w:pPr>
                </w:p>
              </w:tc>
              <w:tc>
                <w:tcPr/>
                <w:p>
                  <w:pPr>
                    <w:pStyle w:val="Compact"/>
                  </w:pPr>
                </w:p>
              </w:tc>
            </w:tr>
            <w:tr>
              <w:tc>
                <w:tcPr>
                  <w:gridSpan w:val="4"/>
                </w:tcPr>
                <w:p>
                  <w:pPr>
                    <w:pStyle w:val="Compact"/>
                    <w:jc w:val="left"/>
                    <w:jc w:val="center"/>
                  </w:pPr>
                </w:p>
              </w:tc>
            </w:tr>
            <w:tr>
              <w:tc>
                <w:tcPr/>
                <w:p>
                  <w:pPr>
                    <w:pStyle w:val="Compact"/>
                  </w:pPr>
                </w:p>
              </w:tc>
              <w:tc>
                <w:tcPr/>
                <w:p>
                  <w:pPr>
                    <w:pStyle w:val="Compact"/>
                    <w:jc w:val="left"/>
                    <w:jc w:val="center"/>
                  </w:pPr>
                  <w:r>
                    <w:t xml:space="preserve">-0.042</w:t>
                  </w:r>
                </w:p>
              </w:tc>
              <w:tc>
                <w:tcPr/>
                <w:p>
                  <w:pPr>
                    <w:pStyle w:val="Compact"/>
                    <w:jc w:val="left"/>
                    <w:jc w:val="center"/>
                  </w:pPr>
                  <w:r>
                    <w:t xml:space="preserve">[-0.048, -0.037]</w:t>
                  </w:r>
                </w:p>
              </w:tc>
              <w:tc>
                <w:tcPr/>
                <w:p>
                  <w:pPr>
                    <w:pStyle w:val="Compact"/>
                    <w:jc w:val="left"/>
                    <w:jc w:val="center"/>
                  </w:pPr>
                  <w:r>
                    <w:t xml:space="preserve">1</w:t>
                  </w:r>
                </w:p>
              </w:tc>
            </w:tr>
            <w:tr>
              <w:tc>
                <w:tcPr/>
                <w:p>
                  <w:pPr>
                    <w:pStyle w:val="Compact"/>
                  </w:pPr>
                </w:p>
              </w:tc>
              <w:tc>
                <w:tcPr/>
                <w:p>
                  <w:pPr>
                    <w:pStyle w:val="Compact"/>
                    <w:jc w:val="left"/>
                    <w:jc w:val="center"/>
                  </w:pPr>
                  <w:r>
                    <w:t xml:space="preserve">-0.021</w:t>
                  </w:r>
                </w:p>
              </w:tc>
              <w:tc>
                <w:tcPr/>
                <w:p>
                  <w:pPr>
                    <w:pStyle w:val="Compact"/>
                    <w:jc w:val="left"/>
                    <w:jc w:val="center"/>
                  </w:pPr>
                  <w:r>
                    <w:t xml:space="preserve">[-0.025, -0.017]</w:t>
                  </w:r>
                </w:p>
              </w:tc>
              <w:tc>
                <w:tcPr/>
                <w:p>
                  <w:pPr>
                    <w:pStyle w:val="Compact"/>
                    <w:jc w:val="left"/>
                    <w:jc w:val="center"/>
                  </w:pPr>
                  <w:r>
                    <w:t xml:space="preserve">1</w:t>
                  </w:r>
                </w:p>
              </w:tc>
            </w:tr>
            <w:tr>
              <w:tc>
                <w:tcPr/>
                <w:p>
                  <w:pPr>
                    <w:pStyle w:val="Compact"/>
                  </w:pPr>
                </w:p>
              </w:tc>
              <w:tc>
                <w:tcPr/>
                <w:p>
                  <w:pPr>
                    <w:pStyle w:val="Compact"/>
                    <w:jc w:val="left"/>
                    <w:jc w:val="center"/>
                  </w:pPr>
                  <w:r>
                    <w:t xml:space="preserve">-0.063</w:t>
                  </w:r>
                </w:p>
              </w:tc>
              <w:tc>
                <w:tcPr/>
                <w:p>
                  <w:pPr>
                    <w:pStyle w:val="Compact"/>
                    <w:jc w:val="left"/>
                    <w:jc w:val="center"/>
                  </w:pPr>
                  <w:r>
                    <w:t xml:space="preserve">[-0.069, -0.056]</w:t>
                  </w:r>
                </w:p>
              </w:tc>
              <w:tc>
                <w:tcPr/>
                <w:p>
                  <w:pPr>
                    <w:pStyle w:val="Compact"/>
                    <w:jc w:val="left"/>
                    <w:jc w:val="center"/>
                  </w:pPr>
                  <w:r>
                    <w:t xml:space="preserve">1</w:t>
                  </w:r>
                </w:p>
              </w:tc>
            </w:tr>
            <w:tr>
              <w:tc>
                <w:tcPr/>
                <w:p>
                  <w:pPr>
                    <w:pStyle w:val="Compact"/>
                  </w:pPr>
                </w:p>
              </w:tc>
              <w:tc>
                <w:tcPr/>
                <w:p>
                  <w:pPr>
                    <w:pStyle w:val="Compact"/>
                    <w:jc w:val="left"/>
                    <w:jc w:val="center"/>
                  </w:pPr>
                  <w:r>
                    <w:t xml:space="preserve">-0.03</w:t>
                  </w:r>
                </w:p>
              </w:tc>
              <w:tc>
                <w:tcPr/>
                <w:p>
                  <w:pPr>
                    <w:pStyle w:val="Compact"/>
                    <w:jc w:val="left"/>
                    <w:jc w:val="center"/>
                  </w:pPr>
                  <w:r>
                    <w:t xml:space="preserve">[-0.035, -0.026]</w:t>
                  </w:r>
                </w:p>
              </w:tc>
              <w:tc>
                <w:tcPr/>
                <w:p>
                  <w:pPr>
                    <w:pStyle w:val="Compact"/>
                    <w:jc w:val="left"/>
                    <w:jc w:val="center"/>
                  </w:pPr>
                  <w:r>
                    <w:t xml:space="preserve">1</w:t>
                  </w:r>
                </w:p>
              </w:tc>
            </w:tr>
            <w:tr>
              <w:tc>
                <w:tcPr/>
                <w:p>
                  <w:pPr>
                    <w:pStyle w:val="Compact"/>
                    <w:jc w:val="left"/>
                    <w:jc w:val="center"/>
                  </w:pPr>
                  <w:r>
                    <w:t xml:space="preserve">Adjacent Contrasts</w:t>
                  </w:r>
                </w:p>
              </w:tc>
              <w:tc>
                <w:tcPr/>
                <w:p>
                  <w:pPr>
                    <w:pStyle w:val="Compact"/>
                  </w:pPr>
                </w:p>
              </w:tc>
              <w:tc>
                <w:tcPr/>
                <w:p>
                  <w:pPr>
                    <w:pStyle w:val="Compact"/>
                  </w:pPr>
                </w:p>
              </w:tc>
              <w:tc>
                <w:tcPr/>
                <w:p>
                  <w:pPr>
                    <w:pStyle w:val="Compact"/>
                  </w:pPr>
                </w:p>
              </w:tc>
            </w:tr>
            <w:tr>
              <w:tc>
                <w:tcPr>
                  <w:gridSpan w:val="4"/>
                </w:tcPr>
                <w:p>
                  <w:pPr>
                    <w:pStyle w:val="Compact"/>
                    <w:jc w:val="left"/>
                    <w:jc w:val="center"/>
                  </w:pPr>
                </w:p>
              </w:tc>
            </w:tr>
            <w:tr>
              <w:tc>
                <w:tcPr/>
                <w:p>
                  <w:pPr>
                    <w:pStyle w:val="Compact"/>
                  </w:pPr>
                </w:p>
              </w:tc>
              <w:tc>
                <w:tcPr/>
                <w:p>
                  <w:pPr>
                    <w:pStyle w:val="Compact"/>
                    <w:jc w:val="left"/>
                    <w:jc w:val="center"/>
                  </w:pPr>
                  <w:r>
                    <w:t xml:space="preserve">-0.009</w:t>
                  </w:r>
                </w:p>
              </w:tc>
              <w:tc>
                <w:tcPr/>
                <w:p>
                  <w:pPr>
                    <w:pStyle w:val="Compact"/>
                    <w:jc w:val="left"/>
                    <w:jc w:val="center"/>
                  </w:pPr>
                  <w:r>
                    <w:t xml:space="preserve">[-0.013, -0.005]</w:t>
                  </w:r>
                </w:p>
              </w:tc>
              <w:tc>
                <w:tcPr/>
                <w:p>
                  <w:pPr>
                    <w:pStyle w:val="Compact"/>
                    <w:jc w:val="left"/>
                    <w:jc w:val="center"/>
                  </w:pPr>
                  <w:r>
                    <w:t xml:space="preserve">1</w:t>
                  </w:r>
                </w:p>
              </w:tc>
            </w:tr>
            <w:tr>
              <w:tc>
                <w:tcPr/>
                <w:p>
                  <w:pPr>
                    <w:pStyle w:val="Compact"/>
                  </w:pPr>
                </w:p>
              </w:tc>
              <w:tc>
                <w:tcPr/>
                <w:p>
                  <w:pPr>
                    <w:pStyle w:val="Compact"/>
                    <w:jc w:val="left"/>
                    <w:jc w:val="center"/>
                  </w:pPr>
                  <w:r>
                    <w:t xml:space="preserve">-0.012</w:t>
                  </w:r>
                </w:p>
              </w:tc>
              <w:tc>
                <w:tcPr/>
                <w:p>
                  <w:pPr>
                    <w:pStyle w:val="Compact"/>
                    <w:jc w:val="left"/>
                    <w:jc w:val="center"/>
                  </w:pPr>
                  <w:r>
                    <w:t xml:space="preserve">[-0.017, -0.008]</w:t>
                  </w:r>
                </w:p>
              </w:tc>
              <w:tc>
                <w:tcPr/>
                <w:p>
                  <w:pPr>
                    <w:pStyle w:val="Compact"/>
                    <w:jc w:val="left"/>
                    <w:jc w:val="center"/>
                  </w:pPr>
                  <w:r>
                    <w:t xml:space="preserve">1</w:t>
                  </w:r>
                </w:p>
              </w:tc>
            </w:tr>
            <w:tr>
              <w:tc>
                <w:tcPr/>
                <w:p>
                  <w:pPr>
                    <w:pStyle w:val="Compact"/>
                  </w:pPr>
                </w:p>
              </w:tc>
              <w:tc>
                <w:tcPr/>
                <w:p>
                  <w:pPr>
                    <w:pStyle w:val="Compact"/>
                    <w:jc w:val="left"/>
                    <w:jc w:val="center"/>
                  </w:pPr>
                  <w:r>
                    <w:t xml:space="preserve">-0.02</w:t>
                  </w:r>
                </w:p>
              </w:tc>
              <w:tc>
                <w:tcPr/>
                <w:p>
                  <w:pPr>
                    <w:pStyle w:val="Compact"/>
                    <w:jc w:val="left"/>
                    <w:jc w:val="center"/>
                  </w:pPr>
                  <w:r>
                    <w:t xml:space="preserve">[-0.026, -0.015]</w:t>
                  </w:r>
                </w:p>
              </w:tc>
              <w:tc>
                <w:tcPr/>
                <w:p>
                  <w:pPr>
                    <w:pStyle w:val="Compact"/>
                    <w:jc w:val="left"/>
                    <w:jc w:val="center"/>
                  </w:pPr>
                  <w:r>
                    <w:t xml:space="preserve">1</w:t>
                  </w:r>
                </w:p>
              </w:tc>
            </w:tr>
            <w:tr>
              <w:tc>
                <w:tcPr/>
                <w:p>
                  <w:pPr>
                    <w:pStyle w:val="Compact"/>
                    <w:jc w:val="left"/>
                    <w:jc w:val="center"/>
                  </w:pPr>
                  <w:r>
                    <w:t xml:space="preserve"> </w:t>
                  </w:r>
                  <w:r>
                    <w:t xml:space="preserve">Median auROC differences less than 0 indicate the more lagged model, on average, performed worse than the more immediate model (e.g., 1-day lag - no lag, 3-day lag - 1-day lag). Bayesian CI represents the range of values where there is a 95% probability that the true auROC difference lies within that range. Probability indicates the posterior probability that this difference is smaller than 0 (i.e., the models are performing differently).</w:t>
                  </w:r>
                </w:p>
              </w:tc>
              <w:tc>
                <w:tcPr/>
                <w:p>
                  <w:pPr>
                    <w:pStyle w:val="Compact"/>
                  </w:pPr>
                </w:p>
              </w:tc>
              <w:tc>
                <w:tcPr/>
                <w:p>
                  <w:pPr>
                    <w:pStyle w:val="Compact"/>
                  </w:pPr>
                </w:p>
              </w:tc>
              <w:tc>
                <w:tcPr/>
                <w:p>
                  <w:pPr>
                    <w:pStyle w:val="Compact"/>
                  </w:pPr>
                </w:p>
              </w:tc>
            </w:tr>
          </w:tbl>
          <w:bookmarkEnd w:id="109"/>
          <w:p/>
        </w:tc>
      </w:tr>
    </w:tbl>
    <w:p>
      <w:pPr>
        <w:pStyle w:val="BodyText"/>
      </w:pPr>
      <w:r>
        <w:rPr>
          <w:vertAlign w:val="subscript"/>
        </w:rPr>
        <w:t xml:space="preserve">Source:</w:t>
      </w:r>
      <w:r>
        <w:rPr>
          <w:vertAlign w:val="subscript"/>
        </w:rPr>
        <w:t xml:space="preserve"> </w:t>
      </w:r>
      <w:hyperlink r:id="rId110">
        <w:r>
          <w:rPr>
            <w:rStyle w:val="Hyperlink"/>
            <w:vertAlign w:val="subscript"/>
          </w:rPr>
          <w:t xml:space="preserve">Make All Tables for Dissertation</w:t>
        </w:r>
      </w:hyperlink>
    </w:p>
    <w:bookmarkEnd w:id="111"/>
    <w:bookmarkStart w:id="114" w:name="fairness-analyses-1"/>
    <w:p>
      <w:pPr>
        <w:pStyle w:val="Heading2"/>
      </w:pPr>
      <w:r>
        <w:t xml:space="preserve">6.4 Fairness Analyses</w:t>
      </w:r>
    </w:p>
    <w:p>
      <w:pPr>
        <w:pStyle w:val="FirstParagraph"/>
      </w:pPr>
      <w:hyperlink w:anchor="tbl-fairness">
        <w:r>
          <w:rPr>
            <w:rStyle w:val="Hyperlink"/>
          </w:rPr>
          <w:t xml:space="preserve">Table 5</w:t>
        </w:r>
      </w:hyperlink>
      <w:r>
        <w:t xml:space="preserve"> </w:t>
      </w:r>
      <w:r>
        <w:t xml:space="preserve">presents the median difference in auROC, 95% Bayesian CI, and posterior probability that the auROC difference was smaller than 0 for the three fairness contrasts: race/ethnicity (non-White and/or Hispanic;</w:t>
      </w:r>
      <w:r>
        <w:t xml:space="preserve"> </w:t>
      </w:r>
      <w:r>
        <w:rPr>
          <w:i/>
          <w:iCs/>
        </w:rPr>
        <w:t xml:space="preserve">N</w:t>
      </w:r>
      <w:r>
        <w:t xml:space="preserve"> </w:t>
      </w:r>
      <w:r>
        <w:t xml:space="preserve">= 20 vs. Non-Hispanic White;</w:t>
      </w:r>
      <w:r>
        <w:t xml:space="preserve"> </w:t>
      </w:r>
      <w:r>
        <w:rPr>
          <w:i/>
          <w:iCs/>
        </w:rPr>
        <w:t xml:space="preserve">N</w:t>
      </w:r>
      <w:r>
        <w:t xml:space="preserve"> </w:t>
      </w:r>
      <w:r>
        <w:t xml:space="preserve">= 131), sex at birth (female;</w:t>
      </w:r>
      <w:r>
        <w:t xml:space="preserve"> </w:t>
      </w:r>
      <w:r>
        <w:rPr>
          <w:i/>
          <w:iCs/>
        </w:rPr>
        <w:t xml:space="preserve">N</w:t>
      </w:r>
      <w:r>
        <w:t xml:space="preserve"> </w:t>
      </w:r>
      <w:r>
        <w:t xml:space="preserve">= 74 vs. male;</w:t>
      </w:r>
      <w:r>
        <w:t xml:space="preserve"> </w:t>
      </w:r>
      <w:r>
        <w:rPr>
          <w:i/>
          <w:iCs/>
        </w:rPr>
        <w:t xml:space="preserve">N</w:t>
      </w:r>
      <w:r>
        <w:t xml:space="preserve"> </w:t>
      </w:r>
      <w:r>
        <w:t xml:space="preserve">= 77), and income (below poverty line;</w:t>
      </w:r>
      <w:r>
        <w:t xml:space="preserve"> </w:t>
      </w:r>
      <w:r>
        <w:rPr>
          <w:i/>
          <w:iCs/>
        </w:rPr>
        <w:t xml:space="preserve">N</w:t>
      </w:r>
      <w:r>
        <w:t xml:space="preserve"> </w:t>
      </w:r>
      <w:r>
        <w:t xml:space="preserve">= 49 vs. above poverty line;</w:t>
      </w:r>
      <w:r>
        <w:t xml:space="preserve"> </w:t>
      </w:r>
      <w:r>
        <w:rPr>
          <w:i/>
          <w:iCs/>
        </w:rPr>
        <w:t xml:space="preserve">N</w:t>
      </w:r>
      <w:r>
        <w:t xml:space="preserve"> </w:t>
      </w:r>
      <w:r>
        <w:t xml:space="preserve">= 102). Median auROC differences less than 0 indicate the model, on average, performed worse for the non-advantaged group (female, non-White and/or Hispanic, below poverty line) compared to the advantaged group (male, non-Hispanic White, and above poverty line). In</w:t>
      </w:r>
      <w:r>
        <w:t xml:space="preserve"> </w:t>
      </w:r>
      <w:hyperlink w:anchor="tbl-fairness">
        <w:r>
          <w:rPr>
            <w:rStyle w:val="Hyperlink"/>
          </w:rPr>
          <w:t xml:space="preserve">Table 5</w:t>
        </w:r>
      </w:hyperlink>
      <w:r>
        <w:t xml:space="preserve"> </w:t>
      </w:r>
      <w:r>
        <w:t xml:space="preserve">we present fairness analyses for our baseline model (no lag) and for our longest lagged model (2-week lag), as this is likely the most clinically useful lagged model for providing advanced warning of lapse risk.</w:t>
      </w:r>
    </w:p>
    <w:p>
      <w:pPr>
        <w:pStyle w:val="BodyText"/>
      </w:pPr>
      <w:r>
        <w:t xml:space="preserve">There was strong evidence (probabilities &gt; .84) that our models performed worse for the non-advantaged groups compared to the advantaged groups. On average, across all five models, there was a median decrease in auROC of 0.13 (range 0.13-0.17) for participants who were non-White and/or Hispanic compared to participants who were non-Hispanic White. On average, across all five models, there was a median decrease in auROC of 0.05 (range 0.04-0.10) for female participants compared to male participants. On average, across all five models, there was a median decrease in auROC of 0.02 (range 0.01-0.04) for participants below the federal poverty line compared to participants above the federal poverty line.</w:t>
      </w:r>
    </w:p>
    <w:p>
      <w:pPr>
        <w:pStyle w:val="BodyText"/>
      </w:pPr>
      <w:r>
        <w:t xml:space="preserve">The proportion of positive lapse labels over all labels (lapse and no lapse) for each demographic subgroup were relatively consistent across groups: race/ethnicity (6%, non-White and/or Hispanic vs. 8%, non-Hispanic White), income (12%, below poverty line vs. 7%, above poverty line), sex at birth (9%, female vs. 7%, male).</w:t>
      </w:r>
    </w:p>
    <w:tbl>
      <w:tblPr>
        <w:tblStyle w:val="Table"/>
        <w:tblW w:type="pct" w:w="5000"/>
        <w:tblLayout w:type="fixed"/>
        <w:tblLook w:firstRow="0" w:lastRow="0" w:firstColumn="0" w:lastColumn="0" w:noHBand="0" w:noVBand="0" w:val="0000"/>
      </w:tblPr>
      <w:tblGrid>
        <w:gridCol w:w="7920"/>
      </w:tblGrid>
      <w:tr>
        <w:tc>
          <w:tcPr/>
          <w:bookmarkStart w:id="112" w:name="tbl-fairness"/>
          <w:p>
            <w:pPr>
              <w:jc w:val="center"/>
            </w:pPr>
            <w:pPr>
              <w:jc w:val="left"/>
              <w:spacing w:before="200"/>
              <w:pStyle w:val="ImageCaption"/>
            </w:pPr>
            <w:r>
              <w:t xml:space="preserve">Table 5: Median difference in auROC, 95% Bayesian credible interval (CI), and posterior probability that that the auROC difference was smaller than 0 for fairness contrasts for the no lag and 2-week lagged models.</w:t>
            </w:r>
          </w:p>
          <w:tbl>
            <w:tblPr>
              <w:tblStyle w:val="Table"/>
              <w:tblW w:type="auto" w:w="0"/>
              <w:tblLook w:firstRow="1" w:lastRow="1" w:firstColumn="0" w:lastColumn="0" w:noHBand="0" w:noVBand="0" w:val="0020"/>
            </w:tblPr>
            <w:tblGrid>
              <w:gridCol w:w="1980"/>
              <w:gridCol w:w="1980"/>
              <w:gridCol w:w="1980"/>
              <w:gridCol w:w="1980"/>
            </w:tblGrid>
            <w:tr>
              <w:trPr>
                <w:tblHeader w:val="on"/>
              </w:trPr>
              <w:tc>
                <w:tcPr/>
                <w:p>
                  <w:pPr>
                    <w:pStyle w:val="Compact"/>
                    <w:jc w:val="left"/>
                    <w:jc w:val="center"/>
                  </w:pPr>
                  <w:r>
                    <w:t xml:space="preserve">Contrast</w:t>
                  </w:r>
                </w:p>
              </w:tc>
              <w:tc>
                <w:tcPr/>
                <w:p>
                  <w:pPr>
                    <w:pStyle w:val="Compact"/>
                    <w:jc w:val="left"/>
                    <w:jc w:val="center"/>
                  </w:pPr>
                  <w:r>
                    <w:t xml:space="preserve">Median</w:t>
                  </w:r>
                </w:p>
              </w:tc>
              <w:tc>
                <w:tcPr/>
                <w:p>
                  <w:pPr>
                    <w:pStyle w:val="Compact"/>
                    <w:jc w:val="left"/>
                    <w:jc w:val="center"/>
                  </w:pPr>
                  <w:r>
                    <w:t xml:space="preserve">Bayesian CI</w:t>
                  </w:r>
                </w:p>
              </w:tc>
              <w:tc>
                <w:tcPr/>
                <w:p>
                  <w:pPr>
                    <w:pStyle w:val="Compact"/>
                    <w:jc w:val="left"/>
                    <w:jc w:val="center"/>
                  </w:pPr>
                  <w:r>
                    <w:t xml:space="preserve">Probability</w:t>
                  </w:r>
                </w:p>
              </w:tc>
            </w:tr>
            <w:tr>
              <w:tc>
                <w:tcPr/>
                <w:p>
                  <w:pPr>
                    <w:pStyle w:val="Compact"/>
                    <w:jc w:val="left"/>
                    <w:jc w:val="center"/>
                  </w:pPr>
                  <w:r>
                    <w:t xml:space="preserve">Fairness Contrasts (No Lag)</w:t>
                  </w:r>
                </w:p>
              </w:tc>
              <w:tc>
                <w:tcPr/>
                <w:p>
                  <w:pPr>
                    <w:pStyle w:val="Compact"/>
                  </w:pPr>
                </w:p>
              </w:tc>
              <w:tc>
                <w:tcPr/>
                <w:p>
                  <w:pPr>
                    <w:pStyle w:val="Compact"/>
                  </w:pPr>
                </w:p>
              </w:tc>
              <w:tc>
                <w:tcPr/>
                <w:p>
                  <w:pPr>
                    <w:pStyle w:val="Compact"/>
                  </w:pPr>
                </w:p>
              </w:tc>
            </w:tr>
            <w:tr>
              <w:tc>
                <w:tcPr>
                  <w:gridSpan w:val="4"/>
                </w:tcPr>
                <w:p>
                  <w:pPr>
                    <w:pStyle w:val="Compact"/>
                    <w:jc w:val="left"/>
                    <w:jc w:val="center"/>
                  </w:pPr>
                </w:p>
              </w:tc>
            </w:tr>
            <w:tr>
              <w:tc>
                <w:tcPr/>
                <w:p>
                  <w:pPr>
                    <w:pStyle w:val="Compact"/>
                  </w:pPr>
                </w:p>
              </w:tc>
              <w:tc>
                <w:tcPr/>
                <w:p>
                  <w:pPr>
                    <w:pStyle w:val="Compact"/>
                    <w:jc w:val="left"/>
                    <w:jc w:val="center"/>
                  </w:pPr>
                  <w:r>
                    <w:t xml:space="preserve">-0.043</w:t>
                  </w:r>
                </w:p>
              </w:tc>
              <w:tc>
                <w:tcPr/>
                <w:p>
                  <w:pPr>
                    <w:pStyle w:val="Compact"/>
                    <w:jc w:val="left"/>
                    <w:jc w:val="center"/>
                  </w:pPr>
                  <w:r>
                    <w:t xml:space="preserve">[-0.059, -0.028]</w:t>
                  </w:r>
                </w:p>
              </w:tc>
              <w:tc>
                <w:tcPr/>
                <w:p>
                  <w:pPr>
                    <w:pStyle w:val="Compact"/>
                    <w:jc w:val="left"/>
                    <w:jc w:val="center"/>
                  </w:pPr>
                  <w:r>
                    <w:t xml:space="preserve">1</w:t>
                  </w:r>
                </w:p>
              </w:tc>
            </w:tr>
            <w:tr>
              <w:tc>
                <w:tcPr/>
                <w:p>
                  <w:pPr>
                    <w:pStyle w:val="Compact"/>
                  </w:pPr>
                </w:p>
              </w:tc>
              <w:tc>
                <w:tcPr/>
                <w:p>
                  <w:pPr>
                    <w:pStyle w:val="Compact"/>
                    <w:jc w:val="left"/>
                    <w:jc w:val="center"/>
                  </w:pPr>
                  <w:r>
                    <w:t xml:space="preserve">-0.012</w:t>
                  </w:r>
                </w:p>
              </w:tc>
              <w:tc>
                <w:tcPr/>
                <w:p>
                  <w:pPr>
                    <w:pStyle w:val="Compact"/>
                    <w:jc w:val="left"/>
                    <w:jc w:val="center"/>
                  </w:pPr>
                  <w:r>
                    <w:t xml:space="preserve">[-0.033, 0.007]</w:t>
                  </w:r>
                </w:p>
              </w:tc>
              <w:tc>
                <w:tcPr/>
                <w:p>
                  <w:pPr>
                    <w:pStyle w:val="Compact"/>
                    <w:jc w:val="left"/>
                    <w:jc w:val="center"/>
                  </w:pPr>
                  <w:r>
                    <w:t xml:space="preserve">0.848</w:t>
                  </w:r>
                </w:p>
              </w:tc>
            </w:tr>
            <w:tr>
              <w:tc>
                <w:tcPr/>
                <w:p>
                  <w:pPr>
                    <w:pStyle w:val="Compact"/>
                  </w:pPr>
                </w:p>
              </w:tc>
              <w:tc>
                <w:tcPr/>
                <w:p>
                  <w:pPr>
                    <w:pStyle w:val="Compact"/>
                    <w:jc w:val="left"/>
                    <w:jc w:val="center"/>
                  </w:pPr>
                  <w:r>
                    <w:t xml:space="preserve">-0.131</w:t>
                  </w:r>
                </w:p>
              </w:tc>
              <w:tc>
                <w:tcPr/>
                <w:p>
                  <w:pPr>
                    <w:pStyle w:val="Compact"/>
                    <w:jc w:val="left"/>
                    <w:jc w:val="center"/>
                  </w:pPr>
                  <w:r>
                    <w:t xml:space="preserve">[-0.222, -0.057]</w:t>
                  </w:r>
                </w:p>
              </w:tc>
              <w:tc>
                <w:tcPr/>
                <w:p>
                  <w:pPr>
                    <w:pStyle w:val="Compact"/>
                    <w:jc w:val="left"/>
                    <w:jc w:val="center"/>
                  </w:pPr>
                  <w:r>
                    <w:t xml:space="preserve">0.999</w:t>
                  </w:r>
                </w:p>
              </w:tc>
            </w:tr>
            <w:tr>
              <w:tc>
                <w:tcPr/>
                <w:p>
                  <w:pPr>
                    <w:pStyle w:val="Compact"/>
                    <w:jc w:val="left"/>
                    <w:jc w:val="center"/>
                  </w:pPr>
                  <w:r>
                    <w:t xml:space="preserve">Fairness Contrasts (2-week Lag)</w:t>
                  </w:r>
                </w:p>
              </w:tc>
              <w:tc>
                <w:tcPr/>
                <w:p>
                  <w:pPr>
                    <w:pStyle w:val="Compact"/>
                  </w:pPr>
                </w:p>
              </w:tc>
              <w:tc>
                <w:tcPr/>
                <w:p>
                  <w:pPr>
                    <w:pStyle w:val="Compact"/>
                  </w:pPr>
                </w:p>
              </w:tc>
              <w:tc>
                <w:tcPr/>
                <w:p>
                  <w:pPr>
                    <w:pStyle w:val="Compact"/>
                  </w:pPr>
                </w:p>
              </w:tc>
            </w:tr>
            <w:tr>
              <w:tc>
                <w:tcPr>
                  <w:gridSpan w:val="4"/>
                </w:tcPr>
                <w:p>
                  <w:pPr>
                    <w:pStyle w:val="Compact"/>
                    <w:jc w:val="left"/>
                    <w:jc w:val="center"/>
                  </w:pPr>
                </w:p>
              </w:tc>
            </w:tr>
            <w:tr>
              <w:tc>
                <w:tcPr/>
                <w:p>
                  <w:pPr>
                    <w:pStyle w:val="Compact"/>
                  </w:pPr>
                </w:p>
              </w:tc>
              <w:tc>
                <w:tcPr/>
                <w:p>
                  <w:pPr>
                    <w:pStyle w:val="Compact"/>
                    <w:jc w:val="left"/>
                    <w:jc w:val="center"/>
                  </w:pPr>
                  <w:r>
                    <w:t xml:space="preserve">-0.098</w:t>
                  </w:r>
                </w:p>
              </w:tc>
              <w:tc>
                <w:tcPr/>
                <w:p>
                  <w:pPr>
                    <w:pStyle w:val="Compact"/>
                    <w:jc w:val="left"/>
                    <w:jc w:val="center"/>
                  </w:pPr>
                  <w:r>
                    <w:t xml:space="preserve">[-0.125, -0.073]</w:t>
                  </w:r>
                </w:p>
              </w:tc>
              <w:tc>
                <w:tcPr/>
                <w:p>
                  <w:pPr>
                    <w:pStyle w:val="Compact"/>
                    <w:jc w:val="left"/>
                    <w:jc w:val="center"/>
                  </w:pPr>
                  <w:r>
                    <w:t xml:space="preserve">1</w:t>
                  </w:r>
                </w:p>
              </w:tc>
            </w:tr>
            <w:tr>
              <w:tc>
                <w:tcPr/>
                <w:p>
                  <w:pPr>
                    <w:pStyle w:val="Compact"/>
                  </w:pPr>
                </w:p>
              </w:tc>
              <w:tc>
                <w:tcPr/>
                <w:p>
                  <w:pPr>
                    <w:pStyle w:val="Compact"/>
                    <w:jc w:val="left"/>
                    <w:jc w:val="center"/>
                  </w:pPr>
                  <w:r>
                    <w:t xml:space="preserve">-0.039</w:t>
                  </w:r>
                </w:p>
              </w:tc>
              <w:tc>
                <w:tcPr/>
                <w:p>
                  <w:pPr>
                    <w:pStyle w:val="Compact"/>
                    <w:jc w:val="left"/>
                    <w:jc w:val="center"/>
                  </w:pPr>
                  <w:r>
                    <w:t xml:space="preserve">[-0.073, -0.008]</w:t>
                  </w:r>
                </w:p>
              </w:tc>
              <w:tc>
                <w:tcPr/>
                <w:p>
                  <w:pPr>
                    <w:pStyle w:val="Compact"/>
                    <w:jc w:val="left"/>
                    <w:jc w:val="center"/>
                  </w:pPr>
                  <w:r>
                    <w:t xml:space="preserve">0.98</w:t>
                  </w:r>
                </w:p>
              </w:tc>
            </w:tr>
            <w:tr>
              <w:tc>
                <w:tcPr/>
                <w:p>
                  <w:pPr>
                    <w:pStyle w:val="Compact"/>
                  </w:pPr>
                </w:p>
              </w:tc>
              <w:tc>
                <w:tcPr/>
                <w:p>
                  <w:pPr>
                    <w:pStyle w:val="Compact"/>
                    <w:jc w:val="left"/>
                    <w:jc w:val="center"/>
                  </w:pPr>
                  <w:r>
                    <w:t xml:space="preserve">-0.13</w:t>
                  </w:r>
                </w:p>
              </w:tc>
              <w:tc>
                <w:tcPr/>
                <w:p>
                  <w:pPr>
                    <w:pStyle w:val="Compact"/>
                    <w:jc w:val="left"/>
                    <w:jc w:val="center"/>
                  </w:pPr>
                  <w:r>
                    <w:t xml:space="preserve">[-0.208, -0.058]</w:t>
                  </w:r>
                </w:p>
              </w:tc>
              <w:tc>
                <w:tcPr/>
                <w:p>
                  <w:pPr>
                    <w:pStyle w:val="Compact"/>
                    <w:jc w:val="left"/>
                    <w:jc w:val="center"/>
                  </w:pPr>
                  <w:r>
                    <w:t xml:space="preserve">0.998</w:t>
                  </w:r>
                </w:p>
              </w:tc>
            </w:tr>
            <w:tr>
              <w:tc>
                <w:tcPr/>
                <w:p>
                  <w:pPr>
                    <w:pStyle w:val="Compact"/>
                    <w:jc w:val="left"/>
                    <w:jc w:val="center"/>
                  </w:pPr>
                  <w:r>
                    <w:t xml:space="preserve"> </w:t>
                  </w:r>
                  <w:r>
                    <w:t xml:space="preserve">Median auROC differences less than 0 indicate the model, on average, performed worse for the disadvantaged group (female, non-White and/or Hispanic, income below poverty line) compared to the advantaged group (male, non-Hispanic White, income above poverty line). Bayesian CI represents the range of values where there is a 95% probability that the true auROC difference lies within that range. Probability indicates the posterior probability that this difference is smaller than 0 (i.e., the models are performing differently for fairness subgroups).</w:t>
                  </w:r>
                </w:p>
              </w:tc>
              <w:tc>
                <w:tcPr/>
                <w:p>
                  <w:pPr>
                    <w:pStyle w:val="Compact"/>
                  </w:pPr>
                </w:p>
              </w:tc>
              <w:tc>
                <w:tcPr/>
                <w:p>
                  <w:pPr>
                    <w:pStyle w:val="Compact"/>
                  </w:pPr>
                </w:p>
              </w:tc>
              <w:tc>
                <w:tcPr/>
                <w:p>
                  <w:pPr>
                    <w:pStyle w:val="Compact"/>
                  </w:pPr>
                </w:p>
              </w:tc>
            </w:tr>
          </w:tbl>
          <w:bookmarkEnd w:id="112"/>
          <w:p/>
        </w:tc>
      </w:tr>
    </w:tbl>
    <w:p>
      <w:pPr>
        <w:pStyle w:val="BodyText"/>
      </w:pPr>
      <w:r>
        <w:rPr>
          <w:vertAlign w:val="subscript"/>
        </w:rPr>
        <w:t xml:space="preserve">Source:</w:t>
      </w:r>
      <w:r>
        <w:rPr>
          <w:vertAlign w:val="subscript"/>
        </w:rPr>
        <w:t xml:space="preserve"> </w:t>
      </w:r>
      <w:hyperlink r:id="rId113">
        <w:r>
          <w:rPr>
            <w:rStyle w:val="Hyperlink"/>
            <w:vertAlign w:val="subscript"/>
          </w:rPr>
          <w:t xml:space="preserve">Make All Tables for Dissertation</w:t>
        </w:r>
      </w:hyperlink>
    </w:p>
    <w:bookmarkEnd w:id="114"/>
    <w:bookmarkStart w:id="120" w:name="model-calibration-1"/>
    <w:p>
      <w:pPr>
        <w:pStyle w:val="Heading2"/>
      </w:pPr>
      <w:r>
        <w:t xml:space="preserve">6.5 Model Calibration</w:t>
      </w:r>
    </w:p>
    <w:p>
      <w:pPr>
        <w:pStyle w:val="FirstParagraph"/>
      </w:pPr>
      <w:r>
        <w:t xml:space="preserve">The raw probabilities produced by our final models were not well calibrated. Consequently, we used Platt scaling to improve calibration. Platt scaling showed excellent improvement to the no lag model with a Brier score of .043. Calibration also improved probability accuracy for the 2-week lagged model with a Brier score of .063. For comparison, raw probability scores yielded Brier scores of .071 and .077 for the no lag and 2-week lagged models, respectively.</w:t>
      </w:r>
    </w:p>
    <w:p>
      <w:pPr>
        <w:pStyle w:val="BodyText"/>
      </w:pPr>
      <w:hyperlink w:anchor="fig-cal">
        <w:r>
          <w:rPr>
            <w:rStyle w:val="Hyperlink"/>
          </w:rPr>
          <w:t xml:space="preserve">Figure 6</w:t>
        </w:r>
      </w:hyperlink>
      <w:r>
        <w:t xml:space="preserve"> </w:t>
      </w:r>
      <w:r>
        <w:t xml:space="preserve">shows the calibration plots for the raw and calibrated probabilities for the no lag and 2-week lagged model. It also includes a histogram of raw probabilities that demonstrates our models produced variable predicted probabilities, spanning nearly the entire 0 - 1 range.</w:t>
      </w:r>
    </w:p>
    <w:tbl>
      <w:tblPr>
        <w:tblStyle w:val="Table"/>
        <w:tblW w:type="pct" w:w="5000"/>
        <w:tblLayout w:type="fixed"/>
        <w:tblLook w:firstRow="0" w:lastRow="0" w:firstColumn="0" w:lastColumn="0" w:noHBand="0" w:noVBand="0" w:val="0000"/>
      </w:tblPr>
      <w:tblGrid>
        <w:gridCol w:w="7920"/>
      </w:tblGrid>
      <w:tr>
        <w:tc>
          <w:tcPr/>
          <w:bookmarkStart w:id="118" w:name="fig-cal"/>
          <w:p>
            <w:pPr>
              <w:pStyle w:val="Compact"/>
              <w:jc w:val="center"/>
            </w:pPr>
            <w:r>
              <w:drawing>
                <wp:inline>
                  <wp:extent cx="5334000" cy="5334000"/>
                  <wp:effectExtent b="0" l="0" r="0" t="0"/>
                  <wp:docPr descr="" title="" id="116" name="Picture"/>
                  <a:graphic>
                    <a:graphicData uri="http://schemas.openxmlformats.org/drawingml/2006/picture">
                      <pic:pic>
                        <pic:nvPicPr>
                          <pic:cNvPr descr="index_files/figure-docx/notebooks-figures-fig-cal-output-1.png" id="117" name="Picture"/>
                          <pic:cNvPicPr>
                            <a:picLocks noChangeArrowheads="1" noChangeAspect="1"/>
                          </pic:cNvPicPr>
                        </pic:nvPicPr>
                        <pic:blipFill>
                          <a:blip r:embed="rId115"/>
                          <a:stretch>
                            <a:fillRect/>
                          </a:stretch>
                        </pic:blipFill>
                        <pic:spPr bwMode="auto">
                          <a:xfrm>
                            <a:off x="0" y="0"/>
                            <a:ext cx="5334000" cy="5334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 Calibration plots of raw and calibrated lapse probabilities for the baseline (no lag) and 2-week lagged models. Predicted probabilities (x-axis) are binned into deciles. Observed lapse probability (y-axis) represents the proportion of actual lapses observed in each bin. The dashed diagonal represents perfect calibration. Points below the line indicate overestimation and points above the line indicate underestimation. Raw probabilities are depicted as solid black curves. Platt calibrated probabilities are depicted as pink dashed curves. The grey histogram along the bottom of the plot represents the proportion of raw probabilities in each bin.</w:t>
            </w:r>
          </w:p>
          <w:bookmarkEnd w:id="118"/>
        </w:tc>
      </w:tr>
    </w:tbl>
    <w:p>
      <w:pPr>
        <w:pStyle w:val="BodyText"/>
      </w:pPr>
      <w:r>
        <w:rPr>
          <w:vertAlign w:val="subscript"/>
        </w:rPr>
        <w:t xml:space="preserve">Source:</w:t>
      </w:r>
      <w:r>
        <w:rPr>
          <w:vertAlign w:val="subscript"/>
        </w:rPr>
        <w:t xml:space="preserve"> </w:t>
      </w:r>
      <w:hyperlink r:id="rId119">
        <w:r>
          <w:rPr>
            <w:rStyle w:val="Hyperlink"/>
            <w:vertAlign w:val="subscript"/>
          </w:rPr>
          <w:t xml:space="preserve">Make All Figures for Dissertation</w:t>
        </w:r>
      </w:hyperlink>
    </w:p>
    <w:bookmarkEnd w:id="120"/>
    <w:bookmarkStart w:id="126" w:name="feature-importance"/>
    <w:p>
      <w:pPr>
        <w:pStyle w:val="Heading2"/>
      </w:pPr>
      <w:r>
        <w:t xml:space="preserve">6.6 Feature Importance</w:t>
      </w:r>
    </w:p>
    <w:p>
      <w:pPr>
        <w:pStyle w:val="FirstParagraph"/>
      </w:pPr>
      <w:r>
        <w:t xml:space="preserve">Global feature importance is an indicator of how important a feature category was to the model’s predictions, on average (i.e., across all participants and all observations). The top globally important feature category (i.e., highest mean |Shapley value|) for all models was past use. Future efficacy was a strong predictor for more immediate model predictions (i.e., no lag), but its importance diminished as lag time increased. On the other hand, as lag time increased, past/future risky situations increased in importance. Craving was consistently important in magnitude across all models.</w:t>
      </w:r>
      <w:r>
        <w:t xml:space="preserve"> </w:t>
      </w:r>
      <w:hyperlink w:anchor="fig-4-lag">
        <w:r>
          <w:rPr>
            <w:rStyle w:val="Hyperlink"/>
          </w:rPr>
          <w:t xml:space="preserve">Figure 7</w:t>
        </w:r>
      </w:hyperlink>
      <w:r>
        <w:t xml:space="preserve"> </w:t>
      </w:r>
      <w:r>
        <w:t xml:space="preserve">shows the relative ranking of feature categories for the no lag and 2-week lagged models. These findings were also consistent across demographic subgroups.</w:t>
      </w:r>
    </w:p>
    <w:tbl>
      <w:tblPr>
        <w:tblStyle w:val="Table"/>
        <w:tblW w:type="pct" w:w="5000"/>
        <w:tblLayout w:type="fixed"/>
        <w:tblLook w:firstRow="0" w:lastRow="0" w:firstColumn="0" w:lastColumn="0" w:noHBand="0" w:noVBand="0" w:val="0000"/>
      </w:tblPr>
      <w:tblGrid>
        <w:gridCol w:w="7920"/>
      </w:tblGrid>
      <w:tr>
        <w:tc>
          <w:tcPr/>
          <w:bookmarkStart w:id="124" w:name="fig-4-lag"/>
          <w:p>
            <w:pPr>
              <w:pStyle w:val="Compact"/>
              <w:jc w:val="center"/>
            </w:pPr>
            <w:r>
              <w:drawing>
                <wp:inline>
                  <wp:extent cx="5334000" cy="3333749"/>
                  <wp:effectExtent b="0" l="0" r="0" t="0"/>
                  <wp:docPr descr="" title="" id="122" name="Picture"/>
                  <a:graphic>
                    <a:graphicData uri="http://schemas.openxmlformats.org/drawingml/2006/picture">
                      <pic:pic>
                        <pic:nvPicPr>
                          <pic:cNvPr descr="index_files/figure-docx/notebooks-figures-fig-4-lag-output-1.png" id="123" name="Picture"/>
                          <pic:cNvPicPr>
                            <a:picLocks noChangeArrowheads="1" noChangeAspect="1"/>
                          </pic:cNvPicPr>
                        </pic:nvPicPr>
                        <pic:blipFill>
                          <a:blip r:embed="rId121"/>
                          <a:stretch>
                            <a:fillRect/>
                          </a:stretch>
                        </pic:blipFill>
                        <pic:spPr bwMode="auto">
                          <a:xfrm>
                            <a:off x="0" y="0"/>
                            <a:ext cx="5334000" cy="3333749"/>
                          </a:xfrm>
                          <a:prstGeom prst="rect">
                            <a:avLst/>
                          </a:prstGeom>
                          <a:noFill/>
                          <a:ln w="9525">
                            <a:noFill/>
                            <a:headEnd/>
                            <a:tailEnd/>
                          </a:ln>
                        </pic:spPr>
                      </pic:pic>
                    </a:graphicData>
                  </a:graphic>
                </wp:inline>
              </w:drawing>
            </w:r>
          </w:p>
          <w:p>
            <w:pPr>
              <w:jc w:val="center"/>
            </w:pPr>
            <w:pPr>
              <w:jc w:val="left"/>
              <w:spacing w:before="200"/>
              <w:pStyle w:val="ImageCaption"/>
            </w:pPr>
            <w:r>
              <w:t xml:space="preserve">Figure 7: Global feature importance (mean |Shapley value|) for feature categories for the no lag and 2-week lagged models. Feature categories are ordered by their aggregate global importance. The importance of each feature category for each model is displayed separately by color.</w:t>
            </w:r>
          </w:p>
          <w:bookmarkEnd w:id="124"/>
        </w:tc>
      </w:tr>
    </w:tbl>
    <w:p>
      <w:pPr>
        <w:pStyle w:val="BodyText"/>
      </w:pPr>
      <w:r>
        <w:rPr>
          <w:vertAlign w:val="subscript"/>
        </w:rPr>
        <w:t xml:space="preserve">Source:</w:t>
      </w:r>
      <w:r>
        <w:rPr>
          <w:vertAlign w:val="subscript"/>
        </w:rPr>
        <w:t xml:space="preserve"> </w:t>
      </w:r>
      <w:hyperlink r:id="rId125">
        <w:r>
          <w:rPr>
            <w:rStyle w:val="Hyperlink"/>
            <w:vertAlign w:val="subscript"/>
          </w:rPr>
          <w:t xml:space="preserve">Make All Figures for Dissertation</w:t>
        </w:r>
      </w:hyperlink>
    </w:p>
    <w:bookmarkEnd w:id="126"/>
    <w:bookmarkStart w:id="134" w:name="discussion-1"/>
    <w:p>
      <w:pPr>
        <w:pStyle w:val="Heading2"/>
      </w:pPr>
      <w:r>
        <w:t xml:space="preserve">6.7 Discussion</w:t>
      </w:r>
    </w:p>
    <w:bookmarkStart w:id="127" w:name="model-evaluation-and-comparisons"/>
    <w:p>
      <w:pPr>
        <w:pStyle w:val="Heading3"/>
      </w:pPr>
      <w:r>
        <w:t xml:space="preserve">6.7.1 Model Evaluation and Comparisons</w:t>
      </w:r>
    </w:p>
    <w:p>
      <w:pPr>
        <w:pStyle w:val="FirstParagraph"/>
      </w:pPr>
      <w:r>
        <w:t xml:space="preserve">All the models that we evaluated performed exceptionally well. The no lag model, which predicts the probability of an immediate (i.e., within 24 hours) lapse back to alcohol use, had a .91 median posterior probability for auROC. Our 2-week lagged model, which made the most distal predictions, had a .85 median posterior probability for auROC, suggesting lagged models can be used to shift a 24-hour prediction window meaningfully into the future.</w:t>
      </w:r>
    </w:p>
    <w:p>
      <w:pPr>
        <w:pStyle w:val="BodyText"/>
      </w:pPr>
      <w:r>
        <w:t xml:space="preserve">Across models (no lag, 1 day, 3 days, 1 week, and 2 weeks), model performance systematically decreased as models predicted further into the future. All lagged models had lower performance compared to the no lag baseline model and to the preceding adjacent lag model. This is unsurprising given what we know about prediction and substance use. Many important relapse risk factors are fluctuating processes that can first emerge and/or change day-by-day, if not more frequently. As lag time increases, features become less proximal to the start of the prediction window. Still, we wish to emphasize that our lowest auROC (.85) is still quite good, and the benefit of advanced notice (i.e., 2 weeks) likely outweighs the modest cost to model performance.</w:t>
      </w:r>
    </w:p>
    <w:p>
      <w:pPr>
        <w:pStyle w:val="BodyText"/>
      </w:pPr>
      <w:r>
        <w:t xml:space="preserve">Collectively, these results suggest we can achieve clinically meaningful performance up to two weeks out. Our rigorous resampling methods (grouped, nested, k-fold cross-validation) make us confident that these are valid estimates of how our models would perform with new individuals. Furthermore, it should be noted that both the no lag and 2-week lagged models can be combined in a complementary fashion that allows both for highly accurate immediate lapse prediction and advanced warning about future lapse risk.</w:t>
      </w:r>
    </w:p>
    <w:bookmarkEnd w:id="127"/>
    <w:bookmarkStart w:id="128" w:name="model-fairness"/>
    <w:p>
      <w:pPr>
        <w:pStyle w:val="Heading3"/>
      </w:pPr>
      <w:r>
        <w:t xml:space="preserve">6.7.2 Model Fairness</w:t>
      </w:r>
    </w:p>
    <w:p>
      <w:pPr>
        <w:pStyle w:val="FirstParagraph"/>
      </w:pPr>
      <w:r>
        <w:t xml:space="preserve">In recent years, the machine learning field has begun to recognize the need to evaluate model fairness when algorithms are used to inform important decisions (e.g., healthcare services offered, eligibility for loans, early parole). Algorithms that perform favorably for only majority group members may exacerbate existing disparities in access to resources and important clinical outcomes</w:t>
      </w:r>
      <w:r>
        <w:t xml:space="preserve"> </w:t>
      </w:r>
      <w:r>
        <w:t xml:space="preserve">(Veinot et al., 2018)</w:t>
      </w:r>
      <w:r>
        <w:t xml:space="preserve">. In this study, we assessed model fairness by comparing model performance across important subgroups with known disparities in substance use treatment access and/or outcomes - race/ethnicity (non-White and/or Hispanic vs. non-Hispanic White), income (below poverty line vs. above poverty line), and sex at birth (female vs. male).</w:t>
      </w:r>
    </w:p>
    <w:p>
      <w:pPr>
        <w:pStyle w:val="BodyText"/>
      </w:pPr>
      <w:r>
        <w:t xml:space="preserve">All models performed worse for people who were non-White and/or Hispanic, and for people who had an income below the poverty line. The lack of diversity in our training data was likely a key contributor to the poorer model performance in these subgroups. Participants of color were severely underrepresented in our training data (</w:t>
      </w:r>
      <w:r>
        <w:rPr>
          <w:i/>
          <w:iCs/>
        </w:rPr>
        <w:t xml:space="preserve">N</w:t>
      </w:r>
      <w:r>
        <w:t xml:space="preserve"> </w:t>
      </w:r>
      <w:r>
        <w:t xml:space="preserve">= 20, 13%). Individuals below the poverty line were also underrepresented, though to a lesser degree (</w:t>
      </w:r>
      <w:r>
        <w:rPr>
          <w:i/>
          <w:iCs/>
        </w:rPr>
        <w:t xml:space="preserve">N</w:t>
      </w:r>
      <w:r>
        <w:t xml:space="preserve"> </w:t>
      </w:r>
      <w:r>
        <w:t xml:space="preserve">= 49, 32%). Of course, these model comparisons should be considered preliminary and interpreted cautiously because the low sample sizes in some groups (e.g., non-White and/or Hispanic) may reduce the statistical validity of the analyses. Nonetheless, these preliminary results regarding model fairness should motivate further efforts to evaluate and address differences in model performance across groups that differ in SUD treatment access/outcome disparities.</w:t>
      </w:r>
    </w:p>
    <w:p>
      <w:pPr>
        <w:pStyle w:val="BodyText"/>
      </w:pPr>
      <w:r>
        <w:t xml:space="preserve">An obvious solution to this problem involves intentional recruitment for diversity in training data when developing prediction models. For example, we are now working to increase the racial, ethnic, and income diversity of our training data for alcohol lapse prediction while simultaneously optimizing feedback from these models for implementation purposes</w:t>
      </w:r>
      <w:r>
        <w:t xml:space="preserve"> </w:t>
      </w:r>
      <w:r>
        <w:t xml:space="preserve">(Wyant et al., 2025)</w:t>
      </w:r>
      <w:r>
        <w:t xml:space="preserve">. In a separate project, we developed a national recruitment method that enabled us to recruit for racial, ethnic and income diversity while also focusing on much needed diversity across geographic location (e.g., rural vs. urban;</w:t>
      </w:r>
      <w:r>
        <w:t xml:space="preserve"> </w:t>
      </w:r>
      <w:r>
        <w:t xml:space="preserve">(Moshontz et al., 2021)</w:t>
      </w:r>
      <w:r>
        <w:t xml:space="preserve">). We expect geographic diversity in the training data may also be crucial to develop fair models because the features that predict lapse in urban and suburban settings may differ from those that predict lapse in rural environments. If rural participants are not used to train models, the implementation of these models may compound existing disparities in SUD treatment in these communities</w:t>
      </w:r>
      <w:r>
        <w:t xml:space="preserve"> </w:t>
      </w:r>
      <w:r>
        <w:t xml:space="preserve">(Lee et al., 2023; Lister et al., 2020)</w:t>
      </w:r>
      <w:r>
        <w:t xml:space="preserve">.</w:t>
      </w:r>
    </w:p>
    <w:p>
      <w:pPr>
        <w:pStyle w:val="BodyText"/>
      </w:pPr>
      <w:r>
        <w:t xml:space="preserve">Future research can also explore potential computational solutions to mitigate performance disparities that emerge when subgroups are poorly represented in available training data. For example, training data from under-represented subgroups could be up-sampled (e.g., using the synthetic minority oversampling technique), or the cost functions used by the learning algorithms could be adjusted to differentially weigh prediction errors based on participant characteristics. In another vein, modeling approaches that yield idiographic, person-specific models</w:t>
      </w:r>
      <w:r>
        <w:t xml:space="preserve"> </w:t>
      </w:r>
      <w:r>
        <w:t xml:space="preserve">(David et al., 2018; Fisher, 2015; Roche et al., 2014; Wright et al., 2016)</w:t>
      </w:r>
      <w:r>
        <w:t xml:space="preserve"> </w:t>
      </w:r>
      <w:r>
        <w:t xml:space="preserve">may reduce performance disparities across subgroups. For example, we have begun to develop state space models whose parameters can be initialized with priors derived from existing training data but then adjusted over time to fit patterns present within a specific individual’s time-series</w:t>
      </w:r>
      <w:r>
        <w:t xml:space="preserve"> </w:t>
      </w:r>
      <w:r>
        <w:t xml:space="preserve">(Pulick et al., 2025)</w:t>
      </w:r>
      <w:r>
        <w:t xml:space="preserve">. Such models may mitigate issues of unfairness to a large degree because they will weigh the individual’s own data more heavily than group level estimates over time as more data accrue.</w:t>
      </w:r>
    </w:p>
    <w:p>
      <w:pPr>
        <w:pStyle w:val="BodyText"/>
      </w:pPr>
      <w:r>
        <w:t xml:space="preserve">Of note, problems with model fairness can emerge even when subgroups are well-represented in the training data. Our models performed less well for women compared to men despite the fact that women were well-represented in the training data (</w:t>
      </w:r>
      <w:r>
        <w:rPr>
          <w:i/>
          <w:iCs/>
        </w:rPr>
        <w:t xml:space="preserve">N</w:t>
      </w:r>
      <w:r>
        <w:t xml:space="preserve"> </w:t>
      </w:r>
      <w:r>
        <w:t xml:space="preserve">= 74, 49%). Instead, this differential performance may have resulted from more fundamental problems with the features available to the model. We chose our EMA items using domain expertise from decades of research on the factors that predict relapse. However, prior to the 1993 National Institute of Health Revitalization Act</w:t>
      </w:r>
      <w:r>
        <w:t xml:space="preserve"> </w:t>
      </w:r>
      <w:r>
        <w:t xml:space="preserve">(Studies et al., 1994)</w:t>
      </w:r>
      <w:r>
        <w:t xml:space="preserve"> </w:t>
      </w:r>
      <w:r>
        <w:t xml:space="preserve">that mandated the inclusion of minorities and women in research, women were mostly excluded from substance use treatment research due to their childbearing potential</w:t>
      </w:r>
      <w:r>
        <w:t xml:space="preserve"> </w:t>
      </w:r>
      <w:r>
        <w:t xml:space="preserve">(Vannicelli &amp; Nash, 1984)</w:t>
      </w:r>
      <w:r>
        <w:t xml:space="preserve">. As a result, it is possible that our theories about the causes and contributors to relapse are biased toward constructs that are more relevant for men than women. If true, features derived from EMA items that tap these constructs would be expected to under-perform when predicting lapses for women. More research may be needed to identify relapse risk factors for women (e.g., interpersonal relationship problems</w:t>
      </w:r>
      <w:r>
        <w:t xml:space="preserve"> </w:t>
      </w:r>
      <w:r>
        <w:t xml:space="preserve">(Walitzer &amp; Dearing, 2006)</w:t>
      </w:r>
      <w:r>
        <w:t xml:space="preserve">, hormonal changes</w:t>
      </w:r>
      <w:r>
        <w:t xml:space="preserve"> </w:t>
      </w:r>
      <w:r>
        <w:t xml:space="preserve">(McHugh et al., 2018)</w:t>
      </w:r>
      <w:r>
        <w:t xml:space="preserve">), and other groups under-represented in the literature before we can fully address these performance disparities.</w:t>
      </w:r>
    </w:p>
    <w:p>
      <w:pPr>
        <w:pStyle w:val="BodyText"/>
      </w:pPr>
      <w:r>
        <w:t xml:space="preserve">In the meantime, data-driven (bottom-up) approaches can be used to engineer high-dimensional feature sets that are not explicitly grounded in existing, and potentially biased, theories. For example, we have begun to explore the application of natural language processing techniques (e.g., LIWC; topic modeling; BERT</w:t>
      </w:r>
      <w:r>
        <w:t xml:space="preserve"> </w:t>
      </w:r>
      <w:r>
        <w:t xml:space="preserve">(Blei et al., 2003; Devlin et al., 2019; Tausczik &amp; Pennebaker, 2010)</w:t>
      </w:r>
      <w:r>
        <w:t xml:space="preserve">) to text messages and other social media activity by our participants to engineer features that may predict future lapses. Such features may or may not align with existing theories about relapse, but because they are anchored to participants’ own words, they may serve as reliable indicators of lapse risk for certain individuals, particularly when used within learning algorithms that employ feature selection, regularization, or other techniques to address the bias-variance trade-off with high-dimensional feature sets. Furthermore, emerging techniques for interpreting machine learning models</w:t>
      </w:r>
      <w:r>
        <w:t xml:space="preserve"> </w:t>
      </w:r>
      <w:r>
        <w:t xml:space="preserve">(Molnar, 2022)</w:t>
      </w:r>
      <w:r>
        <w:t xml:space="preserve"> </w:t>
      </w:r>
      <w:r>
        <w:t xml:space="preserve">can be applied to models that perform well to bootstrap the identification of new lapse risk constructs based on these novel features.</w:t>
      </w:r>
    </w:p>
    <w:p>
      <w:pPr>
        <w:pStyle w:val="BodyText"/>
      </w:pPr>
      <w:r>
        <w:t xml:space="preserve">Beyond issues of training data representation and lacunae or outright biases in our theories, it is also true that historically marginalized groups that have experienced systemic racism, exclusion, or other stigma around substance use (e.g., societal expectations for women regarding attractiveness, cleanliness and motherhood</w:t>
      </w:r>
      <w:r>
        <w:t xml:space="preserve"> </w:t>
      </w:r>
      <w:r>
        <w:t xml:space="preserve">(Meyers et al., 2021)</w:t>
      </w:r>
      <w:r>
        <w:t xml:space="preserve">) may feel less trusting in disclosing substance use</w:t>
      </w:r>
      <w:r>
        <w:t xml:space="preserve"> </w:t>
      </w:r>
      <w:r>
        <w:t xml:space="preserve">(Marwick &amp; Boyd, 2018)</w:t>
      </w:r>
      <w:r>
        <w:t xml:space="preserve">. These experiences could prompt some individuals in these subgroups to under-report lapses and/or risk factors, which could also degrade performance and evaluation of our models for these subgroups. We observed relatively comparable percentages of lapses reported among disadvantaged compared to advantaged groups. However, comparable lapse rates do not necessarily confirm comparable reporting accuracy because it is possible that there were systematic differences in lapse rates across groups that were masked by issues of trust.</w:t>
      </w:r>
    </w:p>
    <w:bookmarkEnd w:id="128"/>
    <w:bookmarkStart w:id="131" w:name="model-characterization-1"/>
    <w:p>
      <w:pPr>
        <w:pStyle w:val="Heading3"/>
      </w:pPr>
      <w:r>
        <w:t xml:space="preserve">6.7.3 Model Characterization</w:t>
      </w:r>
    </w:p>
    <w:bookmarkStart w:id="129" w:name="calibration"/>
    <w:p>
      <w:pPr>
        <w:pStyle w:val="Heading4"/>
      </w:pPr>
      <w:r>
        <w:t xml:space="preserve">6.7.3.1 Calibration</w:t>
      </w:r>
    </w:p>
    <w:p>
      <w:pPr>
        <w:pStyle w:val="FirstParagraph"/>
      </w:pPr>
      <w:r>
        <w:t xml:space="preserve">After applying Platt scaling to our predicted probabilities, our models were generally well calibrated with increasing monotonic relationships between calibrated model output and lapse event rates. Well-calibrated probabilities indicate that the predicted probability aligns closely with the true likelihood of an outcome (i.e., a lapse). Our no lag model had excellent calibration. However, the calibration plots suggest that with a longer lag time of 2 weeks, the model tends to over-predict the likelihood of lapses when predicted probabilities were higher.</w:t>
      </w:r>
    </w:p>
    <w:p>
      <w:pPr>
        <w:pStyle w:val="BodyText"/>
      </w:pPr>
      <w:r>
        <w:t xml:space="preserve">This pattern may not necessarily be problematic. Research suggests that people often struggle to interpret probabilistic feedback, especially when it’s provided in raw numerical form</w:t>
      </w:r>
      <w:r>
        <w:t xml:space="preserve"> </w:t>
      </w:r>
      <w:r>
        <w:t xml:space="preserve">(Fagerlin et al., 2007; Zikmund-Fisher, 2013; Zipkin et al., 2014)</w:t>
      </w:r>
      <w:r>
        <w:t xml:space="preserve">. As a result, it may be more effective to communicate risk using coarser categories (e.g., low, medium, or high risk) or through relative changes in risk (e.g., “Your risk of lapse is higher this week compared to last week”). These forms of feedback may be less sensitive to small miscalibrations at the extremes as long as the relationship between predicted probabilities and the observed event rate is monotonic.</w:t>
      </w:r>
    </w:p>
    <w:bookmarkEnd w:id="129"/>
    <w:bookmarkStart w:id="130" w:name="feature-importance-1"/>
    <w:p>
      <w:pPr>
        <w:pStyle w:val="Heading4"/>
      </w:pPr>
      <w:r>
        <w:t xml:space="preserve">6.7.3.2 Feature importance</w:t>
      </w:r>
    </w:p>
    <w:p>
      <w:pPr>
        <w:pStyle w:val="FirstParagraph"/>
      </w:pPr>
      <w:r>
        <w:t xml:space="preserve">The relative ordering of top global features remained somewhat consistent across the no lag and 2-week lagged models. Past use was the most important feature in both models in our dataset. This is not surprising given that our outcome was lapse, and past behavior is often the best predictor of future behavior. This finding also supports decades of clinical research on relapse prevention, where lapses (i.e., single instances of goal inconsistent alcohol use) are seen as powerful precursors to relapse (i.e., full return to harmful drinking;</w:t>
      </w:r>
      <w:r>
        <w:t xml:space="preserve"> </w:t>
      </w:r>
      <w:r>
        <w:t xml:space="preserve">(Marlatt &amp; Gordon, 1985)</w:t>
      </w:r>
      <w:r>
        <w:t xml:space="preserve">). Abstinence self-efficacy emerged as the second most important feature in both models in our dataset, indicating that participants had reasonably accurate insight into their near-term success with maintaining alcohol abstinence. Craving was also an important predictor in both models, suggesting that it may be an important target for intervention to support early recovery efforts.</w:t>
      </w:r>
    </w:p>
    <w:p>
      <w:pPr>
        <w:pStyle w:val="BodyText"/>
      </w:pPr>
      <w:r>
        <w:t xml:space="preserve">Several feature categories displayed sizeable differences in global importance by lag time. The importance of abstinence self-efficacy dropped by more than 50% in the 2-week lagged model relative to the no lag model. This may indicate that self-efficacy during early recovery is unstable even across shorter periods of time such that their current self-efficacy does not strongly predict abstinence success even two weeks into the future. In fact, craving and risky situations become as important as self-efficacy when predicting two-week lagged lapses. It may be that these other experiences are shaping and changing the individual’s self-efficacy rapidly in early recovery. This also suggests that more frequent clinical assessments of self-efficacy as a target for intervention may be needed rather than assuming stability in this construct if initial assessment suggests it is high. Also, our study cannot determine if this differential importance of self-efficacy for immediate vs. lagged lapses persists beyond early recovery (where people may be encouraged to take a</w:t>
      </w:r>
      <w:r>
        <w:t xml:space="preserve"> </w:t>
      </w:r>
      <w:r>
        <w:t xml:space="preserve">“one day at a time”</w:t>
      </w:r>
      <w:r>
        <w:t xml:space="preserve"> </w:t>
      </w:r>
      <w:r>
        <w:t xml:space="preserve">mindset). Self-efficacy may become a more stable predictor of future abstinence success after longer periods of recovery, but our sample was limited to participants in early recovery (&lt;= 8 weeks of abstinence at intake).</w:t>
      </w:r>
    </w:p>
    <w:p>
      <w:pPr>
        <w:pStyle w:val="BodyText"/>
      </w:pPr>
      <w:r>
        <w:t xml:space="preserve">Past use was less important for the 2-week lagged model compared to the no lag model. This indicates that the predictive strength of a lapse on the likelihood of subsequent lapses diminishes to some degree over a relatively short period of time. This is good news and reinforces that single lapses do not always mark a return to consistent patterns of frequent, and potentially harmful, alcohol use. Despite this reduction in importance of past use as a predictor of lagged alcohol use, past use did remain the most important category for two-week lagged lapses. Lapses may provide</w:t>
      </w:r>
      <w:r>
        <w:t xml:space="preserve"> </w:t>
      </w:r>
      <w:r>
        <w:t xml:space="preserve">“teachable moments”</w:t>
      </w:r>
      <w:r>
        <w:t xml:space="preserve"> </w:t>
      </w:r>
      <w:r>
        <w:t xml:space="preserve">that can be used to reinforce recovery motivation, better understand risks, and develop skills to address those risks</w:t>
      </w:r>
      <w:r>
        <w:t xml:space="preserve"> </w:t>
      </w:r>
      <w:r>
        <w:t xml:space="preserve">(K. Witkiewitz &amp; Marlatt, 2007)</w:t>
      </w:r>
      <w:r>
        <w:t xml:space="preserve">. Conversely, lapses should not be ignored because they remain strong predictors of further use.</w:t>
      </w:r>
    </w:p>
    <w:p>
      <w:pPr>
        <w:pStyle w:val="BodyText"/>
      </w:pPr>
      <w:r>
        <w:t xml:space="preserve">Surprisingly, past and anticipated risky situations were more important in the 2-week lagged vs. no lag model, suggesting that the impact of these situations on lapses back to use may be delayed. It may be that persistent exposure to risks is necessary to undermine an abstinence goal and lead to return to alcohol use. Alternatively or additionally, people may also be better able to anticipate future risky situations (e.g., vacations, anniversaries of significant dates) than future acute stressors or even future self-efficacy. Regardless, the increased importance of risky situations for predicting lagged lapses provides an opportunity to intervene prior to the lapse, particularly if the individual is encouraged to assess future risks and/or makes use of a recovery monitoring prediction model.</w:t>
      </w:r>
    </w:p>
    <w:p>
      <w:pPr>
        <w:pStyle w:val="BodyText"/>
      </w:pPr>
      <w:r>
        <w:t xml:space="preserve">We were also surprised that stressful events, pleasant events, and affective state features did not make more important contributions to predictions across models. These constructs are highlighted in numerous theories about addiction and relapse</w:t>
      </w:r>
      <w:r>
        <w:t xml:space="preserve"> </w:t>
      </w:r>
      <w:r>
        <w:t xml:space="preserve">(Marlatt &amp; Gordon, 1985; Rawson et al., 1995; K. Witkiewitz &amp; Marlatt, 2004)</w:t>
      </w:r>
      <w:r>
        <w:t xml:space="preserve"> </w:t>
      </w:r>
      <w:r>
        <w:t xml:space="preserve">and represent targets for intervention in many existing treatments</w:t>
      </w:r>
      <w:r>
        <w:t xml:space="preserve"> </w:t>
      </w:r>
      <w:r>
        <w:t xml:space="preserve">(Bowen et al., 2021; Center for Substance Abuse Treatment, 2006; Liese &amp; Beck, 2022; McHugh et al., 2010)</w:t>
      </w:r>
      <w:r>
        <w:t xml:space="preserve">. It may be that their impact is subsumed within other more powerful features (i.e., past use and self-efficacy). However, this seems unlikely given that the methodology underlying Shapley values allows for a fair distribution of importance among the relevant predictive features even when those features are correlated</w:t>
      </w:r>
      <w:r>
        <w:t xml:space="preserve"> </w:t>
      </w:r>
      <w:r>
        <w:t xml:space="preserve">(Molnar, 2022)</w:t>
      </w:r>
      <w:r>
        <w:t xml:space="preserve">. Alternatively, we may need to more carefully consider the nuanced roles that these constructs play (e.g., within the context of individual coping strategies, social support or environmental factors) in the return to alcohol use during recovery</w:t>
      </w:r>
      <w:r>
        <w:t xml:space="preserve"> </w:t>
      </w:r>
      <w:r>
        <w:t xml:space="preserve">(Fronk et al., 2020)</w:t>
      </w:r>
      <w:r>
        <w:t xml:space="preserve">.</w:t>
      </w:r>
    </w:p>
    <w:bookmarkEnd w:id="130"/>
    <w:bookmarkEnd w:id="131"/>
    <w:bookmarkStart w:id="132" w:name="X5ad29cf6135702ebd29ccbd3207356419a7e287"/>
    <w:p>
      <w:pPr>
        <w:pStyle w:val="Heading3"/>
      </w:pPr>
      <w:r>
        <w:t xml:space="preserve">6.7.4 Additional Limitations and Future Directions</w:t>
      </w:r>
    </w:p>
    <w:p>
      <w:pPr>
        <w:pStyle w:val="FirstParagraph"/>
      </w:pPr>
      <w:r>
        <w:t xml:space="preserve">We believe our lapse prediction models will be most effective when embedded in an RMSS designed to deliver adaptive and personalized continuing care. This system could send daily, weekly, or less frequent messages to users with personalized feedback about their risk of lapse and provide support recommendations tailored to their current recovery needs. This study provides initial support that immediate and lagged prediction models can be trained to high accuracy using EMA for recovery monitoring. Furthermore, locally important features from these models can be used to identify the specific factors that contribute to each lapse risk prediction.</w:t>
      </w:r>
    </w:p>
    <w:p>
      <w:pPr>
        <w:pStyle w:val="BodyText"/>
      </w:pPr>
      <w:r>
        <w:t xml:space="preserve">The no lag model can be used to guide individuals to take immediate, actionable steps to maintain their recovery goals and support them to implement these steps within the RMSS. For example, the RMSS can recommend an embedded urge surfing activity when someone’s immediate risk is driven by strong craving whereas a guided relaxation video can be provided to the user when they report stressful events. Similarly, the RMSS can encourage (and explicitly support) the user to reflect on recent past successes and/or skills they have developed when their self-efficacy is low.</w:t>
      </w:r>
    </w:p>
    <w:p>
      <w:pPr>
        <w:pStyle w:val="BodyText"/>
      </w:pPr>
      <w:r>
        <w:t xml:space="preserve">The 2-week lagged model provides individuals with advanced warning of their lapse risk. This model is well-suited to support recovery needs that cannot be addressed immediately within an RMSS app, such as scheduling positive or pleasant activities, increasing social engagement, or attending a peer-led recovery meeting. To be clear, we do not believe an RMSS app alone will be sufficient to deliver continuing care. We expect individuals will require additional support throughout their recovery from a mental health provider (e.g., motivational enhancement, crisis management, skill building), a peer (e.g., sponsor, support group), or family member. Importantly, these types of supports take time to set up, highlighting the value of this lagged 2-week model.</w:t>
      </w:r>
    </w:p>
    <w:p>
      <w:pPr>
        <w:pStyle w:val="BodyText"/>
      </w:pPr>
      <w:r>
        <w:t xml:space="preserve">At this point, it is still unclear the best way to provide risk and support information from our models to people. For an RMSS to be successful, users must trust the system, consistently engage with the system over time, and find the system beneficial. We have recently launched an NIAAA funded project to optimize daily support messages by examining the impact of several key message components (e.g., lapse probability, locally important features, a risk-relevant recovery activity recommendation, the linguistic style and tone of the message) on engagement, trust, clinical outcomes</w:t>
      </w:r>
      <w:r>
        <w:t xml:space="preserve"> </w:t>
      </w:r>
      <w:r>
        <w:t xml:space="preserve">(Wyant et al., 2025)</w:t>
      </w:r>
      <w:r>
        <w:t xml:space="preserve">.</w:t>
      </w:r>
    </w:p>
    <w:p>
      <w:pPr>
        <w:pStyle w:val="BodyText"/>
      </w:pPr>
      <w:r>
        <w:t xml:space="preserve">For a system using lagged models, we can imagine that lags longer than two weeks (i.e., more advanced warning) would be better still. In the present study, we could not train models with lags longer than two weeks because participants only provided lapse reports for up to three months. With the 2-week lagged model, we had approximately 17% fewer labeled observations for training because the first two weeks (out of 12 weeks) of labels for each participant were discarded. This data loss may be one factor that contributed to the decreases in model performance with increases in lag time and we believed that greater data loss (e.g., 25% for a 3-week lag) would not be tenable. We have recently completed data collection on a NIDA funded project where participants provided EMA and other sensed data for up to 12 months</w:t>
      </w:r>
      <w:r>
        <w:t xml:space="preserve"> </w:t>
      </w:r>
      <w:r>
        <w:t xml:space="preserve">(Moshontz et al., 2021)</w:t>
      </w:r>
      <w:r>
        <w:t xml:space="preserve">. These data will allow us to train models with longer lags and to better evaluate the impact of data loss on model performance because lag time can be increased substantially with proportionally less data loss given 52 weeks of labeled observations per participant.</w:t>
      </w:r>
    </w:p>
    <w:p>
      <w:pPr>
        <w:pStyle w:val="BodyText"/>
      </w:pPr>
      <w:r>
        <w:t xml:space="preserve">While the number of individual observations (i.e., # prediction timepoints per participant X # participants) was sufficient to train models with low bias, low variance and overall high performance, the relatively small number of unique participants remains an important limitation of this study. Successful machine learning models must generalize well to new data (i.e. new observations among new individuals). Our analyses only speak to how well our models generalize to a small number of new individuals and these individuals are mostly homogeneous with respect to key demographic characteristics. To be clear, we made the most efficient use of our sample (i.e., using nested cross-validation to maximize the amount of held-out/test sets available for model evaluation); however, concerns about the generalizability to new individuals and other populations (e.g., individuals living in rural locations, members of other diverse groups not adequately represented in our sample) remain.</w:t>
      </w:r>
    </w:p>
    <w:p>
      <w:pPr>
        <w:pStyle w:val="BodyText"/>
      </w:pPr>
      <w:r>
        <w:t xml:space="preserve">Additionally, our use of features from 4x daily EMA as model inputs may raise concerns about measurement burden. We confirmed that participants can comply with such EMA schedules over this time period and that they find it acceptable given its potential benefits to them</w:t>
      </w:r>
      <w:r>
        <w:t xml:space="preserve"> </w:t>
      </w:r>
      <w:r>
        <w:t xml:space="preserve">(Wyant et al., 2023; see also Jones et al., 2019)</w:t>
      </w:r>
      <w:r>
        <w:t xml:space="preserve">. However, frequent daily surveys may become too burdensome within an RMSS intended for use over many, many months to years for long-term continuing care. We have begun to address this concern by training no lag models with fewer EMAs (1x daily) and have found comparable performance</w:t>
      </w:r>
      <w:r>
        <w:t xml:space="preserve"> </w:t>
      </w:r>
      <w:r>
        <w:t xml:space="preserve">(Pulick et al., 2025)</w:t>
      </w:r>
      <w:r>
        <w:t xml:space="preserve">. Additionally, reinforcement learning could potentially be used for adaptive EMA sampling. For example, each day the algorithm could make a decision to send out an EMA or not based on inferred latent states of the individual based on previous EMA responses and predicted probability of lapse.</w:t>
      </w:r>
    </w:p>
    <w:p>
      <w:pPr>
        <w:pStyle w:val="BodyText"/>
      </w:pPr>
      <w:r>
        <w:t xml:space="preserve">We have also begun to explore how we can supplement our models with data from lower burden sensing methods. Geolocation, which can be passively sensed, could compliment EMA well</w:t>
      </w:r>
      <w:r>
        <w:t xml:space="preserve"> </w:t>
      </w:r>
      <w:r>
        <w:t xml:space="preserve">(S. W. Bae et al., 2023)</w:t>
      </w:r>
      <w:r>
        <w:t xml:space="preserve">. First, it could provide insight into information not easily captured by self-report without lengthy surveys. For example, the amount of time spent in risky locations, or changes in routine (e.g., loss of job; move to new city) that could indicate life stressors can be detected in movement patterns. Second, the near-continuous sampling of geolocation could offer risk-relevant information that would otherwise be missed in between the discrete sampling periods of EMA. Furthermore, potentially powerful features can be engineered by combining geolocation data with contextual information available in public sources (e.g., census data, alcohol outlet density)</w:t>
      </w:r>
      <w:r>
        <w:t xml:space="preserve"> </w:t>
      </w:r>
      <w:r>
        <w:t xml:space="preserve">(Huang et al., 2010; Xie et al., 2009)</w:t>
      </w:r>
      <w:r>
        <w:t xml:space="preserve"> </w:t>
      </w:r>
      <w:r>
        <w:t xml:space="preserve">or collected from the user directly (e.g., self-evaluated riskiness of a given location)</w:t>
      </w:r>
      <w:r>
        <w:t xml:space="preserve"> </w:t>
      </w:r>
      <w:r>
        <w:t xml:space="preserve">(Moshontz et al., 2021)</w:t>
      </w:r>
      <w:r>
        <w:t xml:space="preserve">.</w:t>
      </w:r>
    </w:p>
    <w:bookmarkEnd w:id="132"/>
    <w:bookmarkStart w:id="133" w:name="conclusions"/>
    <w:p>
      <w:pPr>
        <w:pStyle w:val="Heading3"/>
      </w:pPr>
      <w:r>
        <w:t xml:space="preserve">6.7.5 Conclusions</w:t>
      </w:r>
    </w:p>
    <w:p>
      <w:pPr>
        <w:pStyle w:val="FirstParagraph"/>
      </w:pPr>
      <w:r>
        <w:t xml:space="preserve">This study suggests it is possible to accurately predict alcohol lapses both immediately and up to two weeks into the future using lagged machine learning prediction models. The no lag model could guide users to engage with a smart RMSS that provides daily recovery activities that are personalized to their lapse risk and the factors contributing to that risk. The 2-week lagged model could enable patients to seek out and implement recovery support that is not immediately available to them within the RMSS. Several important steps remain prior to implementing the no lag and 2-week lagged models within a smart RMSS. Feedback and support messages from these models should be optimized to sustain system engagement, trust, and clinical outcomes. Passive sensing of model inputs may allow assessment of a broader range of risk factors with less burden for system users. Perhaps most important, model fairness must be improved by decreasing disparities in performance for less privileged groups. We remain optimistic about the potential to implement these models within a smart RMSS because these barriers, while challenging, are surmountable.</w:t>
      </w:r>
    </w:p>
    <w:bookmarkEnd w:id="133"/>
    <w:bookmarkEnd w:id="134"/>
    <w:bookmarkEnd w:id="135"/>
    <w:bookmarkStart w:id="193" w:name="X902f2bd5944083ad171e87a58950d03a7ec89b3"/>
    <w:p>
      <w:pPr>
        <w:pStyle w:val="Heading1"/>
      </w:pPr>
      <w:r>
        <w:t xml:space="preserve">7. Using smartphone sensing and machine learning for personalized daily lapse risk prediction in a national sample of people with opioid use disorder</w:t>
      </w:r>
    </w:p>
    <w:bookmarkStart w:id="136" w:name="introduction-3"/>
    <w:p>
      <w:pPr>
        <w:pStyle w:val="Heading2"/>
      </w:pPr>
      <w:r>
        <w:t xml:space="preserve">7.1 Introduction</w:t>
      </w:r>
    </w:p>
    <w:p>
      <w:pPr>
        <w:pStyle w:val="FirstParagraph"/>
      </w:pPr>
      <w:r>
        <w:t xml:space="preserve">About 4.5 million adults in the United States met criteria for opioid use disorder (OUD) in 2024</w:t>
      </w:r>
      <w:r>
        <w:t xml:space="preserve"> </w:t>
      </w:r>
      <w:r>
        <w:t xml:space="preserve">(Substance Abuse and Mental Health Services Administration, n.d.)</w:t>
      </w:r>
      <w:r>
        <w:t xml:space="preserve">. OUD is associated with increased rates of mortality and morbidity, including infectious disease, psychiatric comorbidity, and disability</w:t>
      </w:r>
      <w:r>
        <w:t xml:space="preserve"> </w:t>
      </w:r>
      <w:r>
        <w:t xml:space="preserve">(Hser et al., 2017)</w:t>
      </w:r>
      <w:r>
        <w:t xml:space="preserve">. The societal burden of untreated OUD is substantial. The combined economic costs of lost productivity, health care expenditures, criminal justice involvement, loss of life, and reduced quality of life have been estimated to exceed $1 trillion</w:t>
      </w:r>
      <w:r>
        <w:t xml:space="preserve"> </w:t>
      </w:r>
      <w:r>
        <w:t xml:space="preserve">(Florence et al., 2021)</w:t>
      </w:r>
      <w:r>
        <w:t xml:space="preserve">.</w:t>
      </w:r>
    </w:p>
    <w:p>
      <w:pPr>
        <w:pStyle w:val="BodyText"/>
      </w:pPr>
      <w:r>
        <w:t xml:space="preserve">Medications for opioid use disorder (MOUD), including methadone and buprenorphine, are effective at reducing opioid use, craving, and overdose risk</w:t>
      </w:r>
      <w:r>
        <w:t xml:space="preserve"> </w:t>
      </w:r>
      <w:r>
        <w:t xml:space="preserve">(Ma et al., 2019)</w:t>
      </w:r>
      <w:r>
        <w:t xml:space="preserve">. They are also associated with improvements in mental health and social functioning, particularly when maintained over extended periods. However, despite strong evidence for MOUD, access remains limited.</w:t>
      </w:r>
    </w:p>
    <w:p>
      <w:pPr>
        <w:pStyle w:val="BodyText"/>
      </w:pPr>
      <w:r>
        <w:t xml:space="preserve">Even among individuals retained in treatment, lapses are frequent and confer a critical period of risk for treatment dropout, relapse, and overdose</w:t>
      </w:r>
      <w:r>
        <w:t xml:space="preserve"> </w:t>
      </w:r>
      <w:r>
        <w:t xml:space="preserve">(Heinz et al., 2025; Weinstein et al., 2017)</w:t>
      </w:r>
      <w:r>
        <w:t xml:space="preserve">. Opioid lapses are particularly high-risk events. Reduced opioid tolerance (e.g., after a period of abstinence) and the increasing prevalence of fentanyl and other synthetic opioids in the drug supply substantially increase the likelihood of fatal overdose.</w:t>
      </w:r>
    </w:p>
    <w:p>
      <w:pPr>
        <w:pStyle w:val="BodyText"/>
      </w:pPr>
      <w:r>
        <w:t xml:space="preserve">Identifying vulnerable periods of high lapse risk and contextualizing that risk (i.e.,</w:t>
      </w:r>
      <w:r>
        <w:t xml:space="preserve"> </w:t>
      </w:r>
      <w:r>
        <w:rPr>
          <w:i/>
          <w:iCs/>
        </w:rPr>
        <w:t xml:space="preserve">Why</w:t>
      </w:r>
      <w:r>
        <w:t xml:space="preserve"> </w:t>
      </w:r>
      <w:r>
        <w:t xml:space="preserve">risk is high) could enable individuals to take proactive action to prevent lapse. However, the risk factors that precipitate lapses are highly individualized, numerous, dynamic, and interactive. The optimal supports to address these risks vary both across individuals and within individuals over time. Thus, effective interventions must be personalized to both the individual and the moment to meet the complex and changing needs of people in recovery.</w:t>
      </w:r>
    </w:p>
    <w:p>
      <w:pPr>
        <w:pStyle w:val="BodyText"/>
      </w:pPr>
      <w:r>
        <w:t xml:space="preserve">Advances in smartphone sensing methods, including brief daily self-report surveys and passive geolocation sensing, offer a powerful way to collect densely sampled risk-relevant data</w:t>
      </w:r>
      <w:r>
        <w:t xml:space="preserve"> </w:t>
      </w:r>
      <w:r>
        <w:t xml:space="preserve">(Mohr et al., 2017)</w:t>
      </w:r>
      <w:r>
        <w:t xml:space="preserve">. These data can be used as inputs into machine learning models to generate temporally precise predictions of lapse risk</w:t>
      </w:r>
      <w:r>
        <w:t xml:space="preserve"> </w:t>
      </w:r>
      <w:r>
        <w:t xml:space="preserve">(Heinz et al., 2025)</w:t>
      </w:r>
      <w:r>
        <w:t xml:space="preserve">. Methods from interpretable machine learning can be used to identify personalized predictors of risk at any moment in time</w:t>
      </w:r>
      <w:r>
        <w:t xml:space="preserve"> </w:t>
      </w:r>
      <w:r>
        <w:t xml:space="preserve">(Molnar, 2022)</w:t>
      </w:r>
      <w:r>
        <w:t xml:space="preserve">.</w:t>
      </w:r>
    </w:p>
    <w:p>
      <w:pPr>
        <w:pStyle w:val="BodyText"/>
      </w:pPr>
      <w:r>
        <w:t xml:space="preserve">Daily self-report surveys can reliably collect proximal risk factors for lapse, such as recent craving, abstinence self-efficacy, risky situations, and substance use behaviors. Research suggests that individuals can adhere to self-report sensing methods while using substances</w:t>
      </w:r>
      <w:r>
        <w:t xml:space="preserve"> </w:t>
      </w:r>
      <w:r>
        <w:t xml:space="preserve">(Jones et al., 2019; Wyant et al., 2023)</w:t>
      </w:r>
      <w:r>
        <w:t xml:space="preserve">. However, it is less clear to what extent people in recovery from illicit substance use disorders can, or are willing to, report risk information accurately enough to develop prediction models. People with substance use disorders (SUD) may experience greater instability in their day-to-day lives (e.g., stigma or legal consequences may make access to healthcare, stable housing, or supportive relationships more difficult). This instability could make it difficult to recall and report recent behaviors and events promptly or accurately. It may also skew baseline perceptions of what constitutes a risky or stressful experience.</w:t>
      </w:r>
    </w:p>
    <w:p>
      <w:pPr>
        <w:pStyle w:val="BodyText"/>
      </w:pPr>
      <w:r>
        <w:t xml:space="preserve">Supplementing self-report data with passively sensed geolocation data could make up for imprecise reports of risk factors or be used for lapse prediction during periods of non-adherence to self-report surveys. Moreover, geolocation data could provide a complementary and distinct set of intervenable features. For example, geolocation data may provide insight into time spent in risky locations or changes in routine (e.g., job loss) that may indicate life stressors. These features may become even more powerful when combined with contextual information from public sources (e.g., census data, alcohol outlet density) or from self-report (e.g., self-evaluated riskiness of specific locations). Geolocation data have been demonstrated to contain sufficient signal for predicting craving</w:t>
      </w:r>
      <w:r>
        <w:t xml:space="preserve"> </w:t>
      </w:r>
      <w:r>
        <w:t xml:space="preserve">(Epstein et al., 2020)</w:t>
      </w:r>
      <w:r>
        <w:t xml:space="preserve">, a putative precursor to opioid lapse, and therefore represent a promising sensing method for predicting lapse risk.</w:t>
      </w:r>
    </w:p>
    <w:p>
      <w:pPr>
        <w:pStyle w:val="BodyText"/>
      </w:pPr>
      <w:r>
        <w:t xml:space="preserve">In the current study, we developed a machine learning model that predicts next-day opioid lapse risk using daily self-report and geolocation sensing data. Our study has several notable strengths. First, we recruited a national sample of participants across the United States who were diverse in regard to race and ethnicity, income, gender, sexual orientation, and geographic location. Second, participants provided sensing data and opioid lapse reports for up to one year, a duration that exceeds previously published SUD prediction studies and allowed us to capture longer-term recovery trajectories. Third, our sample consisted of patients in early recovery from OUD receiving MOUD, ensuring that the study population closely reflected the intended clinical audience for our model. Fourth, we explicitly evaluated model performance across demographic subgroups to assess algorithmic fairness. Finally, we identified the most influential predictors using two complementary quantitative approaches, providing insight into the features that drive lapse risk predictions.</w:t>
      </w:r>
    </w:p>
    <w:bookmarkEnd w:id="136"/>
    <w:bookmarkStart w:id="157" w:name="methods-1"/>
    <w:p>
      <w:pPr>
        <w:pStyle w:val="Heading2"/>
      </w:pPr>
      <w:r>
        <w:t xml:space="preserve">7.2 Methods</w:t>
      </w:r>
    </w:p>
    <w:bookmarkStart w:id="139" w:name="transparency-and-openness-1"/>
    <w:p>
      <w:pPr>
        <w:pStyle w:val="Heading3"/>
      </w:pPr>
      <w:r>
        <w:t xml:space="preserve">7.2.1 Transparency and Openness</w:t>
      </w:r>
    </w:p>
    <w:p>
      <w:pPr>
        <w:pStyle w:val="FirstParagraph"/>
      </w:pPr>
      <w:r>
        <w:t xml:space="preserve">We adhere to research transparency principles that are crucial for robust and replicable science. First, we published this study’s protocol as a registered report (International Registered Report Identifier [IRRID]: DERR1-10.2196/29563) during the initial enrollment of pilot participants</w:t>
      </w:r>
      <w:r>
        <w:t xml:space="preserve"> </w:t>
      </w:r>
      <w:r>
        <w:t xml:space="preserve">(Moshontz et al., 2021)</w:t>
      </w:r>
      <w:r>
        <w:t xml:space="preserve">. Second, we followed the Transparent Reporting of a multivariable prediction model for Individual Prognosis Or Diagnosis extension for Artificial Intelligence (TRIPOD+AI) guidelines</w:t>
      </w:r>
      <w:r>
        <w:t xml:space="preserve"> </w:t>
      </w:r>
      <w:r>
        <w:t xml:space="preserve">(G. S. Collins et al., 2024)</w:t>
      </w:r>
      <w:r>
        <w:t xml:space="preserve">. Finally, our features, labels, questionnaires, and other study materials are publicly available on our OSF page (</w:t>
      </w:r>
      <w:hyperlink r:id="rId137">
        <w:r>
          <w:rPr>
            <w:rStyle w:val="Hyperlink"/>
          </w:rPr>
          <w:t xml:space="preserve">https://osf.io/zvm7s/overview</w:t>
        </w:r>
      </w:hyperlink>
      <w:r>
        <w:t xml:space="preserve">) and our annotated analysis scripts and results are publicly available on our study website (</w:t>
      </w:r>
      <w:hyperlink r:id="rId138">
        <w:r>
          <w:rPr>
            <w:rStyle w:val="Hyperlink"/>
          </w:rPr>
          <w:t xml:space="preserve">https://jjcurtin.github.io/study_risk2/</w:t>
        </w:r>
      </w:hyperlink>
      <w:r>
        <w:t xml:space="preserve">).</w:t>
      </w:r>
      <w:r>
        <w:t xml:space="preserve"> </w:t>
      </w:r>
    </w:p>
    <w:bookmarkEnd w:id="139"/>
    <w:bookmarkStart w:id="140" w:name="participants-2"/>
    <w:p>
      <w:pPr>
        <w:pStyle w:val="Heading3"/>
      </w:pPr>
      <w:r>
        <w:t xml:space="preserve">7.2.2 Participants</w:t>
      </w:r>
    </w:p>
    <w:p>
      <w:pPr>
        <w:pStyle w:val="FirstParagraph"/>
      </w:pPr>
      <w:r>
        <w:t xml:space="preserve">We recruited participants in early recovery from opioid use disorder from across the United States. We recruited through national digital advertising and collaborations with treatment providers at MOUD clinics. Our recruitment strategy was designed to create a diverse sample with respect to demographics (gender, age, race, and ethnicity), and geographic location (urban and rural). We required participants:</w:t>
      </w:r>
    </w:p>
    <w:p>
      <w:pPr>
        <w:pStyle w:val="Compact"/>
        <w:numPr>
          <w:ilvl w:val="0"/>
          <w:numId w:val="1006"/>
        </w:numPr>
      </w:pPr>
      <w:r>
        <w:t xml:space="preserve">were age 18 or older,</w:t>
      </w:r>
    </w:p>
    <w:p>
      <w:pPr>
        <w:pStyle w:val="Compact"/>
        <w:numPr>
          <w:ilvl w:val="0"/>
          <w:numId w:val="1006"/>
        </w:numPr>
      </w:pPr>
      <w:r>
        <w:t xml:space="preserve">could read, write, and speak in English,</w:t>
      </w:r>
    </w:p>
    <w:p>
      <w:pPr>
        <w:pStyle w:val="Compact"/>
        <w:numPr>
          <w:ilvl w:val="0"/>
          <w:numId w:val="1006"/>
        </w:numPr>
      </w:pPr>
      <w:r>
        <w:t xml:space="preserve">were enrolled in and adherent with an MOUD program for at least 1 month but no longer than 12 months or enrolled in or recently completed a day treatment program, and</w:t>
      </w:r>
    </w:p>
    <w:p>
      <w:pPr>
        <w:pStyle w:val="Compact"/>
        <w:numPr>
          <w:ilvl w:val="0"/>
          <w:numId w:val="1006"/>
        </w:numPr>
      </w:pPr>
      <w:r>
        <w:t xml:space="preserve">had an Android smartphone with an active data plan.</w:t>
      </w:r>
    </w:p>
    <w:p>
      <w:pPr>
        <w:pStyle w:val="FirstParagraph"/>
      </w:pPr>
      <w:r>
        <w:t xml:space="preserve">We did not exclude participants for comorbid substance use or other psychiatric disorders.</w:t>
      </w:r>
    </w:p>
    <w:bookmarkEnd w:id="140"/>
    <w:bookmarkStart w:id="143" w:name="procedure-2"/>
    <w:p>
      <w:pPr>
        <w:pStyle w:val="Heading3"/>
      </w:pPr>
      <w:r>
        <w:t xml:space="preserve">7.2.3 Procedure</w:t>
      </w:r>
    </w:p>
    <w:p>
      <w:pPr>
        <w:pStyle w:val="FirstParagraph"/>
      </w:pPr>
      <w:r>
        <w:t xml:space="preserve">Participants completed three video or phone visits over approximately 12 months. During the enrollment visit, study staff obtained written informed consent and collected demographic information. They walked participants through how to download the Smart Technology for Addiction Recovery (STAR) study app, provided a set of video tutorials to learn how to use the app, and instructed participants to complete the intake survey within the app. The STAR app was developed by the UW Madison Center for Health Enhancement Systems Studies and used for all data collection. Within the app participants could control their data sharing options, monitor completed study tasks, receive reminder notifications about tasks, message staff, and access STAR’s suite of resources and tools for people in recovery from AUD</w:t>
      </w:r>
      <w:r>
        <w:t xml:space="preserve"> </w:t>
      </w:r>
      <w:r>
        <w:t xml:space="preserve">(Gustafson et al., 2014)</w:t>
      </w:r>
      <w:r>
        <w:t xml:space="preserve">. Enrolled participants met with study staff one week later to troubleshoot technical issues. At the end of the study enrollment period participants met briefly with study staff for a debriefing session. While on study, participants were expected to complete daily surveys, monthly surveys, and share geolocation sensing data. Other sensing data streams (i.e., daily video check-ins, cellular communications, and app usage data) were collected as part of the parent grant’s aims (NIDA R01 DA047315). All procedures were approved by the University of Wisconsin-Madison Institutional Review Board (Study #2019-0656).</w:t>
      </w:r>
    </w:p>
    <w:p>
      <w:pPr>
        <w:pStyle w:val="BodyText"/>
      </w:pPr>
      <w:r>
        <w:t xml:space="preserve">Participants were compensated $40 for completing the enrollment visit and watching the STAR video tutorials and $10 for the two follow-up phone visits. Participants were compensated $10 per month for the monthly survey, up to $15 per month for the daily surveys</w:t>
      </w:r>
      <w:r>
        <w:rPr>
          <w:rStyle w:val="FootnoteReference"/>
        </w:rPr>
        <w:footnoteReference w:id="141"/>
      </w:r>
      <w:r>
        <w:t xml:space="preserve">, and $5 per month for sharing geolocation data.</w:t>
      </w:r>
      <w:r>
        <w:rPr>
          <w:rStyle w:val="FootnoteReference"/>
        </w:rPr>
        <w:footnoteReference w:id="142"/>
      </w:r>
      <w:r>
        <w:t xml:space="preserve"> </w:t>
      </w:r>
      <w:r>
        <w:t xml:space="preserve">Participants were also paid $50 per month to offset the cost of maintaining a cellphone data plan.</w:t>
      </w:r>
    </w:p>
    <w:bookmarkEnd w:id="143"/>
    <w:bookmarkStart w:id="147" w:name="measures-2"/>
    <w:p>
      <w:pPr>
        <w:pStyle w:val="Heading3"/>
      </w:pPr>
      <w:r>
        <w:t xml:space="preserve">7.2.4 Measures</w:t>
      </w:r>
    </w:p>
    <w:bookmarkStart w:id="144" w:name="individual-differences-1"/>
    <w:p>
      <w:pPr>
        <w:pStyle w:val="Heading4"/>
      </w:pPr>
      <w:r>
        <w:t xml:space="preserve">7.2.4.1 Individual Differences</w:t>
      </w:r>
    </w:p>
    <w:p>
      <w:pPr>
        <w:pStyle w:val="FirstParagraph"/>
      </w:pPr>
      <w:r>
        <w:t xml:space="preserve">We collected self-report information about demographics (age, gender, sexual orientation, race, ethnicity, education, employment, and income). Zip codes from participants’ reported home addresses were linked to Rural–Urban Commuting Area (RUCA) codes to characterize the rural–urban status of their residences</w:t>
      </w:r>
      <w:r>
        <w:t xml:space="preserve"> </w:t>
      </w:r>
      <w:r>
        <w:t xml:space="preserve">(Economic Research Service US Department of Agriculture, n.d.)</w:t>
      </w:r>
      <w:r>
        <w:t xml:space="preserve">. These variables were collected to characterize our sample. They were also included as features in our model to allow for potential interactions with the sensing features and control for demographic differences on lapse risk. Demographic variables with some evidence for influencing OUD treatment access and clinical outcomes and/or carrying general societal stigma (gender, race/ethnicity, income, sexual orientation, and geographic location) were used to perform subgroup analyses for evaluating model fairness</w:t>
      </w:r>
      <w:r>
        <w:t xml:space="preserve"> </w:t>
      </w:r>
      <w:r>
        <w:t xml:space="preserve">(Greenfield et al., 2007; Kilaru et al., 2020; Lofaro et al., 2025; Martin et al., 2022; Olfson et al., 2022; Pinedo, 2019; Xin et al., 2023)</w:t>
      </w:r>
      <w:r>
        <w:t xml:space="preserve">.</w:t>
      </w:r>
    </w:p>
    <w:p>
      <w:pPr>
        <w:pStyle w:val="BodyText"/>
      </w:pPr>
      <w:r>
        <w:t xml:space="preserve">We collected information about OUD history to characterize OUD severity and recovery stability across our sample. These measures included self-reported Diagnostic and Statistical Manual of Mental Disorders, Fifth Edition OUD symptoms</w:t>
      </w:r>
      <w:r>
        <w:t xml:space="preserve"> </w:t>
      </w:r>
      <w:r>
        <w:t xml:space="preserve">(American Psychiatric Association, 2022)</w:t>
      </w:r>
      <w:r>
        <w:t xml:space="preserve">, past month opioid use, past month residential treatment for OUD, past month receipt of psychiatric medication, preferred opioid, preferred route of administration, and lifetime history of overdose. As part of the aims of the parent project, we collected many other trait and state measures throughout the study. A complete list of all measures can be found in our registered report</w:t>
      </w:r>
      <w:r>
        <w:t xml:space="preserve"> </w:t>
      </w:r>
      <w:r>
        <w:t xml:space="preserve">(Moshontz et al., 2021)</w:t>
      </w:r>
      <w:r>
        <w:t xml:space="preserve">.</w:t>
      </w:r>
    </w:p>
    <w:bookmarkEnd w:id="144"/>
    <w:bookmarkStart w:id="145" w:name="daily-survey"/>
    <w:p>
      <w:pPr>
        <w:pStyle w:val="Heading4"/>
      </w:pPr>
      <w:r>
        <w:t xml:space="preserve">7.2.4.2 Daily Survey</w:t>
      </w:r>
    </w:p>
    <w:p>
      <w:pPr>
        <w:pStyle w:val="FirstParagraph"/>
      </w:pPr>
      <w:r>
        <w:t xml:space="preserve">Participants completed a brief (1-2 minute) 16-item daily survey each day on study through the STAR app. The daily survey became available in the app at 5:00 AM CST each morning and participants had 24 hours to complete it. Participants could enable push notifications for reminder prompts to complete the survey. Participants reported opioid lapses on the first daily survey item. If participants responded</w:t>
      </w:r>
      <w:r>
        <w:t xml:space="preserve"> </w:t>
      </w:r>
      <w:r>
        <w:t xml:space="preserve">“yes”</w:t>
      </w:r>
      <w:r>
        <w:t xml:space="preserve"> </w:t>
      </w:r>
      <w:r>
        <w:t xml:space="preserve">to the question</w:t>
      </w:r>
      <w:r>
        <w:t xml:space="preserve"> </w:t>
      </w:r>
      <w:r>
        <w:t xml:space="preserve">“Have you used any opioids for non-medical reasons that you have not yet reported?”</w:t>
      </w:r>
      <w:r>
        <w:t xml:space="preserve">, they were prompted to select the day(s) and time(s) of the lapse(s). Times were reported in 6-hour increments (12:00am–5:59am, 6:00am–11:59am, 12:00pm–5:59pm, 6:00pm–11:59pm). These reports served as the primary outcome for the lapse risk prediction model. On the remaining 15 items, participants reported any other drugs that they had used, whether they took their MOUD as prescribed in the past 24 hours, and rated the maximum intensity of recent (i.e., in the past 24 hours) experiences of pain, craving, risky situations, stressful events, and pleasant events. They also rated their sleep and how depressed, angry, anxious, relaxed, and happy they have felt in the past 24 hours. Lastly, participants responded to 2 future-facing items that asked about participants’ motivation and confidence to continue to avoid using opioids for non-medical reasons over the next week.</w:t>
      </w:r>
    </w:p>
    <w:bookmarkEnd w:id="145"/>
    <w:bookmarkStart w:id="146" w:name="geolocation-sensing"/>
    <w:p>
      <w:pPr>
        <w:pStyle w:val="Heading4"/>
      </w:pPr>
      <w:r>
        <w:t xml:space="preserve">7.2.4.3 Geolocation Sensing</w:t>
      </w:r>
    </w:p>
    <w:p>
      <w:pPr>
        <w:pStyle w:val="FirstParagraph"/>
      </w:pPr>
      <w:r>
        <w:t xml:space="preserve">The STAR app passively recorded participants’ time-stamped geolocations (i.e., latitude and longitude) every 1.5-15 minutes, depending on their movement. We augmented the geolocation data with self-reported subjective context. On each monthly survey participants were asked 6 questions about frequently visited locations (i.e., locations that the participant spent more than 3 minutes on 2 or more times in a month) from the previous month. Participants were asked to describe the type of place, what they typically do there, the general frequency of pleasant and unpleasant experiences at the location, and the extent to which spending time there helps or harms their recovery.</w:t>
      </w:r>
      <w:r>
        <w:t xml:space="preserve"> </w:t>
      </w:r>
    </w:p>
    <w:bookmarkEnd w:id="146"/>
    <w:bookmarkEnd w:id="147"/>
    <w:bookmarkStart w:id="156" w:name="data-analytic-strategy-2"/>
    <w:p>
      <w:pPr>
        <w:pStyle w:val="Heading3"/>
      </w:pPr>
      <w:r>
        <w:t xml:space="preserve">7.2.5 Data Analytic Strategy</w:t>
      </w:r>
    </w:p>
    <w:p>
      <w:pPr>
        <w:pStyle w:val="FirstParagraph"/>
      </w:pPr>
      <w:r>
        <w:t xml:space="preserve">Data preprocessing, modeling, and Bayesian analyses were done in R using the tidymodels ecosystem</w:t>
      </w:r>
      <w:r>
        <w:t xml:space="preserve"> </w:t>
      </w:r>
      <w:r>
        <w:t xml:space="preserve">(Goodrich et al., 2023; Kuhn, 2022; Kuhn &amp; Wickham, 2020)</w:t>
      </w:r>
      <w:r>
        <w:t xml:space="preserve">. Models were trained and evaluated using high-throughput computing resources provided by the University of Wisconsin Center for High Throughput Computing</w:t>
      </w:r>
      <w:r>
        <w:t xml:space="preserve"> </w:t>
      </w:r>
      <w:r>
        <w:t xml:space="preserve">(Center for High Throughput Computing, 2006)</w:t>
      </w:r>
      <w:r>
        <w:t xml:space="preserve">.</w:t>
      </w:r>
    </w:p>
    <w:bookmarkStart w:id="148" w:name="feature-engineering-2"/>
    <w:p>
      <w:pPr>
        <w:pStyle w:val="Heading4"/>
      </w:pPr>
      <w:r>
        <w:t xml:space="preserve">7.2.5.1 Feature Engineering</w:t>
      </w:r>
    </w:p>
    <w:p>
      <w:pPr>
        <w:pStyle w:val="FirstParagraph"/>
      </w:pPr>
      <w:r>
        <w:t xml:space="preserve">Features were calculated using only data collected before the start of each prediction window to ensure our models were making true future predictions. We calculated a total of 297 features from three data sources:</w:t>
      </w:r>
    </w:p>
    <w:p>
      <w:pPr>
        <w:numPr>
          <w:ilvl w:val="0"/>
          <w:numId w:val="1007"/>
        </w:numPr>
      </w:pPr>
      <w:r>
        <w:rPr>
          <w:i/>
          <w:iCs/>
        </w:rPr>
        <w:t xml:space="preserve">The prediction window day.</w:t>
      </w:r>
      <w:r>
        <w:t xml:space="preserve"> </w:t>
      </w:r>
      <w:r>
        <w:t xml:space="preserve">We created one-hot coded features for day of the week for the start of the prediction window.</w:t>
      </w:r>
    </w:p>
    <w:p>
      <w:pPr>
        <w:numPr>
          <w:ilvl w:val="0"/>
          <w:numId w:val="1007"/>
        </w:numPr>
      </w:pPr>
      <w:r>
        <w:rPr>
          <w:i/>
          <w:iCs/>
        </w:rPr>
        <w:t xml:space="preserve">Demographic individual differences.</w:t>
      </w:r>
      <w:r>
        <w:t xml:space="preserve"> </w:t>
      </w:r>
      <w:r>
        <w:t xml:space="preserve">For demographics, we created ordinal features for age, education, and income based on predefined response ranges (see</w:t>
      </w:r>
      <w:r>
        <w:t xml:space="preserve"> </w:t>
      </w:r>
      <w:hyperlink w:anchor="tbl-risk2dem">
        <w:r>
          <w:rPr>
            <w:rStyle w:val="Hyperlink"/>
          </w:rPr>
          <w:t xml:space="preserve">Table 6</w:t>
        </w:r>
      </w:hyperlink>
      <w:r>
        <w:t xml:space="preserve"> </w:t>
      </w:r>
      <w:r>
        <w:t xml:space="preserve">for ranges), an ordinal feature for RUCA code associated with home address (range 1-10), and one-hot coded features for gender (male, not male), race and ethnicity (non-Hispanic White, Hispanic and/or not White), orientation (heterosexual, not heterosexual), and employment (employed, not employed/looking for work, not employed/not looking or able to work).</w:t>
      </w:r>
    </w:p>
    <w:p>
      <w:pPr>
        <w:numPr>
          <w:ilvl w:val="0"/>
          <w:numId w:val="1007"/>
        </w:numPr>
      </w:pPr>
      <w:r>
        <w:rPr>
          <w:i/>
          <w:iCs/>
        </w:rPr>
        <w:t xml:space="preserve">Dynamic daily survey and geolocation sensing data.</w:t>
      </w:r>
      <w:r>
        <w:t xml:space="preserve"> </w:t>
      </w:r>
      <w:r>
        <w:t xml:space="preserve">For both sets of sensing features we calculated two types of features: raw and difference features. Raw features represent the feature value calculated within a given scoring epoch (e.g., the maximum urge rating reported on the daily survey during the 168 hours immediately preceding the start of the prediction window). Difference features capture participant-level changes from their baseline scores. Specifically, we subtracted each participant’s mean score for each feature using all available data prior to the prediction window from the associated raw feature (e.g., the participant’s average urge rating across all prior daily surveys subtracted from the maximum urge rating in the preceding 168 hours).</w:t>
      </w:r>
    </w:p>
    <w:p>
      <w:pPr>
        <w:numPr>
          <w:ilvl w:val="0"/>
          <w:numId w:val="1000"/>
        </w:numPr>
      </w:pPr>
      <w:r>
        <w:t xml:space="preserve">For the daily survey, we calculated raw and difference features for the most recent and the min, max, and median responses in the 168 hours preceeding the start of the prediciton window for the 13 5-point likert scale items (items 4-16; pain, urge, risky situation, stressful event, pleasant event, sleep, depressed, angry, anxious, relaxed, happy, abstinence motivation, and abstinence confidence). We also calculated raw and difference rate features based on counts of previous opioid lapses, other drug use, missed MOUD doses (items 1-3), and completed daily surveys in 24 and 168-hour feature scoring epochs (e.g., counts of opioid lapses within the 168 hours preceding the start of a prediction window divided by 168).</w:t>
      </w:r>
    </w:p>
    <w:p>
      <w:pPr>
        <w:numPr>
          <w:ilvl w:val="0"/>
          <w:numId w:val="1000"/>
        </w:numPr>
      </w:pPr>
      <w:r>
        <w:t xml:space="preserve">We used two feature scoring epochs (24 and 168 hours before the start of the prediction window) to create proximal and distal geolocation features. Raw geolocation points were cross-checked against known locations with reported subjective context. We used a threshold of 50 meters for matching context to geolocation points. We calculated raw and difference features for sum duration of time out of the home in the evenings (i.e., not at their home between the hours of 7:00pm-4:00am). We calculated raw and difference features for sum duration of time spent at locations according to what they indicated they do at the location (spend time with friends, socialize with new people, religious activities, relax, spend time with family, volunteer, receive mental health care, receive physical health care, receive MOUD treatment, drink alcohol, take classes, work), how pleasant and unpleasant their experiences typically are at the location (Always, Most of the time, Sometimes, Rarely, Never), and how helpful and harmful the location is to their recovery (Extremely, Considerably, Moderately, Mildly, Not at all). We also calculated a raw and difference feature of location variance (i.e., the extent to which a participant’s location changes over a feature scoring epoch).</w:t>
      </w:r>
    </w:p>
    <w:p>
      <w:pPr>
        <w:pStyle w:val="FirstParagraph"/>
      </w:pPr>
      <w:r>
        <w:t xml:space="preserve">All features (sets 1-3 above) were included in our full model. We also fit three models with varying ablated sensing features from set 3. Specifically, these models ablated daily survey features, ablated geolocation features, and ablated daily survey and geolocation features combined to assess the incremental predictive value of these features.</w:t>
      </w:r>
    </w:p>
    <w:p>
      <w:pPr>
        <w:pStyle w:val="BodyText"/>
      </w:pPr>
      <w:r>
        <w:t xml:space="preserve">Other feature engineering steps performed during cross-validation included imputing missing values (median imputation for numeric features and mode imputation for nominal features), dummy coding nominal features, normalizing features to have a mean of zero and standard deviation of 1, bringing outlying values (|z-score| &gt; 5) to the fence, and removing zero and near-zero variance features as determined from held-in data. We selected coarse median/mode methods for handling missing data due to the low rates of missing values and computational costs associated with more advanced forms of imputation (e.g., KNN imputation, multiple imputation). A sample feature engineering script (i.e., tidymodels recipe) containing all feature engineering steps is available on our OSF study page.</w:t>
      </w:r>
    </w:p>
    <w:bookmarkEnd w:id="148"/>
    <w:bookmarkStart w:id="149" w:name="lapse-labels-1"/>
    <w:p>
      <w:pPr>
        <w:pStyle w:val="Heading4"/>
      </w:pPr>
      <w:r>
        <w:t xml:space="preserve">7.2.5.2 Lapse Labels</w:t>
      </w:r>
    </w:p>
    <w:p>
      <w:pPr>
        <w:pStyle w:val="FirstParagraph"/>
      </w:pPr>
      <w:r>
        <w:t xml:space="preserve">Prediction windows started at 6:00am in participants’ local timezones and ended at 5:59am the next day. This window start time was selected to more closely approximate a typical wake-sleep cycle as opposed to midnight-to-midnight calendar day. For each participant the first prediction window began at 6:00am on their second day of participation and rolled forward day-by-day until their participation ended (i.e., the last prediction window ended at 5:59am on the day of their last recorded daily survey).</w:t>
      </w:r>
      <w:r>
        <w:t xml:space="preserve"> </w:t>
      </w:r>
      <w:r>
        <w:t xml:space="preserve"> </w:t>
      </w:r>
      <w:r>
        <w:t xml:space="preserve">Responses from the first daily survey item were used to label each prediction window as lapse or no lapse. For example, if a participant reported a lapse on December 12 from 12:00am-5:59am the prediction window spanning 6:00am on December 11 through 5:59am on December 12 was labeled as a lapse.</w:t>
      </w:r>
    </w:p>
    <w:bookmarkEnd w:id="149"/>
    <w:bookmarkStart w:id="150" w:name="cross-validation-1"/>
    <w:p>
      <w:pPr>
        <w:pStyle w:val="Heading4"/>
      </w:pPr>
      <w:r>
        <w:t xml:space="preserve">7.2.5.3 Cross-Validation</w:t>
      </w:r>
    </w:p>
    <w:p>
      <w:pPr>
        <w:pStyle w:val="FirstParagraph"/>
      </w:pPr>
      <w:r>
        <w:t xml:space="preserve">We used nested cross-validation for selection and evaluation of the final candidate model configurations. We used 1 repeat of 5-fold cross-validation on the inner loop for model selection and 6 repeats of 5-fold cross-validation on the outer loop for evaluation. Participants were grouped so that all of their data were always in the held-in or held-out fold to avoid bias introduced when predicting a participant’s data from their own data. Folds were stratified so that all folds contained comparable proportions of individuals who lapsed while on study.</w:t>
      </w:r>
    </w:p>
    <w:bookmarkEnd w:id="150"/>
    <w:bookmarkStart w:id="151" w:name="model-configurations-1"/>
    <w:p>
      <w:pPr>
        <w:pStyle w:val="Heading4"/>
      </w:pPr>
      <w:r>
        <w:t xml:space="preserve">7.2.5.4 Model Configurations</w:t>
      </w:r>
    </w:p>
    <w:p>
      <w:pPr>
        <w:pStyle w:val="FirstParagraph"/>
      </w:pPr>
      <w:r>
        <w:t xml:space="preserve">We initially considered three statistical algorithms that differed in terms of assumptions and bias-variance tradeoff: elastic net, random forest, and XGBoost. Preliminary analyses using simple 6x5 cross-validation suggested that XGBoost was superior. Additionally, we planned to use the Shapley additive explanations (SHAP) method for calculating feature importance which is optimized for XGBoost. Therefore we only considered XGBoost for the final nested cross-validation analyses.</w:t>
      </w:r>
    </w:p>
    <w:p>
      <w:pPr>
        <w:pStyle w:val="BodyText"/>
      </w:pPr>
      <w:r>
        <w:t xml:space="preserve">Final candidate model configurations differed across sensible values for key hyperparameters and outcome resampling method (i.e., up-sampling and down-sampling of the outcome at ratios ranging from 5:1 to 1:1). All resampling was exclusively done in the held-in training data (i.e., held-out data were not resampled) to prevent biasing performance estimates</w:t>
      </w:r>
      <w:r>
        <w:t xml:space="preserve"> </w:t>
      </w:r>
      <w:r>
        <w:t xml:space="preserve">(Vandewiele et al., 2021)</w:t>
      </w:r>
      <w:r>
        <w:t xml:space="preserve">. All model configurations were fit for the full model and the three feature ablation models (ablated daily survey features, ablated geolocation features, and ablated daily survey and geolocation features combined).</w:t>
      </w:r>
    </w:p>
    <w:bookmarkEnd w:id="151"/>
    <w:bookmarkStart w:id="154" w:name="model-evaluation-1"/>
    <w:p>
      <w:pPr>
        <w:pStyle w:val="Heading4"/>
      </w:pPr>
      <w:r>
        <w:t xml:space="preserve">7.2.5.5 Model Evaluation</w:t>
      </w:r>
    </w:p>
    <w:p>
      <w:pPr>
        <w:pStyle w:val="FirstParagraph"/>
      </w:pPr>
      <w:r>
        <w:t xml:space="preserve">We evaluated the best full model’s probability predictions across three domains: discrimination, calibration, and overall performance. We follow recommendations for reporting measures and plots to characterize these performance domains</w:t>
      </w:r>
      <w:r>
        <w:t xml:space="preserve"> </w:t>
      </w:r>
      <w:r>
        <w:t xml:space="preserve">(Van Calster et al., 2025)</w:t>
      </w:r>
      <w:r>
        <w:t xml:space="preserve">.</w:t>
      </w:r>
    </w:p>
    <w:bookmarkStart w:id="152" w:name="auroc-and-model-comparisons"/>
    <w:p>
      <w:pPr>
        <w:pStyle w:val="Heading5"/>
      </w:pPr>
      <w:r>
        <w:t xml:space="preserve">7.2.5.5.1 auROC and Model Comparisons</w:t>
      </w:r>
    </w:p>
    <w:p>
      <w:pPr>
        <w:pStyle w:val="FirstParagraph"/>
      </w:pPr>
      <w:r>
        <w:t xml:space="preserve">Our performance metric for model selection and evaluation was the area under the receiver operating characteristic curve (auROC). auROC is an aggregate measure of discrimination across all possible decision thresholds. Specifically, it represents the probability that the model will assign a higher predicted probability to a randomly selected positive case (lapse) compared to a randomly selected negative case (no lapse).</w:t>
      </w:r>
    </w:p>
    <w:p>
      <w:pPr>
        <w:pStyle w:val="BodyText"/>
      </w:pPr>
      <w:r>
        <w:t xml:space="preserve">We used a Bayesian hierarchical generalized linear model to estimate the posterior distribution and 95% credible intervals (CI) for auROC for the 30 held-out test sets (i.e., held-out data in the outer loop of the nested cross-validation procedure) for our best full and ablated models. We used weakly informative, data-dependent priors to regularize and reduce overfitting. Priors were set as follows: residual standard deviation ~ normal(location=0, scale=exp(2)), intercept (after centering predictors) ~ normal(location=2.3, scale=1.3), the two coefficients for window width contrasts ~ normal (location=0, scale=2.69), and covariance ~ decov(regularization=1, concentration=1, shape=1, scale=1). We set two random intercepts to account for our resampling method: one for the repeat, and another for the fold nested within the repeat. We specified three model contrasts that compared the full model to each of the three ablated models (full vs. ablated daily survey features, full vs. ablated geolocation features, full vs. ablated daily survey and geolocation features combined). auROCs were transformed using the logit function and regressed as a function of model contrast. From the Bayesian model we obtained the posterior distribution for auROC for the full and baseline models. We reported the median posterior probability for auROC and 95% CIs for each model. We then conducted four Bayesian model comparisons to determine the probability that the full model differed systematically in performance compared to the three ablated models.</w:t>
      </w:r>
    </w:p>
    <w:p>
      <w:pPr>
        <w:pStyle w:val="BodyText"/>
      </w:pPr>
      <w:r>
        <w:t xml:space="preserve">We performed five dichotomous subgroup analyses to assess the fairness of our model’s predictions. Using the same 30 held-out test sets and the same modeling procedure as above, we calculated the median posterior probability and 95% CI for auROC for each model separately by gender (not male vs. male), race/ethnicity (Hispanic and/or non-White vs. non-Hispanic White), income (less than $25,000 vs. more than $25,000)</w:t>
      </w:r>
      <w:r>
        <w:t xml:space="preserve">, sexual orientation (heterosexual vs. not heterosexual), and geographic location (rural vs. urban)^[We followed guidelines from the United States Health Resources and Services Administration and define urban as an area where the primary commuting flow is within a metropolitan core of 50,000 or more people (RUCA code = 1) and rural as anything not urban (RUCA codes 2-10).</w:t>
      </w:r>
      <w:r>
        <w:t xml:space="preserve"> </w:t>
      </w:r>
      <w:r>
        <w:t xml:space="preserve">(Health Resources and Services Administration, n.d.)</w:t>
      </w:r>
      <w:r>
        <w:t xml:space="preserve">. We conducted Bayesian group comparisons to assess the likelihood that each model performs differently by group.</w:t>
      </w:r>
    </w:p>
    <w:bookmarkEnd w:id="152"/>
    <w:bookmarkStart w:id="153" w:name="calibration-and-overall-performance"/>
    <w:p>
      <w:pPr>
        <w:pStyle w:val="Heading5"/>
      </w:pPr>
      <w:r>
        <w:t xml:space="preserve">7.2.5.5.2 Calibration and Overall Performance</w:t>
      </w:r>
    </w:p>
    <w:p>
      <w:pPr>
        <w:pStyle w:val="FirstParagraph"/>
      </w:pPr>
      <w:r>
        <w:t xml:space="preserve">To further evaluate our model’s predictions, we used our inner resampling procedure (1 repeat of 5-fold cross validation) on the full data set to select and fit a single best model configuration for the full model. The final configuration selected represents the most reliable and robust configuration for deployment.</w:t>
      </w:r>
    </w:p>
    <w:p>
      <w:pPr>
        <w:pStyle w:val="BodyText"/>
      </w:pPr>
      <w:r>
        <w:t xml:space="preserve">Calibration is an indicator of how well a model’s predicted probabilities match the true observed outcomes. For example, a well-calibrated model that assigns a 30% lapse risk prediction should observe lapses in approximately 30% of such cases. We used Platt scaling to calibrate our final full model’s raw probabilities from the 5 held-out folds</w:t>
      </w:r>
      <w:r>
        <w:t xml:space="preserve"> </w:t>
      </w:r>
      <w:r>
        <w:t xml:space="preserve">(Platt, 1999)</w:t>
      </w:r>
      <w:r>
        <w:t xml:space="preserve">. We provided a calibration plot of these raw and calibrated probabilities. To characterize overall performance we reported Brier scores for the raw and calibrated probabilities. Brier scores are the mean squared difference between the predicted probabilities and observed outcome and range from 0 (perfect accuracy) to 1 (perfect inaccuracy). We also provided histograms of risk probability distributions by true lapse outcome.</w:t>
      </w:r>
    </w:p>
    <w:bookmarkEnd w:id="153"/>
    <w:bookmarkEnd w:id="154"/>
    <w:bookmarkStart w:id="155" w:name="feature-importance-2"/>
    <w:p>
      <w:pPr>
        <w:pStyle w:val="Heading4"/>
      </w:pPr>
      <w:r>
        <w:t xml:space="preserve">7.2.5.6 Feature Importance</w:t>
      </w:r>
    </w:p>
    <w:p>
      <w:pPr>
        <w:pStyle w:val="FirstParagraph"/>
      </w:pPr>
      <w:r>
        <w:t xml:space="preserve">Feature importance values provide insight into the features that have the most influence on the model’s predictions. For every prediction, we can extract feature importance values providing actionable insight into intervenable targets for lapse risk (i.e., for a specific individal at a specific moment). We used the same single 5-fold cross-validation procedure (see Calibration and Overall Performance section) to calculate raw Shapley values for each observation in held-out data</w:t>
      </w:r>
      <w:r>
        <w:t xml:space="preserve"> </w:t>
      </w:r>
      <w:r>
        <w:t xml:space="preserve">(Lundberg &amp; Lee, 2017)</w:t>
      </w:r>
      <w:r>
        <w:t xml:space="preserve">. The magnitude of the raw Shapley value indicates how much the feature score for that observation adjusted the prediction (in log-odds units) relative to the mean prediction across all observations. Positive Shapley values indicate that the feature score increased the prediction for that observation and negative values indicate that the feature score decreased the prediction. In other words, higher Shapley values suggest the feature increases lapse risk and lower values suggest the feature decreases lapse risk. Shapley values are inherently additive. For any observation, Shapley values can be summed to create a total adjustment score for the predicted value. We created feature categories by collapsing features that differed only by scoring epoch and calculation into a single feature category (e.g., Raw features for most recent urge rating, and min, max, and mean urge rating in the 168 hours preceding the start of the prediction window were combined to form a</w:t>
      </w:r>
      <w:r>
        <w:t xml:space="preserve"> </w:t>
      </w:r>
      <w:r>
        <w:t xml:space="preserve">“Urge, Raw”</w:t>
      </w:r>
      <w:r>
        <w:t xml:space="preserve"> </w:t>
      </w:r>
      <w:r>
        <w:t xml:space="preserve">feature category). Raw and difference features were not combined as their relationship to risk were not uniform. We plotted individual Shapley values and feature categories as partial dependence plots to illustrate these feature-risk relationships.</w:t>
      </w:r>
    </w:p>
    <w:p>
      <w:pPr>
        <w:pStyle w:val="BodyText"/>
      </w:pPr>
      <w:r>
        <w:t xml:space="preserve">Feature importance values can also be aggregated across all participants and all observations to provide a relative rank ordering of the most important features. We calculated overall feature importance in two ways. First, we used a traditional approach in which we calculated the mean absolute Shapley value for each feature category across all observations. This approach summarizes overall feature importance by averaging the magnitude of each feature’s contribution. However, it can be skewed toward features that exhibit infrequent but very large Shapley values, potentially overstating the importance of features that are strongly associated with the outcome, but only come up in a small subset of observations. The second way we calculated feature importance was by calculating the proportion of observations in which each feature category had the highest Shapley value. This approach summarizes how frequently a feature category is influential across observations (i.e., considering both magnitude and prevalence). We provided a plot of the relative ranking of feature categories by their overall feature importance using these two methods.</w:t>
      </w:r>
    </w:p>
    <w:bookmarkEnd w:id="155"/>
    <w:bookmarkEnd w:id="156"/>
    <w:bookmarkEnd w:id="157"/>
    <w:bookmarkStart w:id="191" w:name="results-2"/>
    <w:p>
      <w:pPr>
        <w:pStyle w:val="Heading2"/>
      </w:pPr>
      <w:r>
        <w:t xml:space="preserve">7.3 Results</w:t>
      </w:r>
    </w:p>
    <w:bookmarkStart w:id="162" w:name="participants-3"/>
    <w:p>
      <w:pPr>
        <w:pStyle w:val="Heading3"/>
      </w:pPr>
      <w:r>
        <w:t xml:space="preserve">7.3.1 Participants</w:t>
      </w:r>
    </w:p>
    <w:p>
      <w:pPr>
        <w:pStyle w:val="FirstParagraph"/>
      </w:pPr>
      <w:r>
        <w:t xml:space="preserve">We enrolled 330 participants across 47 states in the United States from April 2021 through December 2024. To be considered enrolled in the study, participants were required to be eligible, consent, and complete the first personalized monthly survey where geolocation context were provided.</w:t>
      </w:r>
      <w:r>
        <w:rPr>
          <w:rStyle w:val="FootnoteReference"/>
        </w:rPr>
        <w:footnoteReference w:id="158"/>
      </w:r>
      <w:r>
        <w:t xml:space="preserve"> </w:t>
      </w:r>
      <w:r>
        <w:t xml:space="preserve">Of these 330, 14 were excluded for not providing at least 28 days of EMA data with acceptable adherence</w:t>
      </w:r>
      <w:r>
        <w:rPr>
          <w:rStyle w:val="FootnoteReference"/>
        </w:rPr>
        <w:footnoteReference w:id="159"/>
      </w:r>
      <w:r>
        <w:t xml:space="preserve">, 7 participants were excluded due to evidence of careless responding on daily surveys, and 13 participants were excluded due to having insufficient context data for geolocation points (fewer than two contextualized locations). Our final analysis sample consisted of 296 participants. Participant demographic and OUD characteristics of our final sample is presented in</w:t>
      </w:r>
      <w:r>
        <w:t xml:space="preserve"> </w:t>
      </w:r>
      <w:hyperlink w:anchor="tbl-risk2dem">
        <w:r>
          <w:rPr>
            <w:rStyle w:val="Hyperlink"/>
          </w:rPr>
          <w:t xml:space="preserve">Table 6</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60" w:name="tbl-risk2dem"/>
          <w:p>
            <w:pPr>
              <w:jc w:val="center"/>
            </w:pPr>
            <w:pPr>
              <w:jc w:val="left"/>
              <w:spacing w:before="200"/>
              <w:pStyle w:val="ImageCaption"/>
            </w:pPr>
            <w:r>
              <w:t xml:space="preserve">Table 6: Demographic and Clinical Characteristics</w:t>
            </w:r>
          </w:p>
          <w:tbl>
            <w:tblPr>
              <w:tblStyle w:val="Table"/>
              <w:tblW w:type="auto" w:w="0"/>
              <w:tblLook w:firstRow="1" w:lastRow="1" w:firstColumn="0" w:lastColumn="0" w:noHBand="0" w:noVBand="0" w:val="0020"/>
            </w:tblPr>
            <w:tblGrid>
              <w:gridCol w:w="2640"/>
              <w:gridCol w:w="2640"/>
              <w:gridCol w:w="2640"/>
            </w:tblGrid>
            <w:tr>
              <w:trPr>
                <w:tblHeader w:val="on"/>
              </w:trPr>
              <w:tc>
                <w:tcPr/>
                <w:p>
                  <w:pPr>
                    <w:pStyle w:val="Compact"/>
                  </w:pPr>
                </w:p>
              </w:tc>
              <w:tc>
                <w:tcPr/>
                <w:p>
                  <w:pPr>
                    <w:pStyle w:val="Compact"/>
                    <w:jc w:val="right"/>
                    <w:jc w:val="center"/>
                  </w:pPr>
                  <w:r>
                    <w:t xml:space="preserve">N</w:t>
                  </w:r>
                </w:p>
              </w:tc>
              <w:tc>
                <w:tcPr/>
                <w:p>
                  <w:pPr>
                    <w:pStyle w:val="Compact"/>
                    <w:jc w:val="right"/>
                    <w:jc w:val="center"/>
                  </w:pPr>
                  <w:r>
                    <w:t xml:space="preserve">%</w:t>
                  </w:r>
                </w:p>
              </w:tc>
            </w:tr>
            <w:tr>
              <w:tc>
                <w:tcPr/>
                <w:p>
                  <w:pPr>
                    <w:pStyle w:val="Compact"/>
                    <w:jc w:val="left"/>
                    <w:jc w:val="center"/>
                  </w:pPr>
                  <w:r>
                    <w:t xml:space="preserve">Age</w:t>
                  </w:r>
                </w:p>
              </w:tc>
              <w:tc>
                <w:tcPr/>
                <w:p>
                  <w:pPr>
                    <w:pStyle w:val="Compact"/>
                  </w:pPr>
                </w:p>
              </w:tc>
              <w:tc>
                <w:tcPr/>
                <w:p>
                  <w:pPr>
                    <w:pStyle w:val="Compact"/>
                  </w:pPr>
                </w:p>
              </w:tc>
            </w:tr>
            <w:tr>
              <w:tc>
                <w:tcPr>
                  <w:gridSpan w:val="3"/>
                </w:tcPr>
                <w:p>
                  <w:pPr>
                    <w:pStyle w:val="Compact"/>
                    <w:jc w:val="left"/>
                    <w:jc w:val="center"/>
                  </w:pPr>
                </w:p>
              </w:tc>
            </w:tr>
            <w:tr>
              <w:tc>
                <w:tcPr/>
                <w:p>
                  <w:pPr>
                    <w:pStyle w:val="Compact"/>
                    <w:jc w:val="left"/>
                    <w:jc w:val="center"/>
                  </w:pPr>
                  <w:r>
                    <w:t xml:space="preserve">22-25</w:t>
                  </w:r>
                </w:p>
              </w:tc>
              <w:tc>
                <w:tcPr/>
                <w:p>
                  <w:pPr>
                    <w:pStyle w:val="Compact"/>
                    <w:jc w:val="right"/>
                    <w:jc w:val="center"/>
                  </w:pPr>
                  <w:r>
                    <w:t xml:space="preserve">7</w:t>
                  </w:r>
                </w:p>
              </w:tc>
              <w:tc>
                <w:tcPr/>
                <w:p>
                  <w:pPr>
                    <w:pStyle w:val="Compact"/>
                    <w:jc w:val="right"/>
                    <w:jc w:val="center"/>
                  </w:pPr>
                  <w:r>
                    <w:t xml:space="preserve">2.4</w:t>
                  </w:r>
                </w:p>
              </w:tc>
            </w:tr>
            <w:tr>
              <w:tc>
                <w:tcPr/>
                <w:p>
                  <w:pPr>
                    <w:pStyle w:val="Compact"/>
                    <w:jc w:val="left"/>
                    <w:jc w:val="center"/>
                  </w:pPr>
                  <w:r>
                    <w:t xml:space="preserve">26-35</w:t>
                  </w:r>
                </w:p>
              </w:tc>
              <w:tc>
                <w:tcPr/>
                <w:p>
                  <w:pPr>
                    <w:pStyle w:val="Compact"/>
                    <w:jc w:val="right"/>
                    <w:jc w:val="center"/>
                  </w:pPr>
                  <w:r>
                    <w:t xml:space="preserve">105</w:t>
                  </w:r>
                </w:p>
              </w:tc>
              <w:tc>
                <w:tcPr/>
                <w:p>
                  <w:pPr>
                    <w:pStyle w:val="Compact"/>
                    <w:jc w:val="right"/>
                    <w:jc w:val="center"/>
                  </w:pPr>
                  <w:r>
                    <w:t xml:space="preserve">35.5</w:t>
                  </w:r>
                </w:p>
              </w:tc>
            </w:tr>
            <w:tr>
              <w:tc>
                <w:tcPr/>
                <w:p>
                  <w:pPr>
                    <w:pStyle w:val="Compact"/>
                    <w:jc w:val="left"/>
                    <w:jc w:val="center"/>
                  </w:pPr>
                  <w:r>
                    <w:t xml:space="preserve">36-45</w:t>
                  </w:r>
                </w:p>
              </w:tc>
              <w:tc>
                <w:tcPr/>
                <w:p>
                  <w:pPr>
                    <w:pStyle w:val="Compact"/>
                    <w:jc w:val="right"/>
                    <w:jc w:val="center"/>
                  </w:pPr>
                  <w:r>
                    <w:t xml:space="preserve">107</w:t>
                  </w:r>
                </w:p>
              </w:tc>
              <w:tc>
                <w:tcPr/>
                <w:p>
                  <w:pPr>
                    <w:pStyle w:val="Compact"/>
                    <w:jc w:val="right"/>
                    <w:jc w:val="center"/>
                  </w:pPr>
                  <w:r>
                    <w:t xml:space="preserve">36.1</w:t>
                  </w:r>
                </w:p>
              </w:tc>
            </w:tr>
            <w:tr>
              <w:tc>
                <w:tcPr/>
                <w:p>
                  <w:pPr>
                    <w:pStyle w:val="Compact"/>
                    <w:jc w:val="left"/>
                    <w:jc w:val="center"/>
                  </w:pPr>
                  <w:r>
                    <w:t xml:space="preserve">46-55</w:t>
                  </w:r>
                </w:p>
              </w:tc>
              <w:tc>
                <w:tcPr/>
                <w:p>
                  <w:pPr>
                    <w:pStyle w:val="Compact"/>
                    <w:jc w:val="right"/>
                    <w:jc w:val="center"/>
                  </w:pPr>
                  <w:r>
                    <w:t xml:space="preserve">60</w:t>
                  </w:r>
                </w:p>
              </w:tc>
              <w:tc>
                <w:tcPr/>
                <w:p>
                  <w:pPr>
                    <w:pStyle w:val="Compact"/>
                    <w:jc w:val="right"/>
                    <w:jc w:val="center"/>
                  </w:pPr>
                  <w:r>
                    <w:t xml:space="preserve">20.3</w:t>
                  </w:r>
                </w:p>
              </w:tc>
            </w:tr>
            <w:tr>
              <w:tc>
                <w:tcPr/>
                <w:p>
                  <w:pPr>
                    <w:pStyle w:val="Compact"/>
                    <w:jc w:val="left"/>
                    <w:jc w:val="center"/>
                  </w:pPr>
                  <w:r>
                    <w:t xml:space="preserve">56-65</w:t>
                  </w:r>
                </w:p>
              </w:tc>
              <w:tc>
                <w:tcPr/>
                <w:p>
                  <w:pPr>
                    <w:pStyle w:val="Compact"/>
                    <w:jc w:val="right"/>
                    <w:jc w:val="center"/>
                  </w:pPr>
                  <w:r>
                    <w:t xml:space="preserve">13</w:t>
                  </w:r>
                </w:p>
              </w:tc>
              <w:tc>
                <w:tcPr/>
                <w:p>
                  <w:pPr>
                    <w:pStyle w:val="Compact"/>
                    <w:jc w:val="right"/>
                    <w:jc w:val="center"/>
                  </w:pPr>
                  <w:r>
                    <w:t xml:space="preserve">4.4</w:t>
                  </w:r>
                </w:p>
              </w:tc>
            </w:tr>
            <w:tr>
              <w:tc>
                <w:tcPr/>
                <w:p>
                  <w:pPr>
                    <w:pStyle w:val="Compact"/>
                    <w:jc w:val="left"/>
                    <w:jc w:val="center"/>
                  </w:pPr>
                  <w:r>
                    <w:t xml:space="preserve">Over 65</w:t>
                  </w:r>
                </w:p>
              </w:tc>
              <w:tc>
                <w:tcPr/>
                <w:p>
                  <w:pPr>
                    <w:pStyle w:val="Compact"/>
                    <w:jc w:val="right"/>
                    <w:jc w:val="center"/>
                  </w:pPr>
                  <w:r>
                    <w:t xml:space="preserve">4</w:t>
                  </w:r>
                </w:p>
              </w:tc>
              <w:tc>
                <w:tcPr/>
                <w:p>
                  <w:pPr>
                    <w:pStyle w:val="Compact"/>
                    <w:jc w:val="right"/>
                    <w:jc w:val="center"/>
                  </w:pPr>
                  <w:r>
                    <w:t xml:space="preserve">1.4</w:t>
                  </w:r>
                </w:p>
              </w:tc>
            </w:tr>
            <w:tr>
              <w:tc>
                <w:tcPr/>
                <w:p>
                  <w:pPr>
                    <w:pStyle w:val="Compact"/>
                    <w:jc w:val="left"/>
                    <w:jc w:val="center"/>
                  </w:pPr>
                  <w:r>
                    <w:t xml:space="preserve">Gender</w:t>
                  </w:r>
                </w:p>
              </w:tc>
              <w:tc>
                <w:tcPr/>
                <w:p>
                  <w:pPr>
                    <w:pStyle w:val="Compact"/>
                  </w:pPr>
                </w:p>
              </w:tc>
              <w:tc>
                <w:tcPr/>
                <w:p>
                  <w:pPr>
                    <w:pStyle w:val="Compact"/>
                  </w:pPr>
                </w:p>
              </w:tc>
            </w:tr>
            <w:tr>
              <w:tc>
                <w:tcPr>
                  <w:gridSpan w:val="3"/>
                </w:tcPr>
                <w:p>
                  <w:pPr>
                    <w:pStyle w:val="Compact"/>
                    <w:jc w:val="left"/>
                    <w:jc w:val="center"/>
                  </w:pPr>
                </w:p>
              </w:tc>
            </w:tr>
            <w:tr>
              <w:tc>
                <w:tcPr/>
                <w:p>
                  <w:pPr>
                    <w:pStyle w:val="Compact"/>
                    <w:jc w:val="left"/>
                    <w:jc w:val="center"/>
                  </w:pPr>
                  <w:r>
                    <w:t xml:space="preserve">Man</w:t>
                  </w:r>
                </w:p>
              </w:tc>
              <w:tc>
                <w:tcPr/>
                <w:p>
                  <w:pPr>
                    <w:pStyle w:val="Compact"/>
                    <w:jc w:val="right"/>
                    <w:jc w:val="center"/>
                  </w:pPr>
                  <w:r>
                    <w:t xml:space="preserve">158</w:t>
                  </w:r>
                </w:p>
              </w:tc>
              <w:tc>
                <w:tcPr/>
                <w:p>
                  <w:pPr>
                    <w:pStyle w:val="Compact"/>
                    <w:jc w:val="right"/>
                    <w:jc w:val="center"/>
                  </w:pPr>
                  <w:r>
                    <w:t xml:space="preserve">53.4</w:t>
                  </w:r>
                </w:p>
              </w:tc>
            </w:tr>
            <w:tr>
              <w:tc>
                <w:tcPr/>
                <w:p>
                  <w:pPr>
                    <w:pStyle w:val="Compact"/>
                    <w:jc w:val="left"/>
                    <w:jc w:val="center"/>
                  </w:pPr>
                  <w:r>
                    <w:t xml:space="preserve">Woman</w:t>
                  </w:r>
                </w:p>
              </w:tc>
              <w:tc>
                <w:tcPr/>
                <w:p>
                  <w:pPr>
                    <w:pStyle w:val="Compact"/>
                    <w:jc w:val="right"/>
                    <w:jc w:val="center"/>
                  </w:pPr>
                  <w:r>
                    <w:t xml:space="preserve">131</w:t>
                  </w:r>
                </w:p>
              </w:tc>
              <w:tc>
                <w:tcPr/>
                <w:p>
                  <w:pPr>
                    <w:pStyle w:val="Compact"/>
                    <w:jc w:val="right"/>
                    <w:jc w:val="center"/>
                  </w:pPr>
                  <w:r>
                    <w:t xml:space="preserve">44.3</w:t>
                  </w:r>
                </w:p>
              </w:tc>
            </w:tr>
            <w:tr>
              <w:tc>
                <w:tcPr/>
                <w:p>
                  <w:pPr>
                    <w:pStyle w:val="Compact"/>
                    <w:jc w:val="left"/>
                    <w:jc w:val="center"/>
                  </w:pPr>
                  <w:r>
                    <w:t xml:space="preserve">Non-binary</w:t>
                  </w:r>
                </w:p>
              </w:tc>
              <w:tc>
                <w:tcPr/>
                <w:p>
                  <w:pPr>
                    <w:pStyle w:val="Compact"/>
                    <w:jc w:val="right"/>
                    <w:jc w:val="center"/>
                  </w:pPr>
                  <w:r>
                    <w:t xml:space="preserve">4</w:t>
                  </w:r>
                </w:p>
              </w:tc>
              <w:tc>
                <w:tcPr/>
                <w:p>
                  <w:pPr>
                    <w:pStyle w:val="Compact"/>
                    <w:jc w:val="right"/>
                    <w:jc w:val="center"/>
                  </w:pPr>
                  <w:r>
                    <w:t xml:space="preserve">1.4</w:t>
                  </w:r>
                </w:p>
              </w:tc>
            </w:tr>
            <w:tr>
              <w:tc>
                <w:tcPr/>
                <w:p>
                  <w:pPr>
                    <w:pStyle w:val="Compact"/>
                    <w:jc w:val="left"/>
                    <w:jc w:val="center"/>
                  </w:pPr>
                  <w:r>
                    <w:t xml:space="preserve">Not listed above</w:t>
                  </w:r>
                </w:p>
              </w:tc>
              <w:tc>
                <w:tcPr/>
                <w:p>
                  <w:pPr>
                    <w:pStyle w:val="Compact"/>
                    <w:jc w:val="right"/>
                    <w:jc w:val="center"/>
                  </w:pPr>
                  <w:r>
                    <w:t xml:space="preserve">2</w:t>
                  </w:r>
                </w:p>
              </w:tc>
              <w:tc>
                <w:tcPr/>
                <w:p>
                  <w:pPr>
                    <w:pStyle w:val="Compact"/>
                    <w:jc w:val="right"/>
                    <w:jc w:val="center"/>
                  </w:pPr>
                  <w:r>
                    <w:t xml:space="preserve">0.7</w:t>
                  </w:r>
                </w:p>
              </w:tc>
            </w:tr>
            <w:tr>
              <w:tc>
                <w:tcPr/>
                <w:p>
                  <w:pPr>
                    <w:pStyle w:val="Compact"/>
                    <w:jc w:val="left"/>
                    <w:jc w:val="center"/>
                  </w:pPr>
                  <w:r>
                    <w:t xml:space="preserve">Orientation</w:t>
                  </w:r>
                </w:p>
              </w:tc>
              <w:tc>
                <w:tcPr/>
                <w:p>
                  <w:pPr>
                    <w:pStyle w:val="Compact"/>
                  </w:pPr>
                </w:p>
              </w:tc>
              <w:tc>
                <w:tcPr/>
                <w:p>
                  <w:pPr>
                    <w:pStyle w:val="Compact"/>
                  </w:pPr>
                </w:p>
              </w:tc>
            </w:tr>
            <w:tr>
              <w:tc>
                <w:tcPr>
                  <w:gridSpan w:val="3"/>
                </w:tcPr>
                <w:p>
                  <w:pPr>
                    <w:pStyle w:val="Compact"/>
                    <w:jc w:val="left"/>
                    <w:jc w:val="center"/>
                  </w:pPr>
                </w:p>
              </w:tc>
            </w:tr>
            <w:tr>
              <w:tc>
                <w:tcPr/>
                <w:p>
                  <w:pPr>
                    <w:pStyle w:val="Compact"/>
                    <w:jc w:val="left"/>
                    <w:jc w:val="center"/>
                  </w:pPr>
                  <w:r>
                    <w:t xml:space="preserve">Straight, that is, not gay or lesbian</w:t>
                  </w:r>
                </w:p>
              </w:tc>
              <w:tc>
                <w:tcPr/>
                <w:p>
                  <w:pPr>
                    <w:pStyle w:val="Compact"/>
                    <w:jc w:val="right"/>
                    <w:jc w:val="center"/>
                  </w:pPr>
                  <w:r>
                    <w:t xml:space="preserve">237</w:t>
                  </w:r>
                </w:p>
              </w:tc>
              <w:tc>
                <w:tcPr/>
                <w:p>
                  <w:pPr>
                    <w:pStyle w:val="Compact"/>
                    <w:jc w:val="right"/>
                    <w:jc w:val="center"/>
                  </w:pPr>
                  <w:r>
                    <w:t xml:space="preserve">80.1</w:t>
                  </w:r>
                </w:p>
              </w:tc>
            </w:tr>
            <w:tr>
              <w:tc>
                <w:tcPr/>
                <w:p>
                  <w:pPr>
                    <w:pStyle w:val="Compact"/>
                    <w:jc w:val="left"/>
                    <w:jc w:val="center"/>
                  </w:pPr>
                  <w:r>
                    <w:t xml:space="preserve">Lesbian or gay</w:t>
                  </w:r>
                </w:p>
              </w:tc>
              <w:tc>
                <w:tcPr/>
                <w:p>
                  <w:pPr>
                    <w:pStyle w:val="Compact"/>
                    <w:jc w:val="right"/>
                    <w:jc w:val="center"/>
                  </w:pPr>
                  <w:r>
                    <w:t xml:space="preserve">17</w:t>
                  </w:r>
                </w:p>
              </w:tc>
              <w:tc>
                <w:tcPr/>
                <w:p>
                  <w:pPr>
                    <w:pStyle w:val="Compact"/>
                    <w:jc w:val="right"/>
                    <w:jc w:val="center"/>
                  </w:pPr>
                  <w:r>
                    <w:t xml:space="preserve">5.7</w:t>
                  </w:r>
                </w:p>
              </w:tc>
            </w:tr>
            <w:tr>
              <w:tc>
                <w:tcPr/>
                <w:p>
                  <w:pPr>
                    <w:pStyle w:val="Compact"/>
                    <w:jc w:val="left"/>
                    <w:jc w:val="center"/>
                  </w:pPr>
                  <w:r>
                    <w:t xml:space="preserve">Bisexual</w:t>
                  </w:r>
                </w:p>
              </w:tc>
              <w:tc>
                <w:tcPr/>
                <w:p>
                  <w:pPr>
                    <w:pStyle w:val="Compact"/>
                    <w:jc w:val="right"/>
                    <w:jc w:val="center"/>
                  </w:pPr>
                  <w:r>
                    <w:t xml:space="preserve">35</w:t>
                  </w:r>
                </w:p>
              </w:tc>
              <w:tc>
                <w:tcPr/>
                <w:p>
                  <w:pPr>
                    <w:pStyle w:val="Compact"/>
                    <w:jc w:val="right"/>
                    <w:jc w:val="center"/>
                  </w:pPr>
                  <w:r>
                    <w:t xml:space="preserve">11.8</w:t>
                  </w:r>
                </w:p>
              </w:tc>
            </w:tr>
            <w:tr>
              <w:tc>
                <w:tcPr/>
                <w:p>
                  <w:pPr>
                    <w:pStyle w:val="Compact"/>
                    <w:jc w:val="left"/>
                    <w:jc w:val="center"/>
                  </w:pPr>
                  <w:r>
                    <w:t xml:space="preserve">Not sure</w:t>
                  </w:r>
                </w:p>
              </w:tc>
              <w:tc>
                <w:tcPr/>
                <w:p>
                  <w:pPr>
                    <w:pStyle w:val="Compact"/>
                    <w:jc w:val="right"/>
                    <w:jc w:val="center"/>
                  </w:pPr>
                  <w:r>
                    <w:t xml:space="preserve">1</w:t>
                  </w:r>
                </w:p>
              </w:tc>
              <w:tc>
                <w:tcPr/>
                <w:p>
                  <w:pPr>
                    <w:pStyle w:val="Compact"/>
                    <w:jc w:val="right"/>
                    <w:jc w:val="center"/>
                  </w:pPr>
                  <w:r>
                    <w:t xml:space="preserve">0.3</w:t>
                  </w:r>
                </w:p>
              </w:tc>
            </w:tr>
            <w:tr>
              <w:tc>
                <w:tcPr/>
                <w:p>
                  <w:pPr>
                    <w:pStyle w:val="Compact"/>
                    <w:jc w:val="left"/>
                    <w:jc w:val="center"/>
                  </w:pPr>
                  <w:r>
                    <w:t xml:space="preserve">Not listed above</w:t>
                  </w:r>
                </w:p>
              </w:tc>
              <w:tc>
                <w:tcPr/>
                <w:p>
                  <w:pPr>
                    <w:pStyle w:val="Compact"/>
                    <w:jc w:val="right"/>
                    <w:jc w:val="center"/>
                  </w:pPr>
                  <w:r>
                    <w:t xml:space="preserve">4</w:t>
                  </w:r>
                </w:p>
              </w:tc>
              <w:tc>
                <w:tcPr/>
                <w:p>
                  <w:pPr>
                    <w:pStyle w:val="Compact"/>
                    <w:jc w:val="right"/>
                    <w:jc w:val="center"/>
                  </w:pPr>
                  <w:r>
                    <w:t xml:space="preserve">1.4</w:t>
                  </w:r>
                </w:p>
              </w:tc>
            </w:tr>
            <w:tr>
              <w:tc>
                <w:tcPr/>
                <w:p>
                  <w:pPr>
                    <w:pStyle w:val="Compact"/>
                    <w:jc w:val="left"/>
                    <w:jc w:val="center"/>
                  </w:pPr>
                  <w:r>
                    <w:t xml:space="preserve">Race and Ethnicity (select all that apply)</w:t>
                  </w:r>
                </w:p>
              </w:tc>
              <w:tc>
                <w:tcPr/>
                <w:p>
                  <w:pPr>
                    <w:pStyle w:val="Compact"/>
                  </w:pPr>
                </w:p>
              </w:tc>
              <w:tc>
                <w:tcPr/>
                <w:p>
                  <w:pPr>
                    <w:pStyle w:val="Compact"/>
                  </w:pPr>
                </w:p>
              </w:tc>
            </w:tr>
            <w:tr>
              <w:tc>
                <w:tcPr>
                  <w:gridSpan w:val="3"/>
                </w:tcPr>
                <w:p>
                  <w:pPr>
                    <w:pStyle w:val="Compact"/>
                    <w:jc w:val="left"/>
                    <w:jc w:val="center"/>
                  </w:pPr>
                </w:p>
              </w:tc>
            </w:tr>
            <w:tr>
              <w:tc>
                <w:tcPr/>
                <w:p>
                  <w:pPr>
                    <w:pStyle w:val="Compact"/>
                    <w:jc w:val="left"/>
                    <w:jc w:val="center"/>
                  </w:pPr>
                  <w:r>
                    <w:t xml:space="preserve">American Indian/Alaskan Native</w:t>
                  </w:r>
                </w:p>
              </w:tc>
              <w:tc>
                <w:tcPr/>
                <w:p>
                  <w:pPr>
                    <w:pStyle w:val="Compact"/>
                    <w:jc w:val="right"/>
                    <w:jc w:val="center"/>
                  </w:pPr>
                  <w:r>
                    <w:t xml:space="preserve">17</w:t>
                  </w:r>
                </w:p>
              </w:tc>
              <w:tc>
                <w:tcPr/>
                <w:p>
                  <w:pPr>
                    <w:pStyle w:val="Compact"/>
                    <w:jc w:val="right"/>
                    <w:jc w:val="center"/>
                  </w:pPr>
                  <w:r>
                    <w:t xml:space="preserve">5.7</w:t>
                  </w:r>
                </w:p>
              </w:tc>
            </w:tr>
            <w:tr>
              <w:tc>
                <w:tcPr/>
                <w:p>
                  <w:pPr>
                    <w:pStyle w:val="Compact"/>
                    <w:jc w:val="left"/>
                    <w:jc w:val="center"/>
                  </w:pPr>
                  <w:r>
                    <w:t xml:space="preserve">Asian</w:t>
                  </w:r>
                </w:p>
              </w:tc>
              <w:tc>
                <w:tcPr/>
                <w:p>
                  <w:pPr>
                    <w:pStyle w:val="Compact"/>
                    <w:jc w:val="right"/>
                    <w:jc w:val="center"/>
                  </w:pPr>
                  <w:r>
                    <w:t xml:space="preserve">3</w:t>
                  </w:r>
                </w:p>
              </w:tc>
              <w:tc>
                <w:tcPr/>
                <w:p>
                  <w:pPr>
                    <w:pStyle w:val="Compact"/>
                    <w:jc w:val="right"/>
                    <w:jc w:val="center"/>
                  </w:pPr>
                  <w:r>
                    <w:t xml:space="preserve">1.0</w:t>
                  </w:r>
                </w:p>
              </w:tc>
            </w:tr>
            <w:tr>
              <w:tc>
                <w:tcPr/>
                <w:p>
                  <w:pPr>
                    <w:pStyle w:val="Compact"/>
                    <w:jc w:val="left"/>
                    <w:jc w:val="center"/>
                  </w:pPr>
                  <w:r>
                    <w:t xml:space="preserve">Black/African American</w:t>
                  </w:r>
                </w:p>
              </w:tc>
              <w:tc>
                <w:tcPr/>
                <w:p>
                  <w:pPr>
                    <w:pStyle w:val="Compact"/>
                    <w:jc w:val="right"/>
                    <w:jc w:val="center"/>
                  </w:pPr>
                  <w:r>
                    <w:t xml:space="preserve">43</w:t>
                  </w:r>
                </w:p>
              </w:tc>
              <w:tc>
                <w:tcPr/>
                <w:p>
                  <w:pPr>
                    <w:pStyle w:val="Compact"/>
                    <w:jc w:val="right"/>
                    <w:jc w:val="center"/>
                  </w:pPr>
                  <w:r>
                    <w:t xml:space="preserve">14.5</w:t>
                  </w:r>
                </w:p>
              </w:tc>
            </w:tr>
            <w:tr>
              <w:tc>
                <w:tcPr/>
                <w:p>
                  <w:pPr>
                    <w:pStyle w:val="Compact"/>
                    <w:jc w:val="left"/>
                    <w:jc w:val="center"/>
                  </w:pPr>
                  <w:r>
                    <w:t xml:space="preserve">Native Hawaiian/Other Pacific Islander</w:t>
                  </w:r>
                </w:p>
              </w:tc>
              <w:tc>
                <w:tcPr/>
                <w:p>
                  <w:pPr>
                    <w:pStyle w:val="Compact"/>
                    <w:jc w:val="right"/>
                    <w:jc w:val="center"/>
                  </w:pPr>
                  <w:r>
                    <w:t xml:space="preserve">3</w:t>
                  </w:r>
                </w:p>
              </w:tc>
              <w:tc>
                <w:tcPr/>
                <w:p>
                  <w:pPr>
                    <w:pStyle w:val="Compact"/>
                    <w:jc w:val="right"/>
                    <w:jc w:val="center"/>
                  </w:pPr>
                  <w:r>
                    <w:t xml:space="preserve">1.0</w:t>
                  </w:r>
                </w:p>
              </w:tc>
            </w:tr>
            <w:tr>
              <w:tc>
                <w:tcPr/>
                <w:p>
                  <w:pPr>
                    <w:pStyle w:val="Compact"/>
                    <w:jc w:val="left"/>
                    <w:jc w:val="center"/>
                  </w:pPr>
                  <w:r>
                    <w:t xml:space="preserve">White/Caucasian</w:t>
                  </w:r>
                </w:p>
              </w:tc>
              <w:tc>
                <w:tcPr/>
                <w:p>
                  <w:pPr>
                    <w:pStyle w:val="Compact"/>
                    <w:jc w:val="right"/>
                    <w:jc w:val="center"/>
                  </w:pPr>
                  <w:r>
                    <w:t xml:space="preserve">235</w:t>
                  </w:r>
                </w:p>
              </w:tc>
              <w:tc>
                <w:tcPr/>
                <w:p>
                  <w:pPr>
                    <w:pStyle w:val="Compact"/>
                    <w:jc w:val="right"/>
                    <w:jc w:val="center"/>
                  </w:pPr>
                  <w:r>
                    <w:t xml:space="preserve">79.4</w:t>
                  </w:r>
                </w:p>
              </w:tc>
            </w:tr>
            <w:tr>
              <w:tc>
                <w:tcPr/>
                <w:p>
                  <w:pPr>
                    <w:pStyle w:val="Compact"/>
                    <w:jc w:val="left"/>
                    <w:jc w:val="center"/>
                  </w:pPr>
                  <w:r>
                    <w:t xml:space="preserve">Hispanic, Latino, or Spanish origin</w:t>
                  </w:r>
                </w:p>
              </w:tc>
              <w:tc>
                <w:tcPr/>
                <w:p>
                  <w:pPr>
                    <w:pStyle w:val="Compact"/>
                    <w:jc w:val="right"/>
                    <w:jc w:val="center"/>
                  </w:pPr>
                  <w:r>
                    <w:t xml:space="preserve">26</w:t>
                  </w:r>
                </w:p>
              </w:tc>
              <w:tc>
                <w:tcPr/>
                <w:p>
                  <w:pPr>
                    <w:pStyle w:val="Compact"/>
                    <w:jc w:val="right"/>
                    <w:jc w:val="center"/>
                  </w:pPr>
                  <w:r>
                    <w:t xml:space="preserve">8.8</w:t>
                  </w:r>
                </w:p>
              </w:tc>
            </w:tr>
            <w:tr>
              <w:tc>
                <w:tcPr/>
                <w:p>
                  <w:pPr>
                    <w:pStyle w:val="Compact"/>
                    <w:jc w:val="left"/>
                    <w:jc w:val="center"/>
                  </w:pPr>
                  <w:r>
                    <w:t xml:space="preserve">Not listed above</w:t>
                  </w:r>
                </w:p>
              </w:tc>
              <w:tc>
                <w:tcPr/>
                <w:p>
                  <w:pPr>
                    <w:pStyle w:val="Compact"/>
                    <w:jc w:val="right"/>
                    <w:jc w:val="center"/>
                  </w:pPr>
                  <w:r>
                    <w:t xml:space="preserve">5</w:t>
                  </w:r>
                </w:p>
              </w:tc>
              <w:tc>
                <w:tcPr/>
                <w:p>
                  <w:pPr>
                    <w:pStyle w:val="Compact"/>
                    <w:jc w:val="right"/>
                    <w:jc w:val="center"/>
                  </w:pPr>
                  <w:r>
                    <w:t xml:space="preserve">1.7</w:t>
                  </w:r>
                </w:p>
              </w:tc>
            </w:tr>
            <w:tr>
              <w:tc>
                <w:tcPr/>
                <w:p>
                  <w:pPr>
                    <w:pStyle w:val="Compact"/>
                    <w:jc w:val="left"/>
                    <w:jc w:val="center"/>
                  </w:pPr>
                  <w:r>
                    <w:t xml:space="preserve">Geographic Location</w:t>
                  </w:r>
                </w:p>
              </w:tc>
              <w:tc>
                <w:tcPr/>
                <w:p>
                  <w:pPr>
                    <w:pStyle w:val="Compact"/>
                  </w:pPr>
                </w:p>
              </w:tc>
              <w:tc>
                <w:tcPr/>
                <w:p>
                  <w:pPr>
                    <w:pStyle w:val="Compact"/>
                  </w:pPr>
                </w:p>
              </w:tc>
            </w:tr>
            <w:tr>
              <w:tc>
                <w:tcPr>
                  <w:gridSpan w:val="3"/>
                </w:tcPr>
                <w:p>
                  <w:pPr>
                    <w:pStyle w:val="Compact"/>
                    <w:jc w:val="left"/>
                    <w:jc w:val="center"/>
                  </w:pPr>
                </w:p>
              </w:tc>
            </w:tr>
            <w:tr>
              <w:tc>
                <w:tcPr/>
                <w:p>
                  <w:pPr>
                    <w:pStyle w:val="Compact"/>
                    <w:jc w:val="left"/>
                    <w:jc w:val="center"/>
                  </w:pPr>
                  <w:r>
                    <w:t xml:space="preserve">rural</w:t>
                  </w:r>
                </w:p>
              </w:tc>
              <w:tc>
                <w:tcPr/>
                <w:p>
                  <w:pPr>
                    <w:pStyle w:val="Compact"/>
                    <w:jc w:val="right"/>
                    <w:jc w:val="center"/>
                  </w:pPr>
                  <w:r>
                    <w:t xml:space="preserve">57</w:t>
                  </w:r>
                </w:p>
              </w:tc>
              <w:tc>
                <w:tcPr/>
                <w:p>
                  <w:pPr>
                    <w:pStyle w:val="Compact"/>
                    <w:jc w:val="right"/>
                    <w:jc w:val="center"/>
                  </w:pPr>
                  <w:r>
                    <w:t xml:space="preserve">19.3</w:t>
                  </w:r>
                </w:p>
              </w:tc>
            </w:tr>
            <w:tr>
              <w:tc>
                <w:tcPr/>
                <w:p>
                  <w:pPr>
                    <w:pStyle w:val="Compact"/>
                    <w:jc w:val="left"/>
                    <w:jc w:val="center"/>
                  </w:pPr>
                  <w:r>
                    <w:t xml:space="preserve">urban</w:t>
                  </w:r>
                </w:p>
              </w:tc>
              <w:tc>
                <w:tcPr/>
                <w:p>
                  <w:pPr>
                    <w:pStyle w:val="Compact"/>
                    <w:jc w:val="right"/>
                    <w:jc w:val="center"/>
                  </w:pPr>
                  <w:r>
                    <w:t xml:space="preserve">239</w:t>
                  </w:r>
                </w:p>
              </w:tc>
              <w:tc>
                <w:tcPr/>
                <w:p>
                  <w:pPr>
                    <w:pStyle w:val="Compact"/>
                    <w:jc w:val="right"/>
                    <w:jc w:val="center"/>
                  </w:pPr>
                  <w:r>
                    <w:t xml:space="preserve">80.7</w:t>
                  </w:r>
                </w:p>
              </w:tc>
            </w:tr>
            <w:tr>
              <w:tc>
                <w:tcPr/>
                <w:p>
                  <w:pPr>
                    <w:pStyle w:val="Compact"/>
                    <w:jc w:val="left"/>
                    <w:jc w:val="center"/>
                  </w:pPr>
                  <w:r>
                    <w:t xml:space="preserve">Education</w:t>
                  </w:r>
                </w:p>
              </w:tc>
              <w:tc>
                <w:tcPr/>
                <w:p>
                  <w:pPr>
                    <w:pStyle w:val="Compact"/>
                  </w:pPr>
                </w:p>
              </w:tc>
              <w:tc>
                <w:tcPr/>
                <w:p>
                  <w:pPr>
                    <w:pStyle w:val="Compact"/>
                  </w:pPr>
                </w:p>
              </w:tc>
            </w:tr>
            <w:tr>
              <w:tc>
                <w:tcPr>
                  <w:gridSpan w:val="3"/>
                </w:tcPr>
                <w:p>
                  <w:pPr>
                    <w:pStyle w:val="Compact"/>
                    <w:jc w:val="left"/>
                    <w:jc w:val="center"/>
                  </w:pPr>
                </w:p>
              </w:tc>
            </w:tr>
            <w:tr>
              <w:tc>
                <w:tcPr/>
                <w:p>
                  <w:pPr>
                    <w:pStyle w:val="Compact"/>
                    <w:jc w:val="left"/>
                    <w:jc w:val="center"/>
                  </w:pPr>
                  <w:r>
                    <w:t xml:space="preserve">8th grade or less</w:t>
                  </w:r>
                </w:p>
              </w:tc>
              <w:tc>
                <w:tcPr/>
                <w:p>
                  <w:pPr>
                    <w:pStyle w:val="Compact"/>
                    <w:jc w:val="right"/>
                    <w:jc w:val="center"/>
                  </w:pPr>
                  <w:r>
                    <w:t xml:space="preserve">5</w:t>
                  </w:r>
                </w:p>
              </w:tc>
              <w:tc>
                <w:tcPr/>
                <w:p>
                  <w:pPr>
                    <w:pStyle w:val="Compact"/>
                    <w:jc w:val="right"/>
                    <w:jc w:val="center"/>
                  </w:pPr>
                  <w:r>
                    <w:t xml:space="preserve">1.7</w:t>
                  </w:r>
                </w:p>
              </w:tc>
            </w:tr>
            <w:tr>
              <w:tc>
                <w:tcPr/>
                <w:p>
                  <w:pPr>
                    <w:pStyle w:val="Compact"/>
                    <w:jc w:val="left"/>
                    <w:jc w:val="center"/>
                  </w:pPr>
                  <w:r>
                    <w:t xml:space="preserve">Some high school, but did not graduate</w:t>
                  </w:r>
                </w:p>
              </w:tc>
              <w:tc>
                <w:tcPr/>
                <w:p>
                  <w:pPr>
                    <w:pStyle w:val="Compact"/>
                    <w:jc w:val="right"/>
                    <w:jc w:val="center"/>
                  </w:pPr>
                  <w:r>
                    <w:t xml:space="preserve">25</w:t>
                  </w:r>
                </w:p>
              </w:tc>
              <w:tc>
                <w:tcPr/>
                <w:p>
                  <w:pPr>
                    <w:pStyle w:val="Compact"/>
                    <w:jc w:val="right"/>
                    <w:jc w:val="center"/>
                  </w:pPr>
                  <w:r>
                    <w:t xml:space="preserve">8.4</w:t>
                  </w:r>
                </w:p>
              </w:tc>
            </w:tr>
            <w:tr>
              <w:tc>
                <w:tcPr/>
                <w:p>
                  <w:pPr>
                    <w:pStyle w:val="Compact"/>
                    <w:jc w:val="left"/>
                    <w:jc w:val="center"/>
                  </w:pPr>
                  <w:r>
                    <w:t xml:space="preserve">High school graduate or GED</w:t>
                  </w:r>
                </w:p>
              </w:tc>
              <w:tc>
                <w:tcPr/>
                <w:p>
                  <w:pPr>
                    <w:pStyle w:val="Compact"/>
                    <w:jc w:val="right"/>
                    <w:jc w:val="center"/>
                  </w:pPr>
                  <w:r>
                    <w:t xml:space="preserve">92</w:t>
                  </w:r>
                </w:p>
              </w:tc>
              <w:tc>
                <w:tcPr/>
                <w:p>
                  <w:pPr>
                    <w:pStyle w:val="Compact"/>
                    <w:jc w:val="right"/>
                    <w:jc w:val="center"/>
                  </w:pPr>
                  <w:r>
                    <w:t xml:space="preserve">31.1</w:t>
                  </w:r>
                </w:p>
              </w:tc>
            </w:tr>
            <w:tr>
              <w:tc>
                <w:tcPr/>
                <w:p>
                  <w:pPr>
                    <w:pStyle w:val="Compact"/>
                    <w:jc w:val="left"/>
                    <w:jc w:val="center"/>
                  </w:pPr>
                  <w:r>
                    <w:t xml:space="preserve">Some college or 2-year degree</w:t>
                  </w:r>
                </w:p>
              </w:tc>
              <w:tc>
                <w:tcPr/>
                <w:p>
                  <w:pPr>
                    <w:pStyle w:val="Compact"/>
                    <w:jc w:val="right"/>
                    <w:jc w:val="center"/>
                  </w:pPr>
                  <w:r>
                    <w:t xml:space="preserve">130</w:t>
                  </w:r>
                </w:p>
              </w:tc>
              <w:tc>
                <w:tcPr/>
                <w:p>
                  <w:pPr>
                    <w:pStyle w:val="Compact"/>
                    <w:jc w:val="right"/>
                    <w:jc w:val="center"/>
                  </w:pPr>
                  <w:r>
                    <w:t xml:space="preserve">43.9</w:t>
                  </w:r>
                </w:p>
              </w:tc>
            </w:tr>
            <w:tr>
              <w:tc>
                <w:tcPr/>
                <w:p>
                  <w:pPr>
                    <w:pStyle w:val="Compact"/>
                    <w:jc w:val="left"/>
                    <w:jc w:val="center"/>
                  </w:pPr>
                  <w:r>
                    <w:t xml:space="preserve">4-year college graduate</w:t>
                  </w:r>
                </w:p>
              </w:tc>
              <w:tc>
                <w:tcPr/>
                <w:p>
                  <w:pPr>
                    <w:pStyle w:val="Compact"/>
                    <w:jc w:val="right"/>
                    <w:jc w:val="center"/>
                  </w:pPr>
                  <w:r>
                    <w:t xml:space="preserve">30</w:t>
                  </w:r>
                </w:p>
              </w:tc>
              <w:tc>
                <w:tcPr/>
                <w:p>
                  <w:pPr>
                    <w:pStyle w:val="Compact"/>
                    <w:jc w:val="right"/>
                    <w:jc w:val="center"/>
                  </w:pPr>
                  <w:r>
                    <w:t xml:space="preserve">10.1</w:t>
                  </w:r>
                </w:p>
              </w:tc>
            </w:tr>
            <w:tr>
              <w:tc>
                <w:tcPr/>
                <w:p>
                  <w:pPr>
                    <w:pStyle w:val="Compact"/>
                    <w:jc w:val="left"/>
                    <w:jc w:val="center"/>
                  </w:pPr>
                  <w:r>
                    <w:t xml:space="preserve">More than 4-year or advanced degree</w:t>
                  </w:r>
                </w:p>
              </w:tc>
              <w:tc>
                <w:tcPr/>
                <w:p>
                  <w:pPr>
                    <w:pStyle w:val="Compact"/>
                    <w:jc w:val="right"/>
                    <w:jc w:val="center"/>
                  </w:pPr>
                  <w:r>
                    <w:t xml:space="preserve">12</w:t>
                  </w:r>
                </w:p>
              </w:tc>
              <w:tc>
                <w:tcPr/>
                <w:p>
                  <w:pPr>
                    <w:pStyle w:val="Compact"/>
                    <w:jc w:val="right"/>
                    <w:jc w:val="center"/>
                  </w:pPr>
                  <w:r>
                    <w:t xml:space="preserve">4.1</w:t>
                  </w:r>
                </w:p>
              </w:tc>
            </w:tr>
            <w:tr>
              <w:tc>
                <w:tcPr/>
                <w:p>
                  <w:pPr>
                    <w:pStyle w:val="Compact"/>
                    <w:jc w:val="left"/>
                    <w:jc w:val="center"/>
                  </w:pPr>
                  <w:r>
                    <w:t xml:space="preserve">Employment</w:t>
                  </w:r>
                </w:p>
              </w:tc>
              <w:tc>
                <w:tcPr/>
                <w:p>
                  <w:pPr>
                    <w:pStyle w:val="Compact"/>
                  </w:pPr>
                </w:p>
              </w:tc>
              <w:tc>
                <w:tcPr/>
                <w:p>
                  <w:pPr>
                    <w:pStyle w:val="Compact"/>
                  </w:pPr>
                </w:p>
              </w:tc>
            </w:tr>
            <w:tr>
              <w:tc>
                <w:tcPr>
                  <w:gridSpan w:val="3"/>
                </w:tcPr>
                <w:p>
                  <w:pPr>
                    <w:pStyle w:val="Compact"/>
                    <w:jc w:val="left"/>
                    <w:jc w:val="center"/>
                  </w:pPr>
                </w:p>
              </w:tc>
            </w:tr>
            <w:tr>
              <w:tc>
                <w:tcPr/>
                <w:p>
                  <w:pPr>
                    <w:pStyle w:val="Compact"/>
                    <w:jc w:val="left"/>
                    <w:jc w:val="center"/>
                  </w:pPr>
                  <w:r>
                    <w:t xml:space="preserve">Disabled, not able to work</w:t>
                  </w:r>
                </w:p>
              </w:tc>
              <w:tc>
                <w:tcPr/>
                <w:p>
                  <w:pPr>
                    <w:pStyle w:val="Compact"/>
                    <w:jc w:val="right"/>
                    <w:jc w:val="center"/>
                  </w:pPr>
                  <w:r>
                    <w:t xml:space="preserve">34</w:t>
                  </w:r>
                </w:p>
              </w:tc>
              <w:tc>
                <w:tcPr/>
                <w:p>
                  <w:pPr>
                    <w:pStyle w:val="Compact"/>
                    <w:jc w:val="right"/>
                    <w:jc w:val="center"/>
                  </w:pPr>
                  <w:r>
                    <w:t xml:space="preserve">11.5</w:t>
                  </w:r>
                </w:p>
              </w:tc>
            </w:tr>
            <w:tr>
              <w:tc>
                <w:tcPr/>
                <w:p>
                  <w:pPr>
                    <w:pStyle w:val="Compact"/>
                    <w:jc w:val="left"/>
                    <w:jc w:val="center"/>
                  </w:pPr>
                  <w:r>
                    <w:t xml:space="preserve">Employed, working 1-39 hours per week</w:t>
                  </w:r>
                </w:p>
              </w:tc>
              <w:tc>
                <w:tcPr/>
                <w:p>
                  <w:pPr>
                    <w:pStyle w:val="Compact"/>
                    <w:jc w:val="right"/>
                    <w:jc w:val="center"/>
                  </w:pPr>
                  <w:r>
                    <w:t xml:space="preserve">69</w:t>
                  </w:r>
                </w:p>
              </w:tc>
              <w:tc>
                <w:tcPr/>
                <w:p>
                  <w:pPr>
                    <w:pStyle w:val="Compact"/>
                    <w:jc w:val="right"/>
                    <w:jc w:val="center"/>
                  </w:pPr>
                  <w:r>
                    <w:t xml:space="preserve">23.3</w:t>
                  </w:r>
                </w:p>
              </w:tc>
            </w:tr>
            <w:tr>
              <w:tc>
                <w:tcPr/>
                <w:p>
                  <w:pPr>
                    <w:pStyle w:val="Compact"/>
                    <w:jc w:val="left"/>
                    <w:jc w:val="center"/>
                  </w:pPr>
                  <w:r>
                    <w:t xml:space="preserve">Employed, working 40 or more hours per week</w:t>
                  </w:r>
                </w:p>
              </w:tc>
              <w:tc>
                <w:tcPr/>
                <w:p>
                  <w:pPr>
                    <w:pStyle w:val="Compact"/>
                    <w:jc w:val="right"/>
                    <w:jc w:val="center"/>
                  </w:pPr>
                  <w:r>
                    <w:t xml:space="preserve">54</w:t>
                  </w:r>
                </w:p>
              </w:tc>
              <w:tc>
                <w:tcPr/>
                <w:p>
                  <w:pPr>
                    <w:pStyle w:val="Compact"/>
                    <w:jc w:val="right"/>
                    <w:jc w:val="center"/>
                  </w:pPr>
                  <w:r>
                    <w:t xml:space="preserve">18.2</w:t>
                  </w:r>
                </w:p>
              </w:tc>
            </w:tr>
            <w:tr>
              <w:tc>
                <w:tcPr/>
                <w:p>
                  <w:pPr>
                    <w:pStyle w:val="Compact"/>
                    <w:jc w:val="left"/>
                    <w:jc w:val="center"/>
                  </w:pPr>
                  <w:r>
                    <w:t xml:space="preserve">Not employed, NOT looking for work</w:t>
                  </w:r>
                </w:p>
              </w:tc>
              <w:tc>
                <w:tcPr/>
                <w:p>
                  <w:pPr>
                    <w:pStyle w:val="Compact"/>
                    <w:jc w:val="right"/>
                    <w:jc w:val="center"/>
                  </w:pPr>
                  <w:r>
                    <w:t xml:space="preserve">32</w:t>
                  </w:r>
                </w:p>
              </w:tc>
              <w:tc>
                <w:tcPr/>
                <w:p>
                  <w:pPr>
                    <w:pStyle w:val="Compact"/>
                    <w:jc w:val="right"/>
                    <w:jc w:val="center"/>
                  </w:pPr>
                  <w:r>
                    <w:t xml:space="preserve">10.8</w:t>
                  </w:r>
                </w:p>
              </w:tc>
            </w:tr>
            <w:tr>
              <w:tc>
                <w:tcPr/>
                <w:p>
                  <w:pPr>
                    <w:pStyle w:val="Compact"/>
                    <w:jc w:val="left"/>
                    <w:jc w:val="center"/>
                  </w:pPr>
                  <w:r>
                    <w:t xml:space="preserve">Not employed, looking for work</w:t>
                  </w:r>
                </w:p>
              </w:tc>
              <w:tc>
                <w:tcPr/>
                <w:p>
                  <w:pPr>
                    <w:pStyle w:val="Compact"/>
                    <w:jc w:val="right"/>
                    <w:jc w:val="center"/>
                  </w:pPr>
                  <w:r>
                    <w:t xml:space="preserve">102</w:t>
                  </w:r>
                </w:p>
              </w:tc>
              <w:tc>
                <w:tcPr/>
                <w:p>
                  <w:pPr>
                    <w:pStyle w:val="Compact"/>
                    <w:jc w:val="right"/>
                    <w:jc w:val="center"/>
                  </w:pPr>
                  <w:r>
                    <w:t xml:space="preserve">34.5</w:t>
                  </w:r>
                </w:p>
              </w:tc>
            </w:tr>
            <w:tr>
              <w:tc>
                <w:tcPr/>
                <w:p>
                  <w:pPr>
                    <w:pStyle w:val="Compact"/>
                    <w:jc w:val="left"/>
                    <w:jc w:val="center"/>
                  </w:pPr>
                  <w:r>
                    <w:t xml:space="preserve">Retired</w:t>
                  </w:r>
                </w:p>
              </w:tc>
              <w:tc>
                <w:tcPr/>
                <w:p>
                  <w:pPr>
                    <w:pStyle w:val="Compact"/>
                    <w:jc w:val="right"/>
                    <w:jc w:val="center"/>
                  </w:pPr>
                  <w:r>
                    <w:t xml:space="preserve">3</w:t>
                  </w:r>
                </w:p>
              </w:tc>
              <w:tc>
                <w:tcPr/>
                <w:p>
                  <w:pPr>
                    <w:pStyle w:val="Compact"/>
                    <w:jc w:val="right"/>
                    <w:jc w:val="center"/>
                  </w:pPr>
                  <w:r>
                    <w:t xml:space="preserve">1.0</w:t>
                  </w:r>
                </w:p>
              </w:tc>
            </w:tr>
            <w:tr>
              <w:tc>
                <w:tcPr/>
                <w:p>
                  <w:pPr>
                    <w:pStyle w:val="Compact"/>
                    <w:jc w:val="left"/>
                    <w:jc w:val="center"/>
                  </w:pPr>
                  <w:r>
                    <w:t xml:space="preserve">Household Income</w:t>
                  </w:r>
                </w:p>
              </w:tc>
              <w:tc>
                <w:tcPr/>
                <w:p>
                  <w:pPr>
                    <w:pStyle w:val="Compact"/>
                  </w:pPr>
                </w:p>
              </w:tc>
              <w:tc>
                <w:tcPr/>
                <w:p>
                  <w:pPr>
                    <w:pStyle w:val="Compact"/>
                  </w:pPr>
                </w:p>
              </w:tc>
            </w:tr>
            <w:tr>
              <w:tc>
                <w:tcPr>
                  <w:gridSpan w:val="3"/>
                </w:tcPr>
                <w:p>
                  <w:pPr>
                    <w:pStyle w:val="Compact"/>
                    <w:jc w:val="left"/>
                    <w:jc w:val="center"/>
                  </w:pPr>
                </w:p>
              </w:tc>
            </w:tr>
            <w:tr>
              <w:tc>
                <w:tcPr/>
                <w:p>
                  <w:pPr>
                    <w:pStyle w:val="Compact"/>
                    <w:jc w:val="left"/>
                    <w:jc w:val="center"/>
                  </w:pPr>
                  <w:r>
                    <w:t xml:space="preserve">Less than $25,000</w:t>
                  </w:r>
                </w:p>
              </w:tc>
              <w:tc>
                <w:tcPr/>
                <w:p>
                  <w:pPr>
                    <w:pStyle w:val="Compact"/>
                    <w:jc w:val="right"/>
                    <w:jc w:val="center"/>
                  </w:pPr>
                  <w:r>
                    <w:t xml:space="preserve">164</w:t>
                  </w:r>
                </w:p>
              </w:tc>
              <w:tc>
                <w:tcPr/>
                <w:p>
                  <w:pPr>
                    <w:pStyle w:val="Compact"/>
                    <w:jc w:val="right"/>
                    <w:jc w:val="center"/>
                  </w:pPr>
                  <w:r>
                    <w:t xml:space="preserve">55.4</w:t>
                  </w:r>
                </w:p>
              </w:tc>
            </w:tr>
            <w:tr>
              <w:tc>
                <w:tcPr/>
                <w:p>
                  <w:pPr>
                    <w:pStyle w:val="Compact"/>
                    <w:jc w:val="left"/>
                    <w:jc w:val="center"/>
                  </w:pPr>
                  <w:r>
                    <w:t xml:space="preserve">$25,000 - $34,999</w:t>
                  </w:r>
                </w:p>
              </w:tc>
              <w:tc>
                <w:tcPr/>
                <w:p>
                  <w:pPr>
                    <w:pStyle w:val="Compact"/>
                    <w:jc w:val="right"/>
                    <w:jc w:val="center"/>
                  </w:pPr>
                  <w:r>
                    <w:t xml:space="preserve">42</w:t>
                  </w:r>
                </w:p>
              </w:tc>
              <w:tc>
                <w:tcPr/>
                <w:p>
                  <w:pPr>
                    <w:pStyle w:val="Compact"/>
                    <w:jc w:val="right"/>
                    <w:jc w:val="center"/>
                  </w:pPr>
                  <w:r>
                    <w:t xml:space="preserve">14.2</w:t>
                  </w:r>
                </w:p>
              </w:tc>
            </w:tr>
            <w:tr>
              <w:tc>
                <w:tcPr/>
                <w:p>
                  <w:pPr>
                    <w:pStyle w:val="Compact"/>
                    <w:jc w:val="left"/>
                    <w:jc w:val="center"/>
                  </w:pPr>
                  <w:r>
                    <w:t xml:space="preserve">$35,000 - $49,999</w:t>
                  </w:r>
                </w:p>
              </w:tc>
              <w:tc>
                <w:tcPr/>
                <w:p>
                  <w:pPr>
                    <w:pStyle w:val="Compact"/>
                    <w:jc w:val="right"/>
                    <w:jc w:val="center"/>
                  </w:pPr>
                  <w:r>
                    <w:t xml:space="preserve">38</w:t>
                  </w:r>
                </w:p>
              </w:tc>
              <w:tc>
                <w:tcPr/>
                <w:p>
                  <w:pPr>
                    <w:pStyle w:val="Compact"/>
                    <w:jc w:val="right"/>
                    <w:jc w:val="center"/>
                  </w:pPr>
                  <w:r>
                    <w:t xml:space="preserve">12.8</w:t>
                  </w:r>
                </w:p>
              </w:tc>
            </w:tr>
            <w:tr>
              <w:tc>
                <w:tcPr/>
                <w:p>
                  <w:pPr>
                    <w:pStyle w:val="Compact"/>
                    <w:jc w:val="left"/>
                    <w:jc w:val="center"/>
                  </w:pPr>
                  <w:r>
                    <w:t xml:space="preserve">$50,000 - $74,999</w:t>
                  </w:r>
                </w:p>
              </w:tc>
              <w:tc>
                <w:tcPr/>
                <w:p>
                  <w:pPr>
                    <w:pStyle w:val="Compact"/>
                    <w:jc w:val="right"/>
                    <w:jc w:val="center"/>
                  </w:pPr>
                  <w:r>
                    <w:t xml:space="preserve">29</w:t>
                  </w:r>
                </w:p>
              </w:tc>
              <w:tc>
                <w:tcPr/>
                <w:p>
                  <w:pPr>
                    <w:pStyle w:val="Compact"/>
                    <w:jc w:val="right"/>
                    <w:jc w:val="center"/>
                  </w:pPr>
                  <w:r>
                    <w:t xml:space="preserve">9.8</w:t>
                  </w:r>
                </w:p>
              </w:tc>
            </w:tr>
            <w:tr>
              <w:tc>
                <w:tcPr/>
                <w:p>
                  <w:pPr>
                    <w:pStyle w:val="Compact"/>
                    <w:jc w:val="left"/>
                    <w:jc w:val="center"/>
                  </w:pPr>
                  <w:r>
                    <w:t xml:space="preserve">$75,000 - $99,999</w:t>
                  </w:r>
                </w:p>
              </w:tc>
              <w:tc>
                <w:tcPr/>
                <w:p>
                  <w:pPr>
                    <w:pStyle w:val="Compact"/>
                    <w:jc w:val="right"/>
                    <w:jc w:val="center"/>
                  </w:pPr>
                  <w:r>
                    <w:t xml:space="preserve">13</w:t>
                  </w:r>
                </w:p>
              </w:tc>
              <w:tc>
                <w:tcPr/>
                <w:p>
                  <w:pPr>
                    <w:pStyle w:val="Compact"/>
                    <w:jc w:val="right"/>
                    <w:jc w:val="center"/>
                  </w:pPr>
                  <w:r>
                    <w:t xml:space="preserve">4.4</w:t>
                  </w:r>
                </w:p>
              </w:tc>
            </w:tr>
            <w:tr>
              <w:tc>
                <w:tcPr/>
                <w:p>
                  <w:pPr>
                    <w:pStyle w:val="Compact"/>
                    <w:jc w:val="left"/>
                    <w:jc w:val="center"/>
                  </w:pPr>
                  <w:r>
                    <w:t xml:space="preserve">$100,000 - $149,999</w:t>
                  </w:r>
                </w:p>
              </w:tc>
              <w:tc>
                <w:tcPr/>
                <w:p>
                  <w:pPr>
                    <w:pStyle w:val="Compact"/>
                    <w:jc w:val="right"/>
                    <w:jc w:val="center"/>
                  </w:pPr>
                  <w:r>
                    <w:t xml:space="preserve">3</w:t>
                  </w:r>
                </w:p>
              </w:tc>
              <w:tc>
                <w:tcPr/>
                <w:p>
                  <w:pPr>
                    <w:pStyle w:val="Compact"/>
                    <w:jc w:val="right"/>
                    <w:jc w:val="center"/>
                  </w:pPr>
                  <w:r>
                    <w:t xml:space="preserve">1.0</w:t>
                  </w:r>
                </w:p>
              </w:tc>
            </w:tr>
            <w:tr>
              <w:tc>
                <w:tcPr/>
                <w:p>
                  <w:pPr>
                    <w:pStyle w:val="Compact"/>
                    <w:jc w:val="left"/>
                    <w:jc w:val="center"/>
                  </w:pPr>
                  <w:r>
                    <w:t xml:space="preserve">$150,000 - $199,999</w:t>
                  </w:r>
                </w:p>
              </w:tc>
              <w:tc>
                <w:tcPr/>
                <w:p>
                  <w:pPr>
                    <w:pStyle w:val="Compact"/>
                    <w:jc w:val="right"/>
                    <w:jc w:val="center"/>
                  </w:pPr>
                  <w:r>
                    <w:t xml:space="preserve">4</w:t>
                  </w:r>
                </w:p>
              </w:tc>
              <w:tc>
                <w:tcPr/>
                <w:p>
                  <w:pPr>
                    <w:pStyle w:val="Compact"/>
                    <w:jc w:val="right"/>
                    <w:jc w:val="center"/>
                  </w:pPr>
                  <w:r>
                    <w:t xml:space="preserve">1.4</w:t>
                  </w:r>
                </w:p>
              </w:tc>
            </w:tr>
            <w:tr>
              <w:tc>
                <w:tcPr/>
                <w:p>
                  <w:pPr>
                    <w:pStyle w:val="Compact"/>
                    <w:jc w:val="left"/>
                    <w:jc w:val="center"/>
                  </w:pPr>
                  <w:r>
                    <w:t xml:space="preserve">$200,000 or more</w:t>
                  </w:r>
                </w:p>
              </w:tc>
              <w:tc>
                <w:tcPr/>
                <w:p>
                  <w:pPr>
                    <w:pStyle w:val="Compact"/>
                    <w:jc w:val="right"/>
                    <w:jc w:val="center"/>
                  </w:pPr>
                  <w:r>
                    <w:t xml:space="preserve">1</w:t>
                  </w:r>
                </w:p>
              </w:tc>
              <w:tc>
                <w:tcPr/>
                <w:p>
                  <w:pPr>
                    <w:pStyle w:val="Compact"/>
                    <w:jc w:val="right"/>
                    <w:jc w:val="center"/>
                  </w:pPr>
                  <w:r>
                    <w:t xml:space="preserve">0.3</w:t>
                  </w:r>
                </w:p>
              </w:tc>
            </w:tr>
            <w:tr>
              <w:tc>
                <w:tcPr/>
                <w:p>
                  <w:pPr>
                    <w:pStyle w:val="Compact"/>
                    <w:jc w:val="left"/>
                    <w:jc w:val="center"/>
                  </w:pPr>
                  <w:r>
                    <w:t xml:space="preserve">Self-reported DSM-5 OUD Symptom Count</w:t>
                  </w:r>
                </w:p>
              </w:tc>
              <w:tc>
                <w:tcPr/>
                <w:p>
                  <w:pPr>
                    <w:pStyle w:val="Compact"/>
                  </w:pPr>
                </w:p>
              </w:tc>
              <w:tc>
                <w:tcPr/>
                <w:p>
                  <w:pPr>
                    <w:pStyle w:val="Compact"/>
                  </w:pPr>
                </w:p>
              </w:tc>
            </w:tr>
            <w:tr>
              <w:tc>
                <w:tcPr>
                  <w:gridSpan w:val="3"/>
                </w:tcPr>
                <w:p>
                  <w:pPr>
                    <w:pStyle w:val="Compact"/>
                    <w:jc w:val="left"/>
                    <w:jc w:val="center"/>
                  </w:pPr>
                </w:p>
              </w:tc>
            </w:tr>
            <w:tr>
              <w:tc>
                <w:tcPr/>
                <w:p>
                  <w:pPr>
                    <w:pStyle w:val="Compact"/>
                    <w:jc w:val="left"/>
                    <w:jc w:val="center"/>
                  </w:pPr>
                  <w:r>
                    <w:t xml:space="preserve">Under threshold (0-1)</w:t>
                  </w:r>
                </w:p>
              </w:tc>
              <w:tc>
                <w:tcPr/>
                <w:p>
                  <w:pPr>
                    <w:pStyle w:val="Compact"/>
                    <w:jc w:val="right"/>
                    <w:jc w:val="center"/>
                  </w:pPr>
                  <w:r>
                    <w:t xml:space="preserve">5</w:t>
                  </w:r>
                </w:p>
              </w:tc>
              <w:tc>
                <w:tcPr/>
                <w:p>
                  <w:pPr>
                    <w:pStyle w:val="Compact"/>
                    <w:jc w:val="right"/>
                    <w:jc w:val="center"/>
                  </w:pPr>
                  <w:r>
                    <w:t xml:space="preserve">1.7</w:t>
                  </w:r>
                </w:p>
              </w:tc>
            </w:tr>
            <w:tr>
              <w:tc>
                <w:tcPr/>
                <w:p>
                  <w:pPr>
                    <w:pStyle w:val="Compact"/>
                    <w:jc w:val="left"/>
                    <w:jc w:val="center"/>
                  </w:pPr>
                  <w:r>
                    <w:t xml:space="preserve">Mild (2-3)</w:t>
                  </w:r>
                </w:p>
              </w:tc>
              <w:tc>
                <w:tcPr/>
                <w:p>
                  <w:pPr>
                    <w:pStyle w:val="Compact"/>
                    <w:jc w:val="right"/>
                    <w:jc w:val="center"/>
                  </w:pPr>
                  <w:r>
                    <w:t xml:space="preserve">0</w:t>
                  </w:r>
                </w:p>
              </w:tc>
              <w:tc>
                <w:tcPr/>
                <w:p>
                  <w:pPr>
                    <w:pStyle w:val="Compact"/>
                    <w:jc w:val="right"/>
                    <w:jc w:val="center"/>
                  </w:pPr>
                  <w:r>
                    <w:t xml:space="preserve">0.0</w:t>
                  </w:r>
                </w:p>
              </w:tc>
            </w:tr>
            <w:tr>
              <w:tc>
                <w:tcPr/>
                <w:p>
                  <w:pPr>
                    <w:pStyle w:val="Compact"/>
                    <w:jc w:val="left"/>
                    <w:jc w:val="center"/>
                  </w:pPr>
                  <w:r>
                    <w:t xml:space="preserve">Moderate (4-5)</w:t>
                  </w:r>
                </w:p>
              </w:tc>
              <w:tc>
                <w:tcPr/>
                <w:p>
                  <w:pPr>
                    <w:pStyle w:val="Compact"/>
                    <w:jc w:val="right"/>
                    <w:jc w:val="center"/>
                  </w:pPr>
                  <w:r>
                    <w:t xml:space="preserve">5</w:t>
                  </w:r>
                </w:p>
              </w:tc>
              <w:tc>
                <w:tcPr/>
                <w:p>
                  <w:pPr>
                    <w:pStyle w:val="Compact"/>
                    <w:jc w:val="right"/>
                    <w:jc w:val="center"/>
                  </w:pPr>
                  <w:r>
                    <w:t xml:space="preserve">1.7</w:t>
                  </w:r>
                </w:p>
              </w:tc>
            </w:tr>
            <w:tr>
              <w:tc>
                <w:tcPr/>
                <w:p>
                  <w:pPr>
                    <w:pStyle w:val="Compact"/>
                    <w:jc w:val="left"/>
                    <w:jc w:val="center"/>
                  </w:pPr>
                  <w:r>
                    <w:t xml:space="preserve">Severe (6+)</w:t>
                  </w:r>
                </w:p>
              </w:tc>
              <w:tc>
                <w:tcPr/>
                <w:p>
                  <w:pPr>
                    <w:pStyle w:val="Compact"/>
                    <w:jc w:val="right"/>
                    <w:jc w:val="center"/>
                  </w:pPr>
                  <w:r>
                    <w:t xml:space="preserve">284</w:t>
                  </w:r>
                </w:p>
              </w:tc>
              <w:tc>
                <w:tcPr/>
                <w:p>
                  <w:pPr>
                    <w:pStyle w:val="Compact"/>
                    <w:jc w:val="right"/>
                    <w:jc w:val="center"/>
                  </w:pPr>
                  <w:r>
                    <w:t xml:space="preserve">95.9</w:t>
                  </w:r>
                </w:p>
              </w:tc>
            </w:tr>
            <w:tr>
              <w:tc>
                <w:tcPr/>
                <w:p>
                  <w:pPr>
                    <w:pStyle w:val="Compact"/>
                    <w:jc w:val="left"/>
                    <w:jc w:val="center"/>
                  </w:pPr>
                  <w:r>
                    <w:t xml:space="preserve">Past Month Opioid Use</w:t>
                  </w:r>
                </w:p>
              </w:tc>
              <w:tc>
                <w:tcPr/>
                <w:p>
                  <w:pPr>
                    <w:pStyle w:val="Compact"/>
                  </w:pPr>
                </w:p>
              </w:tc>
              <w:tc>
                <w:tcPr/>
                <w:p>
                  <w:pPr>
                    <w:pStyle w:val="Compact"/>
                  </w:pPr>
                </w:p>
              </w:tc>
            </w:tr>
            <w:tr>
              <w:tc>
                <w:tcPr>
                  <w:gridSpan w:val="3"/>
                </w:tcPr>
                <w:p>
                  <w:pPr>
                    <w:pStyle w:val="Compact"/>
                    <w:jc w:val="left"/>
                    <w:jc w:val="center"/>
                  </w:pPr>
                </w:p>
              </w:tc>
            </w:tr>
            <w:tr>
              <w:tc>
                <w:tcPr/>
                <w:p>
                  <w:pPr>
                    <w:pStyle w:val="Compact"/>
                    <w:jc w:val="left"/>
                    <w:jc w:val="center"/>
                  </w:pPr>
                  <w:r>
                    <w:t xml:space="preserve">No</w:t>
                  </w:r>
                </w:p>
              </w:tc>
              <w:tc>
                <w:tcPr/>
                <w:p>
                  <w:pPr>
                    <w:pStyle w:val="Compact"/>
                    <w:jc w:val="right"/>
                    <w:jc w:val="center"/>
                  </w:pPr>
                  <w:r>
                    <w:t xml:space="preserve">201</w:t>
                  </w:r>
                </w:p>
              </w:tc>
              <w:tc>
                <w:tcPr/>
                <w:p>
                  <w:pPr>
                    <w:pStyle w:val="Compact"/>
                    <w:jc w:val="right"/>
                    <w:jc w:val="center"/>
                  </w:pPr>
                  <w:r>
                    <w:t xml:space="preserve">67.9</w:t>
                  </w:r>
                </w:p>
              </w:tc>
            </w:tr>
            <w:tr>
              <w:tc>
                <w:tcPr/>
                <w:p>
                  <w:pPr>
                    <w:pStyle w:val="Compact"/>
                    <w:jc w:val="left"/>
                    <w:jc w:val="center"/>
                  </w:pPr>
                  <w:r>
                    <w:t xml:space="preserve">Yes</w:t>
                  </w:r>
                </w:p>
              </w:tc>
              <w:tc>
                <w:tcPr/>
                <w:p>
                  <w:pPr>
                    <w:pStyle w:val="Compact"/>
                    <w:jc w:val="right"/>
                    <w:jc w:val="center"/>
                  </w:pPr>
                  <w:r>
                    <w:t xml:space="preserve">93</w:t>
                  </w:r>
                </w:p>
              </w:tc>
              <w:tc>
                <w:tcPr/>
                <w:p>
                  <w:pPr>
                    <w:pStyle w:val="Compact"/>
                    <w:jc w:val="right"/>
                    <w:jc w:val="center"/>
                  </w:pPr>
                  <w:r>
                    <w:t xml:space="preserve">31.4</w:t>
                  </w:r>
                </w:p>
              </w:tc>
            </w:tr>
            <w:tr>
              <w:tc>
                <w:tcPr/>
                <w:p>
                  <w:pPr>
                    <w:pStyle w:val="Compact"/>
                    <w:jc w:val="left"/>
                    <w:jc w:val="center"/>
                  </w:pPr>
                  <w:r>
                    <w:t xml:space="preserve">Past Month Detox or Residential Treatment</w:t>
                  </w:r>
                </w:p>
              </w:tc>
              <w:tc>
                <w:tcPr/>
                <w:p>
                  <w:pPr>
                    <w:pStyle w:val="Compact"/>
                  </w:pPr>
                </w:p>
              </w:tc>
              <w:tc>
                <w:tcPr/>
                <w:p>
                  <w:pPr>
                    <w:pStyle w:val="Compact"/>
                  </w:pPr>
                </w:p>
              </w:tc>
            </w:tr>
            <w:tr>
              <w:tc>
                <w:tcPr>
                  <w:gridSpan w:val="3"/>
                </w:tcPr>
                <w:p>
                  <w:pPr>
                    <w:pStyle w:val="Compact"/>
                    <w:jc w:val="left"/>
                    <w:jc w:val="center"/>
                  </w:pPr>
                </w:p>
              </w:tc>
            </w:tr>
            <w:tr>
              <w:tc>
                <w:tcPr/>
                <w:p>
                  <w:pPr>
                    <w:pStyle w:val="Compact"/>
                    <w:jc w:val="left"/>
                    <w:jc w:val="center"/>
                  </w:pPr>
                  <w:r>
                    <w:t xml:space="preserve">No</w:t>
                  </w:r>
                </w:p>
              </w:tc>
              <w:tc>
                <w:tcPr/>
                <w:p>
                  <w:pPr>
                    <w:pStyle w:val="Compact"/>
                    <w:jc w:val="right"/>
                    <w:jc w:val="center"/>
                  </w:pPr>
                  <w:r>
                    <w:t xml:space="preserve">189</w:t>
                  </w:r>
                </w:p>
              </w:tc>
              <w:tc>
                <w:tcPr/>
                <w:p>
                  <w:pPr>
                    <w:pStyle w:val="Compact"/>
                    <w:jc w:val="right"/>
                    <w:jc w:val="center"/>
                  </w:pPr>
                  <w:r>
                    <w:t xml:space="preserve">63.9</w:t>
                  </w:r>
                </w:p>
              </w:tc>
            </w:tr>
            <w:tr>
              <w:tc>
                <w:tcPr/>
                <w:p>
                  <w:pPr>
                    <w:pStyle w:val="Compact"/>
                    <w:jc w:val="left"/>
                    <w:jc w:val="center"/>
                  </w:pPr>
                  <w:r>
                    <w:t xml:space="preserve">Yes</w:t>
                  </w:r>
                </w:p>
              </w:tc>
              <w:tc>
                <w:tcPr/>
                <w:p>
                  <w:pPr>
                    <w:pStyle w:val="Compact"/>
                    <w:jc w:val="right"/>
                    <w:jc w:val="center"/>
                  </w:pPr>
                  <w:r>
                    <w:t xml:space="preserve">106</w:t>
                  </w:r>
                </w:p>
              </w:tc>
              <w:tc>
                <w:tcPr/>
                <w:p>
                  <w:pPr>
                    <w:pStyle w:val="Compact"/>
                    <w:jc w:val="right"/>
                    <w:jc w:val="center"/>
                  </w:pPr>
                  <w:r>
                    <w:t xml:space="preserve">35.8</w:t>
                  </w:r>
                </w:p>
              </w:tc>
            </w:tr>
            <w:tr>
              <w:tc>
                <w:tcPr/>
                <w:p>
                  <w:pPr>
                    <w:pStyle w:val="Compact"/>
                    <w:jc w:val="left"/>
                    <w:jc w:val="center"/>
                  </w:pPr>
                  <w:r>
                    <w:t xml:space="preserve">Past Month Psychiatric Medication</w:t>
                  </w:r>
                </w:p>
              </w:tc>
              <w:tc>
                <w:tcPr/>
                <w:p>
                  <w:pPr>
                    <w:pStyle w:val="Compact"/>
                  </w:pPr>
                </w:p>
              </w:tc>
              <w:tc>
                <w:tcPr/>
                <w:p>
                  <w:pPr>
                    <w:pStyle w:val="Compact"/>
                  </w:pPr>
                </w:p>
              </w:tc>
            </w:tr>
            <w:tr>
              <w:tc>
                <w:tcPr>
                  <w:gridSpan w:val="3"/>
                </w:tcPr>
                <w:p>
                  <w:pPr>
                    <w:pStyle w:val="Compact"/>
                    <w:jc w:val="left"/>
                    <w:jc w:val="center"/>
                  </w:pPr>
                </w:p>
              </w:tc>
            </w:tr>
            <w:tr>
              <w:tc>
                <w:tcPr/>
                <w:p>
                  <w:pPr>
                    <w:pStyle w:val="Compact"/>
                    <w:jc w:val="left"/>
                    <w:jc w:val="center"/>
                  </w:pPr>
                  <w:r>
                    <w:t xml:space="preserve">No</w:t>
                  </w:r>
                </w:p>
              </w:tc>
              <w:tc>
                <w:tcPr/>
                <w:p>
                  <w:pPr>
                    <w:pStyle w:val="Compact"/>
                    <w:jc w:val="right"/>
                    <w:jc w:val="center"/>
                  </w:pPr>
                  <w:r>
                    <w:t xml:space="preserve">151</w:t>
                  </w:r>
                </w:p>
              </w:tc>
              <w:tc>
                <w:tcPr/>
                <w:p>
                  <w:pPr>
                    <w:pStyle w:val="Compact"/>
                    <w:jc w:val="right"/>
                    <w:jc w:val="center"/>
                  </w:pPr>
                  <w:r>
                    <w:t xml:space="preserve">51.0</w:t>
                  </w:r>
                </w:p>
              </w:tc>
            </w:tr>
            <w:tr>
              <w:tc>
                <w:tcPr/>
                <w:p>
                  <w:pPr>
                    <w:pStyle w:val="Compact"/>
                    <w:jc w:val="left"/>
                    <w:jc w:val="center"/>
                  </w:pPr>
                  <w:r>
                    <w:t xml:space="preserve">Yes</w:t>
                  </w:r>
                </w:p>
              </w:tc>
              <w:tc>
                <w:tcPr/>
                <w:p>
                  <w:pPr>
                    <w:pStyle w:val="Compact"/>
                    <w:jc w:val="right"/>
                    <w:jc w:val="center"/>
                  </w:pPr>
                  <w:r>
                    <w:t xml:space="preserve">144</w:t>
                  </w:r>
                </w:p>
              </w:tc>
              <w:tc>
                <w:tcPr/>
                <w:p>
                  <w:pPr>
                    <w:pStyle w:val="Compact"/>
                    <w:jc w:val="right"/>
                    <w:jc w:val="center"/>
                  </w:pPr>
                  <w:r>
                    <w:t xml:space="preserve">48.6</w:t>
                  </w:r>
                </w:p>
              </w:tc>
            </w:tr>
            <w:tr>
              <w:tc>
                <w:tcPr/>
                <w:p>
                  <w:pPr>
                    <w:pStyle w:val="Compact"/>
                    <w:jc w:val="left"/>
                    <w:jc w:val="center"/>
                  </w:pPr>
                  <w:r>
                    <w:t xml:space="preserve">Preferred Opioid</w:t>
                  </w:r>
                </w:p>
              </w:tc>
              <w:tc>
                <w:tcPr/>
                <w:p>
                  <w:pPr>
                    <w:pStyle w:val="Compact"/>
                  </w:pPr>
                </w:p>
              </w:tc>
              <w:tc>
                <w:tcPr/>
                <w:p>
                  <w:pPr>
                    <w:pStyle w:val="Compact"/>
                  </w:pPr>
                </w:p>
              </w:tc>
            </w:tr>
            <w:tr>
              <w:tc>
                <w:tcPr>
                  <w:gridSpan w:val="3"/>
                </w:tcPr>
                <w:p>
                  <w:pPr>
                    <w:pStyle w:val="Compact"/>
                    <w:jc w:val="left"/>
                    <w:jc w:val="center"/>
                  </w:pPr>
                </w:p>
              </w:tc>
            </w:tr>
            <w:tr>
              <w:tc>
                <w:tcPr/>
                <w:p>
                  <w:pPr>
                    <w:pStyle w:val="Compact"/>
                    <w:jc w:val="left"/>
                    <w:jc w:val="center"/>
                  </w:pPr>
                  <w:r>
                    <w:t xml:space="preserve">Fentanyl</w:t>
                  </w:r>
                </w:p>
              </w:tc>
              <w:tc>
                <w:tcPr/>
                <w:p>
                  <w:pPr>
                    <w:pStyle w:val="Compact"/>
                    <w:jc w:val="right"/>
                    <w:jc w:val="center"/>
                  </w:pPr>
                  <w:r>
                    <w:t xml:space="preserve">50</w:t>
                  </w:r>
                </w:p>
              </w:tc>
              <w:tc>
                <w:tcPr/>
                <w:p>
                  <w:pPr>
                    <w:pStyle w:val="Compact"/>
                    <w:jc w:val="right"/>
                    <w:jc w:val="center"/>
                  </w:pPr>
                  <w:r>
                    <w:t xml:space="preserve">16.9</w:t>
                  </w:r>
                </w:p>
              </w:tc>
            </w:tr>
            <w:tr>
              <w:tc>
                <w:tcPr/>
                <w:p>
                  <w:pPr>
                    <w:pStyle w:val="Compact"/>
                    <w:jc w:val="left"/>
                    <w:jc w:val="center"/>
                  </w:pPr>
                  <w:r>
                    <w:t xml:space="preserve">Heroin</w:t>
                  </w:r>
                </w:p>
              </w:tc>
              <w:tc>
                <w:tcPr/>
                <w:p>
                  <w:pPr>
                    <w:pStyle w:val="Compact"/>
                    <w:jc w:val="right"/>
                    <w:jc w:val="center"/>
                  </w:pPr>
                  <w:r>
                    <w:t xml:space="preserve">122</w:t>
                  </w:r>
                </w:p>
              </w:tc>
              <w:tc>
                <w:tcPr/>
                <w:p>
                  <w:pPr>
                    <w:pStyle w:val="Compact"/>
                    <w:jc w:val="right"/>
                    <w:jc w:val="center"/>
                  </w:pPr>
                  <w:r>
                    <w:t xml:space="preserve">41.2</w:t>
                  </w:r>
                </w:p>
              </w:tc>
            </w:tr>
            <w:tr>
              <w:tc>
                <w:tcPr/>
                <w:p>
                  <w:pPr>
                    <w:pStyle w:val="Compact"/>
                    <w:jc w:val="left"/>
                    <w:jc w:val="center"/>
                  </w:pPr>
                  <w:r>
                    <w:t xml:space="preserve">Prescription opioid not for opioid treatment</w:t>
                  </w:r>
                </w:p>
              </w:tc>
              <w:tc>
                <w:tcPr/>
                <w:p>
                  <w:pPr>
                    <w:pStyle w:val="Compact"/>
                    <w:jc w:val="right"/>
                    <w:jc w:val="center"/>
                  </w:pPr>
                  <w:r>
                    <w:t xml:space="preserve">93</w:t>
                  </w:r>
                </w:p>
              </w:tc>
              <w:tc>
                <w:tcPr/>
                <w:p>
                  <w:pPr>
                    <w:pStyle w:val="Compact"/>
                    <w:jc w:val="right"/>
                    <w:jc w:val="center"/>
                  </w:pPr>
                  <w:r>
                    <w:t xml:space="preserve">31.4</w:t>
                  </w:r>
                </w:p>
              </w:tc>
            </w:tr>
            <w:tr>
              <w:tc>
                <w:tcPr/>
                <w:p>
                  <w:pPr>
                    <w:pStyle w:val="Compact"/>
                    <w:jc w:val="left"/>
                    <w:jc w:val="center"/>
                  </w:pPr>
                  <w:r>
                    <w:t xml:space="preserve">Medication for opioid treatment</w:t>
                  </w:r>
                </w:p>
              </w:tc>
              <w:tc>
                <w:tcPr/>
                <w:p>
                  <w:pPr>
                    <w:pStyle w:val="Compact"/>
                    <w:jc w:val="right"/>
                    <w:jc w:val="center"/>
                  </w:pPr>
                  <w:r>
                    <w:t xml:space="preserve">28</w:t>
                  </w:r>
                </w:p>
              </w:tc>
              <w:tc>
                <w:tcPr/>
                <w:p>
                  <w:pPr>
                    <w:pStyle w:val="Compact"/>
                    <w:jc w:val="right"/>
                    <w:jc w:val="center"/>
                  </w:pPr>
                  <w:r>
                    <w:t xml:space="preserve">9.5</w:t>
                  </w:r>
                </w:p>
              </w:tc>
            </w:tr>
            <w:tr>
              <w:tc>
                <w:tcPr/>
                <w:p>
                  <w:pPr>
                    <w:pStyle w:val="Compact"/>
                    <w:jc w:val="left"/>
                    <w:jc w:val="center"/>
                  </w:pPr>
                  <w:r>
                    <w:t xml:space="preserve">Preferred Route of Administration</w:t>
                  </w:r>
                </w:p>
              </w:tc>
              <w:tc>
                <w:tcPr/>
                <w:p>
                  <w:pPr>
                    <w:pStyle w:val="Compact"/>
                  </w:pPr>
                </w:p>
              </w:tc>
              <w:tc>
                <w:tcPr/>
                <w:p>
                  <w:pPr>
                    <w:pStyle w:val="Compact"/>
                  </w:pPr>
                </w:p>
              </w:tc>
            </w:tr>
            <w:tr>
              <w:tc>
                <w:tcPr>
                  <w:gridSpan w:val="3"/>
                </w:tcPr>
                <w:p>
                  <w:pPr>
                    <w:pStyle w:val="Compact"/>
                    <w:jc w:val="left"/>
                    <w:jc w:val="center"/>
                  </w:pPr>
                </w:p>
              </w:tc>
            </w:tr>
            <w:tr>
              <w:tc>
                <w:tcPr/>
                <w:p>
                  <w:pPr>
                    <w:pStyle w:val="Compact"/>
                    <w:jc w:val="left"/>
                    <w:jc w:val="center"/>
                  </w:pPr>
                  <w:r>
                    <w:t xml:space="preserve">Injection</w:t>
                  </w:r>
                </w:p>
              </w:tc>
              <w:tc>
                <w:tcPr/>
                <w:p>
                  <w:pPr>
                    <w:pStyle w:val="Compact"/>
                    <w:jc w:val="right"/>
                    <w:jc w:val="center"/>
                  </w:pPr>
                  <w:r>
                    <w:t xml:space="preserve">104</w:t>
                  </w:r>
                </w:p>
              </w:tc>
              <w:tc>
                <w:tcPr/>
                <w:p>
                  <w:pPr>
                    <w:pStyle w:val="Compact"/>
                    <w:jc w:val="right"/>
                    <w:jc w:val="center"/>
                  </w:pPr>
                  <w:r>
                    <w:t xml:space="preserve">35.1</w:t>
                  </w:r>
                </w:p>
              </w:tc>
            </w:tr>
            <w:tr>
              <w:tc>
                <w:tcPr/>
                <w:p>
                  <w:pPr>
                    <w:pStyle w:val="Compact"/>
                    <w:jc w:val="left"/>
                    <w:jc w:val="center"/>
                  </w:pPr>
                  <w:r>
                    <w:t xml:space="preserve">Oral</w:t>
                  </w:r>
                </w:p>
              </w:tc>
              <w:tc>
                <w:tcPr/>
                <w:p>
                  <w:pPr>
                    <w:pStyle w:val="Compact"/>
                    <w:jc w:val="right"/>
                    <w:jc w:val="center"/>
                  </w:pPr>
                  <w:r>
                    <w:t xml:space="preserve">56</w:t>
                  </w:r>
                </w:p>
              </w:tc>
              <w:tc>
                <w:tcPr/>
                <w:p>
                  <w:pPr>
                    <w:pStyle w:val="Compact"/>
                    <w:jc w:val="right"/>
                    <w:jc w:val="center"/>
                  </w:pPr>
                  <w:r>
                    <w:t xml:space="preserve">18.9</w:t>
                  </w:r>
                </w:p>
              </w:tc>
            </w:tr>
            <w:tr>
              <w:tc>
                <w:tcPr/>
                <w:p>
                  <w:pPr>
                    <w:pStyle w:val="Compact"/>
                    <w:jc w:val="left"/>
                    <w:jc w:val="center"/>
                  </w:pPr>
                  <w:r>
                    <w:t xml:space="preserve">Smoke</w:t>
                  </w:r>
                </w:p>
              </w:tc>
              <w:tc>
                <w:tcPr/>
                <w:p>
                  <w:pPr>
                    <w:pStyle w:val="Compact"/>
                    <w:jc w:val="right"/>
                    <w:jc w:val="center"/>
                  </w:pPr>
                  <w:r>
                    <w:t xml:space="preserve">48</w:t>
                  </w:r>
                </w:p>
              </w:tc>
              <w:tc>
                <w:tcPr/>
                <w:p>
                  <w:pPr>
                    <w:pStyle w:val="Compact"/>
                    <w:jc w:val="right"/>
                    <w:jc w:val="center"/>
                  </w:pPr>
                  <w:r>
                    <w:t xml:space="preserve">16.2</w:t>
                  </w:r>
                </w:p>
              </w:tc>
            </w:tr>
            <w:tr>
              <w:tc>
                <w:tcPr/>
                <w:p>
                  <w:pPr>
                    <w:pStyle w:val="Compact"/>
                    <w:jc w:val="left"/>
                    <w:jc w:val="center"/>
                  </w:pPr>
                  <w:r>
                    <w:t xml:space="preserve">Sniff or snort</w:t>
                  </w:r>
                </w:p>
              </w:tc>
              <w:tc>
                <w:tcPr/>
                <w:p>
                  <w:pPr>
                    <w:pStyle w:val="Compact"/>
                    <w:jc w:val="right"/>
                    <w:jc w:val="center"/>
                  </w:pPr>
                  <w:r>
                    <w:t xml:space="preserve">83</w:t>
                  </w:r>
                </w:p>
              </w:tc>
              <w:tc>
                <w:tcPr/>
                <w:p>
                  <w:pPr>
                    <w:pStyle w:val="Compact"/>
                    <w:jc w:val="right"/>
                    <w:jc w:val="center"/>
                  </w:pPr>
                  <w:r>
                    <w:t xml:space="preserve">28.0</w:t>
                  </w:r>
                </w:p>
              </w:tc>
            </w:tr>
            <w:tr>
              <w:tc>
                <w:tcPr/>
                <w:p>
                  <w:pPr>
                    <w:pStyle w:val="Compact"/>
                    <w:jc w:val="left"/>
                    <w:jc w:val="center"/>
                  </w:pPr>
                  <w:r>
                    <w:t xml:space="preserve">Other</w:t>
                  </w:r>
                </w:p>
              </w:tc>
              <w:tc>
                <w:tcPr/>
                <w:p>
                  <w:pPr>
                    <w:pStyle w:val="Compact"/>
                    <w:jc w:val="right"/>
                    <w:jc w:val="center"/>
                  </w:pPr>
                  <w:r>
                    <w:t xml:space="preserve">3</w:t>
                  </w:r>
                </w:p>
              </w:tc>
              <w:tc>
                <w:tcPr/>
                <w:p>
                  <w:pPr>
                    <w:pStyle w:val="Compact"/>
                    <w:jc w:val="right"/>
                    <w:jc w:val="center"/>
                  </w:pPr>
                  <w:r>
                    <w:t xml:space="preserve">1.0</w:t>
                  </w:r>
                </w:p>
              </w:tc>
            </w:tr>
            <w:tr>
              <w:tc>
                <w:tcPr/>
                <w:p>
                  <w:pPr>
                    <w:pStyle w:val="Compact"/>
                    <w:jc w:val="left"/>
                    <w:jc w:val="center"/>
                  </w:pPr>
                  <w:r>
                    <w:t xml:space="preserve">Lifetime History of Overdose</w:t>
                  </w:r>
                </w:p>
              </w:tc>
              <w:tc>
                <w:tcPr/>
                <w:p>
                  <w:pPr>
                    <w:pStyle w:val="Compact"/>
                  </w:pPr>
                </w:p>
              </w:tc>
              <w:tc>
                <w:tcPr/>
                <w:p>
                  <w:pPr>
                    <w:pStyle w:val="Compact"/>
                  </w:pPr>
                </w:p>
              </w:tc>
            </w:tr>
            <w:tr>
              <w:tc>
                <w:tcPr>
                  <w:gridSpan w:val="3"/>
                </w:tcPr>
                <w:p>
                  <w:pPr>
                    <w:pStyle w:val="Compact"/>
                    <w:jc w:val="left"/>
                    <w:jc w:val="center"/>
                  </w:pPr>
                </w:p>
              </w:tc>
            </w:tr>
            <w:tr>
              <w:tc>
                <w:tcPr/>
                <w:p>
                  <w:pPr>
                    <w:pStyle w:val="Compact"/>
                    <w:jc w:val="left"/>
                    <w:jc w:val="center"/>
                  </w:pPr>
                  <w:r>
                    <w:t xml:space="preserve">Never</w:t>
                  </w:r>
                </w:p>
              </w:tc>
              <w:tc>
                <w:tcPr/>
                <w:p>
                  <w:pPr>
                    <w:pStyle w:val="Compact"/>
                    <w:jc w:val="right"/>
                    <w:jc w:val="center"/>
                  </w:pPr>
                  <w:r>
                    <w:t xml:space="preserve">119</w:t>
                  </w:r>
                </w:p>
              </w:tc>
              <w:tc>
                <w:tcPr/>
                <w:p>
                  <w:pPr>
                    <w:pStyle w:val="Compact"/>
                    <w:jc w:val="right"/>
                    <w:jc w:val="center"/>
                  </w:pPr>
                  <w:r>
                    <w:t xml:space="preserve">40.2</w:t>
                  </w:r>
                </w:p>
              </w:tc>
            </w:tr>
            <w:tr>
              <w:tc>
                <w:tcPr/>
                <w:p>
                  <w:pPr>
                    <w:pStyle w:val="Compact"/>
                    <w:jc w:val="left"/>
                    <w:jc w:val="center"/>
                  </w:pPr>
                  <w:r>
                    <w:t xml:space="preserve">1 time</w:t>
                  </w:r>
                </w:p>
              </w:tc>
              <w:tc>
                <w:tcPr/>
                <w:p>
                  <w:pPr>
                    <w:pStyle w:val="Compact"/>
                    <w:jc w:val="right"/>
                    <w:jc w:val="center"/>
                  </w:pPr>
                  <w:r>
                    <w:t xml:space="preserve">41</w:t>
                  </w:r>
                </w:p>
              </w:tc>
              <w:tc>
                <w:tcPr/>
                <w:p>
                  <w:pPr>
                    <w:pStyle w:val="Compact"/>
                    <w:jc w:val="right"/>
                    <w:jc w:val="center"/>
                  </w:pPr>
                  <w:r>
                    <w:t xml:space="preserve">13.9</w:t>
                  </w:r>
                </w:p>
              </w:tc>
            </w:tr>
            <w:tr>
              <w:tc>
                <w:tcPr/>
                <w:p>
                  <w:pPr>
                    <w:pStyle w:val="Compact"/>
                    <w:jc w:val="left"/>
                    <w:jc w:val="center"/>
                  </w:pPr>
                  <w:r>
                    <w:t xml:space="preserve">2-3 times</w:t>
                  </w:r>
                </w:p>
              </w:tc>
              <w:tc>
                <w:tcPr/>
                <w:p>
                  <w:pPr>
                    <w:pStyle w:val="Compact"/>
                    <w:jc w:val="right"/>
                    <w:jc w:val="center"/>
                  </w:pPr>
                  <w:r>
                    <w:t xml:space="preserve">69</w:t>
                  </w:r>
                </w:p>
              </w:tc>
              <w:tc>
                <w:tcPr/>
                <w:p>
                  <w:pPr>
                    <w:pStyle w:val="Compact"/>
                    <w:jc w:val="right"/>
                    <w:jc w:val="center"/>
                  </w:pPr>
                  <w:r>
                    <w:t xml:space="preserve">23.3</w:t>
                  </w:r>
                </w:p>
              </w:tc>
            </w:tr>
            <w:tr>
              <w:tc>
                <w:tcPr/>
                <w:p>
                  <w:pPr>
                    <w:pStyle w:val="Compact"/>
                    <w:jc w:val="left"/>
                    <w:jc w:val="center"/>
                  </w:pPr>
                  <w:r>
                    <w:t xml:space="preserve">4-5 times</w:t>
                  </w:r>
                </w:p>
              </w:tc>
              <w:tc>
                <w:tcPr/>
                <w:p>
                  <w:pPr>
                    <w:pStyle w:val="Compact"/>
                    <w:jc w:val="right"/>
                    <w:jc w:val="center"/>
                  </w:pPr>
                  <w:r>
                    <w:t xml:space="preserve">26</w:t>
                  </w:r>
                </w:p>
              </w:tc>
              <w:tc>
                <w:tcPr/>
                <w:p>
                  <w:pPr>
                    <w:pStyle w:val="Compact"/>
                    <w:jc w:val="right"/>
                    <w:jc w:val="center"/>
                  </w:pPr>
                  <w:r>
                    <w:t xml:space="preserve">8.8</w:t>
                  </w:r>
                </w:p>
              </w:tc>
            </w:tr>
            <w:tr>
              <w:tc>
                <w:tcPr/>
                <w:p>
                  <w:pPr>
                    <w:pStyle w:val="Compact"/>
                    <w:jc w:val="left"/>
                    <w:jc w:val="center"/>
                  </w:pPr>
                  <w:r>
                    <w:t xml:space="preserve">More than 5 times</w:t>
                  </w:r>
                </w:p>
              </w:tc>
              <w:tc>
                <w:tcPr/>
                <w:p>
                  <w:pPr>
                    <w:pStyle w:val="Compact"/>
                    <w:jc w:val="right"/>
                    <w:jc w:val="center"/>
                  </w:pPr>
                  <w:r>
                    <w:t xml:space="preserve">39</w:t>
                  </w:r>
                </w:p>
              </w:tc>
              <w:tc>
                <w:tcPr/>
                <w:p>
                  <w:pPr>
                    <w:pStyle w:val="Compact"/>
                    <w:jc w:val="right"/>
                    <w:jc w:val="center"/>
                  </w:pPr>
                  <w:r>
                    <w:t xml:space="preserve">13.2</w:t>
                  </w:r>
                </w:p>
              </w:tc>
            </w:tr>
            <w:tr>
              <w:tc>
                <w:tcPr/>
                <w:p>
                  <w:pPr>
                    <w:pStyle w:val="Compact"/>
                    <w:jc w:val="left"/>
                    <w:jc w:val="center"/>
                  </w:pPr>
                  <w:r>
                    <w:t xml:space="preserve">Note:</w:t>
                  </w:r>
                  <w:r>
                    <w:t xml:space="preserve"> </w:t>
                  </w:r>
                </w:p>
              </w:tc>
              <w:tc>
                <w:tcPr/>
                <w:p>
                  <w:pPr>
                    <w:pStyle w:val="Compact"/>
                  </w:pPr>
                </w:p>
              </w:tc>
              <w:tc>
                <w:tcPr/>
                <w:p>
                  <w:pPr>
                    <w:pStyle w:val="Compact"/>
                  </w:pPr>
                </w:p>
              </w:tc>
            </w:tr>
            <w:tr>
              <w:tc>
                <w:tcPr/>
                <w:p>
                  <w:pPr>
                    <w:pStyle w:val="Compact"/>
                    <w:jc w:val="left"/>
                    <w:jc w:val="center"/>
                  </w:pPr>
                  <w:r>
                    <w:t xml:space="preserve"> </w:t>
                  </w:r>
                  <w:r>
                    <w:t xml:space="preserve">N = 296</w:t>
                  </w:r>
                </w:p>
              </w:tc>
              <w:tc>
                <w:tcPr/>
                <w:p>
                  <w:pPr>
                    <w:pStyle w:val="Compact"/>
                  </w:pPr>
                </w:p>
              </w:tc>
              <w:tc>
                <w:tcPr/>
                <w:p>
                  <w:pPr>
                    <w:pStyle w:val="Compact"/>
                  </w:pPr>
                </w:p>
              </w:tc>
            </w:tr>
          </w:tbl>
          <w:bookmarkEnd w:id="160"/>
          <w:p/>
        </w:tc>
      </w:tr>
    </w:tbl>
    <w:p>
      <w:pPr>
        <w:pStyle w:val="BodyText"/>
      </w:pPr>
      <w:r>
        <w:rPr>
          <w:vertAlign w:val="subscript"/>
        </w:rPr>
        <w:t xml:space="preserve">Source:</w:t>
      </w:r>
      <w:r>
        <w:rPr>
          <w:vertAlign w:val="subscript"/>
        </w:rPr>
        <w:t xml:space="preserve"> </w:t>
      </w:r>
      <w:hyperlink r:id="rId161">
        <w:r>
          <w:rPr>
            <w:rStyle w:val="Hyperlink"/>
            <w:vertAlign w:val="subscript"/>
          </w:rPr>
          <w:t xml:space="preserve">Make All Tables for Dissertation</w:t>
        </w:r>
      </w:hyperlink>
    </w:p>
    <w:bookmarkEnd w:id="162"/>
    <w:bookmarkStart w:id="163" w:name="adherence-features-and-labels"/>
    <w:p>
      <w:pPr>
        <w:pStyle w:val="Heading3"/>
      </w:pPr>
      <w:r>
        <w:t xml:space="preserve">7.3.2 Adherence, Features, and Labels</w:t>
      </w:r>
    </w:p>
    <w:p>
      <w:pPr>
        <w:pStyle w:val="FirstParagraph"/>
      </w:pPr>
      <w:r>
        <w:t xml:space="preserve">Mean days on study across participants was 278.32 days (range 30-392 days). 77.7% of participants (230/296) remained on study for at least six months. Daily survey adherence was high. On average participants completed 77.8% of the daily survey prompts (range 40-100%). Participants provided, on average, 263.50 daily geolocation points (range 2.17-871.34).</w:t>
      </w:r>
    </w:p>
    <w:p>
      <w:pPr>
        <w:pStyle w:val="BodyText"/>
      </w:pPr>
      <w:r>
        <w:t xml:space="preserve">The average percentage of missing values across daily survey features was low (mean=0.71%, range 0-1.10%). The average percentage of missing values across geolocation features was higher (mean=12.0%, range 0-15.6%). Across participants we generated a total of 82,156 day-level labels. Thirty-six percent of participants (106/296) reported an opioid lapse while on study (mean=4.93, range 0-117). This resulted in 1.8% of the labels positive for lapse (1,458/82,156 labels). We stratified the data on a variable of whether someone lapsed on study to ensure our imbalanced outcome was evenly split (and roughly equivalent to the sample prevalance) across cross-validation folds.</w:t>
      </w:r>
    </w:p>
    <w:bookmarkEnd w:id="163"/>
    <w:bookmarkStart w:id="171" w:name="auroc-and-model-comparisons-1"/>
    <w:p>
      <w:pPr>
        <w:pStyle w:val="Heading3"/>
      </w:pPr>
      <w:r>
        <w:t xml:space="preserve">7.3.3 auROC and Model Comparisons</w:t>
      </w:r>
    </w:p>
    <w:p>
      <w:pPr>
        <w:pStyle w:val="FirstParagraph"/>
      </w:pPr>
      <w:r>
        <w:t xml:space="preserve">The median posterior probability for the best full model was 0.94, with narrow 95% CI ([0.93, 0.95]). To evaluate the incremental predictive value of our dynamic sensing features, we compared the performance of our full model to the performance of three ablated models: 0.63 (ablated daily survey features), 0.94 (ablated geolocation features), and 0.55 (ablated daily survey and geolocation features). There was strong evidence that the full model’s performance was better compared to models that ablated the daily survey features and the daily survey and geolocation features combined (probabilities = 1.00). There was no evidence that the full model performed better than a model with geolocation features ablated (probability = 0.34). The median difference in auROC, 95% Bayesian CI, and posterior probability that that the auROC difference was greater than 0 for all ablation contrasts are presented in</w:t>
      </w:r>
      <w:r>
        <w:t xml:space="preserve"> </w:t>
      </w:r>
      <w:hyperlink w:anchor="tbl-risk2model">
        <w:r>
          <w:rPr>
            <w:rStyle w:val="Hyperlink"/>
          </w:rPr>
          <w:t xml:space="preserve">Table 7</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64" w:name="tbl-risk2model"/>
          <w:p>
            <w:pPr>
              <w:jc w:val="center"/>
            </w:pPr>
            <w:pPr>
              <w:jc w:val="left"/>
              <w:spacing w:before="200"/>
              <w:pStyle w:val="ImageCaption"/>
            </w:pPr>
            <w:r>
              <w:t xml:space="preserve">Table 7: Median difference in auROC, 95% Bayesian credible interval (CI), and posterior probability that that the auROC difference was larger than 0 for all ablated model contrasts.</w:t>
            </w:r>
          </w:p>
          <w:tbl>
            <w:tblPr>
              <w:tblStyle w:val="Table"/>
              <w:tblW w:type="auto" w:w="0"/>
              <w:tblLook w:firstRow="1" w:lastRow="1" w:firstColumn="0" w:lastColumn="0" w:noHBand="0" w:noVBand="0" w:val="0020"/>
            </w:tblPr>
            <w:tblGrid>
              <w:gridCol w:w="1980"/>
              <w:gridCol w:w="1980"/>
              <w:gridCol w:w="1980"/>
              <w:gridCol w:w="1980"/>
            </w:tblGrid>
            <w:tr>
              <w:trPr>
                <w:tblHeader w:val="on"/>
              </w:trPr>
              <w:tc>
                <w:tcPr/>
                <w:p>
                  <w:pPr>
                    <w:pStyle w:val="Compact"/>
                    <w:jc w:val="left"/>
                    <w:jc w:val="center"/>
                  </w:pPr>
                  <w:r>
                    <w:t xml:space="preserve">Contrast</w:t>
                  </w:r>
                </w:p>
              </w:tc>
              <w:tc>
                <w:tcPr/>
                <w:p>
                  <w:pPr>
                    <w:pStyle w:val="Compact"/>
                    <w:jc w:val="left"/>
                    <w:jc w:val="center"/>
                  </w:pPr>
                  <w:r>
                    <w:t xml:space="preserve">Median auROC Difference</w:t>
                  </w:r>
                </w:p>
              </w:tc>
              <w:tc>
                <w:tcPr/>
                <w:p>
                  <w:pPr>
                    <w:pStyle w:val="Compact"/>
                    <w:jc w:val="left"/>
                    <w:jc w:val="center"/>
                  </w:pPr>
                  <w:r>
                    <w:t xml:space="preserve">Bayesian CI</w:t>
                  </w:r>
                </w:p>
              </w:tc>
              <w:tc>
                <w:tcPr/>
                <w:p>
                  <w:pPr>
                    <w:pStyle w:val="Compact"/>
                    <w:jc w:val="left"/>
                    <w:jc w:val="center"/>
                  </w:pPr>
                  <w:r>
                    <w:t xml:space="preserve">Probability</w:t>
                  </w:r>
                </w:p>
              </w:tc>
            </w:tr>
            <w:tr>
              <w:tc>
                <w:tcPr/>
                <w:p>
                  <w:pPr>
                    <w:pStyle w:val="Compact"/>
                    <w:jc w:val="left"/>
                    <w:jc w:val="center"/>
                  </w:pPr>
                  <w:r>
                    <w:t xml:space="preserve">full vs. ablated daily survey</w:t>
                  </w:r>
                </w:p>
              </w:tc>
              <w:tc>
                <w:tcPr/>
                <w:p>
                  <w:pPr>
                    <w:pStyle w:val="Compact"/>
                    <w:jc w:val="left"/>
                    <w:jc w:val="center"/>
                  </w:pPr>
                  <w:r>
                    <w:t xml:space="preserve">0.314</w:t>
                  </w:r>
                </w:p>
              </w:tc>
              <w:tc>
                <w:tcPr/>
                <w:p>
                  <w:pPr>
                    <w:pStyle w:val="Compact"/>
                    <w:jc w:val="left"/>
                    <w:jc w:val="center"/>
                  </w:pPr>
                  <w:r>
                    <w:t xml:space="preserve">[0.29, 0.338]</w:t>
                  </w:r>
                </w:p>
              </w:tc>
              <w:tc>
                <w:tcPr/>
                <w:p>
                  <w:pPr>
                    <w:pStyle w:val="Compact"/>
                    <w:jc w:val="left"/>
                    <w:jc w:val="center"/>
                  </w:pPr>
                  <w:r>
                    <w:t xml:space="preserve">1.000</w:t>
                  </w:r>
                </w:p>
              </w:tc>
            </w:tr>
            <w:tr>
              <w:tc>
                <w:tcPr/>
                <w:p>
                  <w:pPr>
                    <w:pStyle w:val="Compact"/>
                    <w:jc w:val="left"/>
                    <w:jc w:val="center"/>
                  </w:pPr>
                  <w:r>
                    <w:t xml:space="preserve">full vs. ablated geolocation</w:t>
                  </w:r>
                </w:p>
              </w:tc>
              <w:tc>
                <w:tcPr/>
                <w:p>
                  <w:pPr>
                    <w:pStyle w:val="Compact"/>
                    <w:jc w:val="left"/>
                    <w:jc w:val="center"/>
                  </w:pPr>
                  <w:r>
                    <w:t xml:space="preserve">-0.002</w:t>
                  </w:r>
                </w:p>
              </w:tc>
              <w:tc>
                <w:tcPr/>
                <w:p>
                  <w:pPr>
                    <w:pStyle w:val="Compact"/>
                    <w:jc w:val="left"/>
                    <w:jc w:val="center"/>
                  </w:pPr>
                  <w:r>
                    <w:t xml:space="preserve">[-0.009, 0.005]</w:t>
                  </w:r>
                </w:p>
              </w:tc>
              <w:tc>
                <w:tcPr/>
                <w:p>
                  <w:pPr>
                    <w:pStyle w:val="Compact"/>
                    <w:jc w:val="left"/>
                    <w:jc w:val="center"/>
                  </w:pPr>
                  <w:r>
                    <w:t xml:space="preserve">0.342</w:t>
                  </w:r>
                </w:p>
              </w:tc>
            </w:tr>
            <w:tr>
              <w:tc>
                <w:tcPr/>
                <w:p>
                  <w:pPr>
                    <w:pStyle w:val="Compact"/>
                    <w:jc w:val="left"/>
                    <w:jc w:val="center"/>
                  </w:pPr>
                  <w:r>
                    <w:t xml:space="preserve">full vs. ablated daily survey and geolocation</w:t>
                  </w:r>
                </w:p>
              </w:tc>
              <w:tc>
                <w:tcPr/>
                <w:p>
                  <w:pPr>
                    <w:pStyle w:val="Compact"/>
                    <w:jc w:val="left"/>
                    <w:jc w:val="center"/>
                  </w:pPr>
                  <w:r>
                    <w:t xml:space="preserve">0.389</w:t>
                  </w:r>
                </w:p>
              </w:tc>
              <w:tc>
                <w:tcPr/>
                <w:p>
                  <w:pPr>
                    <w:pStyle w:val="Compact"/>
                    <w:jc w:val="left"/>
                    <w:jc w:val="center"/>
                  </w:pPr>
                  <w:r>
                    <w:t xml:space="preserve">[0.363, 0.414]</w:t>
                  </w:r>
                </w:p>
              </w:tc>
              <w:tc>
                <w:tcPr/>
                <w:p>
                  <w:pPr>
                    <w:pStyle w:val="Compact"/>
                    <w:jc w:val="left"/>
                    <w:jc w:val="center"/>
                  </w:pPr>
                  <w:r>
                    <w:t xml:space="preserve">1.000</w:t>
                  </w:r>
                </w:p>
              </w:tc>
            </w:tr>
            <w:tr>
              <w:tc>
                <w:tcPr/>
                <w:p>
                  <w:pPr>
                    <w:pStyle w:val="Compact"/>
                    <w:jc w:val="left"/>
                    <w:jc w:val="center"/>
                  </w:pPr>
                  <w:r>
                    <w:t xml:space="preserve"> </w:t>
                  </w:r>
                  <w:r>
                    <w:t xml:space="preserve">Median auROC differences greater than 0 indicate the full model, on average, performed better than the ablated model (i.e., full vs. ablated daily survey, full vs. ablated geolocation, full vs. ablated daily survey and geolocation). Bayesian CI represents the range of values where there is a 95% probability that the true auROC difference lies within that range. Probability indicates the posterior probability that this difference is greater than 0 (i.e., the full model is performing better).</w:t>
                  </w:r>
                </w:p>
              </w:tc>
              <w:tc>
                <w:tcPr/>
                <w:p>
                  <w:pPr>
                    <w:pStyle w:val="Compact"/>
                  </w:pPr>
                </w:p>
              </w:tc>
              <w:tc>
                <w:tcPr/>
                <w:p>
                  <w:pPr>
                    <w:pStyle w:val="Compact"/>
                  </w:pPr>
                </w:p>
              </w:tc>
              <w:tc>
                <w:tcPr/>
                <w:p>
                  <w:pPr>
                    <w:pStyle w:val="Compact"/>
                  </w:pPr>
                </w:p>
              </w:tc>
            </w:tr>
          </w:tbl>
          <w:bookmarkEnd w:id="164"/>
          <w:p/>
        </w:tc>
      </w:tr>
    </w:tbl>
    <w:p>
      <w:pPr>
        <w:pStyle w:val="BodyText"/>
      </w:pPr>
      <w:r>
        <w:rPr>
          <w:vertAlign w:val="subscript"/>
        </w:rPr>
        <w:t xml:space="preserve">Source:</w:t>
      </w:r>
      <w:r>
        <w:rPr>
          <w:vertAlign w:val="subscript"/>
        </w:rPr>
        <w:t xml:space="preserve"> </w:t>
      </w:r>
      <w:hyperlink r:id="rId165">
        <w:r>
          <w:rPr>
            <w:rStyle w:val="Hyperlink"/>
            <w:vertAlign w:val="subscript"/>
          </w:rPr>
          <w:t xml:space="preserve">Make All Tables for Dissertation</w:t>
        </w:r>
      </w:hyperlink>
    </w:p>
    <w:p>
      <w:pPr>
        <w:pStyle w:val="BodyText"/>
      </w:pPr>
      <w:r>
        <w:t xml:space="preserve">Our fairness subgroup comparisons for the full model revealed strong evidence that performance differed by gender, income, race and ethnicity, sexual orientation, and geographic location (probabilities &gt; 0.97). Notably, our model performed better for individuals with an annual income of less than $25,000 compared to individuals with an annual income greater than $25,000, thus favoring the disadvantaged group. While differences in performance estimates exist, this model is likely still clinically meaningful across subgroups, as all subgroups yielded median auROCs between 0.91 - 0.95 (</w:t>
      </w:r>
      <w:hyperlink w:anchor="fig-1">
        <w:r>
          <w:rPr>
            <w:rStyle w:val="Hyperlink"/>
          </w:rPr>
          <w:t xml:space="preserve">Figure 8</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69" w:name="fig-1"/>
          <w:p>
            <w:pPr>
              <w:pStyle w:val="Compact"/>
              <w:jc w:val="center"/>
            </w:pPr>
            <w:r>
              <w:drawing>
                <wp:inline>
                  <wp:extent cx="5334000" cy="3810000"/>
                  <wp:effectExtent b="0" l="0" r="0" t="0"/>
                  <wp:docPr descr="" title="" id="167" name="Picture"/>
                  <a:graphic>
                    <a:graphicData uri="http://schemas.openxmlformats.org/drawingml/2006/picture">
                      <pic:pic>
                        <pic:nvPicPr>
                          <pic:cNvPr descr="index_files/figure-docx/notebooks-figures-fig-1-output-2.png" id="168" name="Picture"/>
                          <pic:cNvPicPr>
                            <a:picLocks noChangeArrowheads="1" noChangeAspect="1"/>
                          </pic:cNvPicPr>
                        </pic:nvPicPr>
                        <pic:blipFill>
                          <a:blip r:embed="rId166"/>
                          <a:stretch>
                            <a:fillRect/>
                          </a:stretch>
                        </pic:blipFill>
                        <pic:spPr bwMode="auto">
                          <a:xfrm>
                            <a:off x="0" y="0"/>
                            <a:ext cx="5334000" cy="3810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8: Posterior probabilities for area under the receiver operating curve (auROC) by demographic subgroup. auROC ranges from .5 (chance performance) to 1 (perfect performance). Subgroups advantaged in access to substance use treatment and outcomes (male, non-Hispanic White, greater than $25,000 annual income, urban location, and heterosexual) are depicted in dark purple. Subgroups disadvantaged in access to substance use treatment and outcomes (not male, Hispanic and/or not White, less than $25,000 annual income, rural location, and not heterosexual) are depicted in green. Overall model performance across groups is depicted as the dashed grey line.</w:t>
            </w:r>
          </w:p>
          <w:bookmarkEnd w:id="169"/>
        </w:tc>
      </w:tr>
    </w:tbl>
    <w:p>
      <w:pPr>
        <w:pStyle w:val="BodyText"/>
      </w:pPr>
      <w:r>
        <w:rPr>
          <w:vertAlign w:val="subscript"/>
        </w:rPr>
        <w:t xml:space="preserve">Source:</w:t>
      </w:r>
      <w:r>
        <w:rPr>
          <w:vertAlign w:val="subscript"/>
        </w:rPr>
        <w:t xml:space="preserve"> </w:t>
      </w:r>
      <w:hyperlink r:id="rId170">
        <w:r>
          <w:rPr>
            <w:rStyle w:val="Hyperlink"/>
            <w:vertAlign w:val="subscript"/>
          </w:rPr>
          <w:t xml:space="preserve">Make All Figures for Dissertation</w:t>
        </w:r>
      </w:hyperlink>
    </w:p>
    <w:bookmarkEnd w:id="171"/>
    <w:bookmarkStart w:id="178" w:name="calibration-and-overall-performance-1"/>
    <w:p>
      <w:pPr>
        <w:pStyle w:val="Heading3"/>
      </w:pPr>
      <w:r>
        <w:t xml:space="preserve">7.3.4 Calibration and Overall Performance</w:t>
      </w:r>
    </w:p>
    <w:p>
      <w:pPr>
        <w:pStyle w:val="FirstParagraph"/>
      </w:pPr>
      <w:r>
        <w:t xml:space="preserve">The best full model configuration selected with 1 repeat of 5-fold cross-validation used an xgboost statistical algorithm and up-sampled the minority class.</w:t>
      </w:r>
      <w:r>
        <w:rPr>
          <w:rStyle w:val="FootnoteReference"/>
        </w:rPr>
        <w:footnoteReference w:id="172"/>
      </w:r>
      <w:r>
        <w:t xml:space="preserve"> </w:t>
      </w:r>
      <w:r>
        <w:t xml:space="preserve">This model produced generally well-calibrated raw probabilities (brier score = 0.014; left panel of</w:t>
      </w:r>
      <w:r>
        <w:t xml:space="preserve"> </w:t>
      </w:r>
      <w:hyperlink w:anchor="fig-2">
        <w:r>
          <w:rPr>
            <w:rStyle w:val="Hyperlink"/>
          </w:rPr>
          <w:t xml:space="preserve">Figure 9</w:t>
        </w:r>
      </w:hyperlink>
      <w:r>
        <w:t xml:space="preserve">). We attempted to improve calibration with Platt scaling and results were comparable (brier score = 0.014). Histograms of raw risk probability distributions separately by true lapse outcome are presented in the right panel of</w:t>
      </w:r>
      <w:r>
        <w:t xml:space="preserve"> </w:t>
      </w:r>
      <w:hyperlink w:anchor="fig-2">
        <w:r>
          <w:rPr>
            <w:rStyle w:val="Hyperlink"/>
          </w:rPr>
          <w:t xml:space="preserve">Figure 9</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76" w:name="fig-2"/>
          <w:p>
            <w:pPr>
              <w:pStyle w:val="Compact"/>
              <w:jc w:val="center"/>
            </w:pPr>
            <w:r>
              <w:drawing>
                <wp:inline>
                  <wp:extent cx="5334000" cy="3333749"/>
                  <wp:effectExtent b="0" l="0" r="0" t="0"/>
                  <wp:docPr descr="" title="" id="174" name="Picture"/>
                  <a:graphic>
                    <a:graphicData uri="http://schemas.openxmlformats.org/drawingml/2006/picture">
                      <pic:pic>
                        <pic:nvPicPr>
                          <pic:cNvPr descr="index_files/figure-docx/notebooks-figures-fig-2-output-1.png" id="175" name="Picture"/>
                          <pic:cNvPicPr>
                            <a:picLocks noChangeArrowheads="1" noChangeAspect="1"/>
                          </pic:cNvPicPr>
                        </pic:nvPicPr>
                        <pic:blipFill>
                          <a:blip r:embed="rId173"/>
                          <a:stretch>
                            <a:fillRect/>
                          </a:stretch>
                        </pic:blipFill>
                        <pic:spPr bwMode="auto">
                          <a:xfrm>
                            <a:off x="0" y="0"/>
                            <a:ext cx="5334000" cy="3333749"/>
                          </a:xfrm>
                          <a:prstGeom prst="rect">
                            <a:avLst/>
                          </a:prstGeom>
                          <a:noFill/>
                          <a:ln w="9525">
                            <a:noFill/>
                            <a:headEnd/>
                            <a:tailEnd/>
                          </a:ln>
                        </pic:spPr>
                      </pic:pic>
                    </a:graphicData>
                  </a:graphic>
                </wp:inline>
              </w:drawing>
            </w:r>
          </w:p>
          <w:p>
            <w:pPr>
              <w:jc w:val="center"/>
            </w:pPr>
            <w:pPr>
              <w:jc w:val="left"/>
              <w:spacing w:before="200"/>
              <w:pStyle w:val="ImageCaption"/>
            </w:pPr>
            <w:r>
              <w:t xml:space="preserve">Figure 9: The left panel presents a calibration plot of raw and Platt scaled risk probabilities. Predicted probabilities (x-axis) are binned into deciles. Observed lapse probability (y-axis) represents the proportion of actual lapses observed in each bin. The dashed diagonal represents perfect calibration. Points below the line indicate overestimation and points above the line indicate underestimation. Raw probabilities are depicted as the dark purple line. Platt calibrated probabilities are depicted as the green dashed line. The rug plots along the x-axes depict the observation frequency in each bin for the raw (bottom) and Platt scaled (top) probabilities. The right panel presents histograms of raw (uncalibrated) risk probability distributions separately by true lapse outcome.</w:t>
            </w:r>
          </w:p>
          <w:bookmarkEnd w:id="176"/>
        </w:tc>
      </w:tr>
    </w:tbl>
    <w:p>
      <w:pPr>
        <w:pStyle w:val="BodyText"/>
      </w:pPr>
      <w:r>
        <w:rPr>
          <w:vertAlign w:val="subscript"/>
        </w:rPr>
        <w:t xml:space="preserve">Source:</w:t>
      </w:r>
      <w:r>
        <w:rPr>
          <w:vertAlign w:val="subscript"/>
        </w:rPr>
        <w:t xml:space="preserve"> </w:t>
      </w:r>
      <w:hyperlink r:id="rId177">
        <w:r>
          <w:rPr>
            <w:rStyle w:val="Hyperlink"/>
            <w:vertAlign w:val="subscript"/>
          </w:rPr>
          <w:t xml:space="preserve">Make All Figures for Dissertation</w:t>
        </w:r>
      </w:hyperlink>
    </w:p>
    <w:bookmarkEnd w:id="178"/>
    <w:bookmarkStart w:id="190" w:name="feature-importance-3"/>
    <w:p>
      <w:pPr>
        <w:pStyle w:val="Heading3"/>
      </w:pPr>
      <w:r>
        <w:t xml:space="preserve">7.3.5 Feature Importance</w:t>
      </w:r>
    </w:p>
    <w:p>
      <w:pPr>
        <w:pStyle w:val="FirstParagraph"/>
      </w:pPr>
      <w:r>
        <w:t xml:space="preserve">We aggregated individual Shapley values across all participants and all observations to provide a relative rank ordering of the most important features. A traditional mean absolute Shapley value approach revealed the most important feature (i.e., largest magnitude of change in log-odds) was differences in past opioid use. These feature was nearly two-fold more important than the next most important feature, raw urge ratings.</w:t>
      </w:r>
      <w:r>
        <w:t xml:space="preserve"> </w:t>
      </w:r>
      <w:hyperlink w:anchor="fig-3">
        <w:r>
          <w:rPr>
            <w:rStyle w:val="Hyperlink"/>
          </w:rPr>
          <w:t xml:space="preserve">Figure 10</w:t>
        </w:r>
      </w:hyperlink>
      <w:r>
        <w:t xml:space="preserve"> </w:t>
      </w:r>
      <w:r>
        <w:t xml:space="preserve">displays the top 30 (out of 186) feature categories, as defined by the 30 largest absolute mean shapley values.</w:t>
      </w:r>
    </w:p>
    <w:p>
      <w:pPr>
        <w:pStyle w:val="BodyText"/>
      </w:pPr>
      <w:r>
        <w:t xml:space="preserve">A second approach where we calculated the proportion of observations in which each feature category had the highest Shapley value (i.e., largest magnitude and prevalence), revealed the most important feature to be raw urge ratings, followed by raw abstinence confidence ratings. Differences in past opioid use was the third most important feature by this method, suggesting that while it has a strong relationship with lapse risk, it is not as prevalent across observations as other features. Notably, in this approach several additional comparably important features emerged, including differences in past pleasant experiences, differences in past stimulant use, and differences in time spent in helpful locations.</w:t>
      </w:r>
    </w:p>
    <w:tbl>
      <w:tblPr>
        <w:tblStyle w:val="Table"/>
        <w:tblW w:type="pct" w:w="5000"/>
        <w:tblLayout w:type="fixed"/>
        <w:tblLook w:firstRow="0" w:lastRow="0" w:firstColumn="0" w:lastColumn="0" w:noHBand="0" w:noVBand="0" w:val="0000"/>
      </w:tblPr>
      <w:tblGrid>
        <w:gridCol w:w="7920"/>
      </w:tblGrid>
      <w:tr>
        <w:tc>
          <w:tcPr/>
          <w:bookmarkStart w:id="183" w:name="fig-3"/>
          <w:p>
            <w:pPr>
              <w:pStyle w:val="Compact"/>
              <w:jc w:val="center"/>
            </w:pPr>
            <w:bookmarkStart w:id="182" w:name="fig-3"/>
            <w:r>
              <w:drawing>
                <wp:inline>
                  <wp:extent cx="5334000" cy="3333749"/>
                  <wp:effectExtent b="0" l="0" r="0" t="0"/>
                  <wp:docPr descr="" title="" id="180" name="Picture"/>
                  <a:graphic>
                    <a:graphicData uri="http://schemas.openxmlformats.org/drawingml/2006/picture">
                      <pic:pic>
                        <pic:nvPicPr>
                          <pic:cNvPr descr="index_files/figure-docx/notebooks-figures-fig-3-output-1.png" id="181" name="Picture"/>
                          <pic:cNvPicPr>
                            <a:picLocks noChangeArrowheads="1" noChangeAspect="1"/>
                          </pic:cNvPicPr>
                        </pic:nvPicPr>
                        <pic:blipFill>
                          <a:blip r:embed="rId179"/>
                          <a:stretch>
                            <a:fillRect/>
                          </a:stretch>
                        </pic:blipFill>
                        <pic:spPr bwMode="auto">
                          <a:xfrm>
                            <a:off x="0" y="0"/>
                            <a:ext cx="5334000" cy="3333749"/>
                          </a:xfrm>
                          <a:prstGeom prst="rect">
                            <a:avLst/>
                          </a:prstGeom>
                          <a:noFill/>
                          <a:ln w="9525">
                            <a:noFill/>
                            <a:headEnd/>
                            <a:tailEnd/>
                          </a:ln>
                        </pic:spPr>
                      </pic:pic>
                    </a:graphicData>
                  </a:graphic>
                </wp:inline>
              </w:drawing>
            </w:r>
            <w:bookmarkEnd w:id="182"/>
          </w:p>
          <w:p>
            <w:pPr>
              <w:jc w:val="center"/>
            </w:pPr>
            <w:pPr>
              <w:jc w:val="left"/>
              <w:spacing w:before="200"/>
              <w:pStyle w:val="ImageCaption"/>
            </w:pPr>
            <w:r>
              <w:t xml:space="preserve">Figure 10</w:t>
            </w:r>
          </w:p>
          <w:bookmarkEnd w:id="183"/>
        </w:tc>
      </w:tr>
    </w:tbl>
    <w:p>
      <w:pPr>
        <w:pStyle w:val="BodyText"/>
      </w:pPr>
      <w:r>
        <w:rPr>
          <w:vertAlign w:val="subscript"/>
        </w:rPr>
        <w:t xml:space="preserve">Source:</w:t>
      </w:r>
      <w:r>
        <w:rPr>
          <w:vertAlign w:val="subscript"/>
        </w:rPr>
        <w:t xml:space="preserve"> </w:t>
      </w:r>
      <w:hyperlink r:id="rId184">
        <w:r>
          <w:rPr>
            <w:rStyle w:val="Hyperlink"/>
            <w:vertAlign w:val="subscript"/>
          </w:rPr>
          <w:t xml:space="preserve">Make All Figures for Dissertation</w:t>
        </w:r>
      </w:hyperlink>
    </w:p>
    <w:p>
      <w:pPr>
        <w:pStyle w:val="BodyText"/>
      </w:pPr>
      <w:r>
        <w:t xml:space="preserve">To understand the direction in which these feature categories adjusted the lapse risk predictions, we plotted Shapley-feature value partial dependence plots for the top 30 feature categories (</w:t>
      </w:r>
      <w:hyperlink w:anchor="fig-4">
        <w:r>
          <w:rPr>
            <w:rStyle w:val="Hyperlink"/>
          </w:rPr>
          <w:t xml:space="preserve">Figure 11</w:t>
        </w:r>
      </w:hyperlink>
      <w:r>
        <w:t xml:space="preserve">). Differenes in past opioid use lowered lapse risk probability for participants who did not lapse on study (i.e., a feature score of 0). Lapse probability dramatically increased when participants had increased reported opioid use over the past 24 and 168 hours. Unsurprisingly, raw urge and abstinence confidence ratings had linear relationships to lapse risk, with higher urge ratings increasing lapse risk probability and higher abstinence confidence decreasing lapse risk probability. There was a more nuanced finding for stimulant use and opioid lapse risk probability. Raw rate counts of stimulant use increased lapse risk; however, participants were at highest risk when recent stimulant use decreased (i.e., Stimulant Use, Diff).</w:t>
      </w:r>
    </w:p>
    <w:tbl>
      <w:tblPr>
        <w:tblStyle w:val="Table"/>
        <w:tblW w:type="pct" w:w="5000"/>
        <w:tblLayout w:type="fixed"/>
        <w:tblLook w:firstRow="0" w:lastRow="0" w:firstColumn="0" w:lastColumn="0" w:noHBand="0" w:noVBand="0" w:val="0000"/>
      </w:tblPr>
      <w:tblGrid>
        <w:gridCol w:w="7920"/>
      </w:tblGrid>
      <w:tr>
        <w:tc>
          <w:tcPr/>
          <w:bookmarkStart w:id="188" w:name="fig-4"/>
          <w:p>
            <w:pPr>
              <w:pStyle w:val="Compact"/>
              <w:jc w:val="center"/>
            </w:pPr>
            <w:r>
              <w:drawing>
                <wp:inline>
                  <wp:extent cx="5334000" cy="7467600"/>
                  <wp:effectExtent b="0" l="0" r="0" t="0"/>
                  <wp:docPr descr="" title="" id="186" name="Picture"/>
                  <a:graphic>
                    <a:graphicData uri="http://schemas.openxmlformats.org/drawingml/2006/picture">
                      <pic:pic>
                        <pic:nvPicPr>
                          <pic:cNvPr descr="index_files/figure-docx/notebooks-figures-fig-4-output-1.png" id="187" name="Picture"/>
                          <pic:cNvPicPr>
                            <a:picLocks noChangeArrowheads="1" noChangeAspect="1"/>
                          </pic:cNvPicPr>
                        </pic:nvPicPr>
                        <pic:blipFill>
                          <a:blip r:embed="rId185"/>
                          <a:stretch>
                            <a:fillRect/>
                          </a:stretch>
                        </pic:blipFill>
                        <pic:spPr bwMode="auto">
                          <a:xfrm>
                            <a:off x="0" y="0"/>
                            <a:ext cx="5334000" cy="74676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11: Feature importance partial dependence plots.</w:t>
            </w:r>
          </w:p>
          <w:bookmarkEnd w:id="188"/>
        </w:tc>
      </w:tr>
    </w:tbl>
    <w:p>
      <w:pPr>
        <w:pStyle w:val="BodyText"/>
      </w:pPr>
      <w:r>
        <w:rPr>
          <w:vertAlign w:val="subscript"/>
        </w:rPr>
        <w:t xml:space="preserve">Source:</w:t>
      </w:r>
      <w:r>
        <w:rPr>
          <w:vertAlign w:val="subscript"/>
        </w:rPr>
        <w:t xml:space="preserve"> </w:t>
      </w:r>
      <w:hyperlink r:id="rId189">
        <w:r>
          <w:rPr>
            <w:rStyle w:val="Hyperlink"/>
            <w:vertAlign w:val="subscript"/>
          </w:rPr>
          <w:t xml:space="preserve">Make All Figures for Dissertation</w:t>
        </w:r>
      </w:hyperlink>
    </w:p>
    <w:bookmarkEnd w:id="190"/>
    <w:bookmarkEnd w:id="191"/>
    <w:bookmarkStart w:id="192" w:name="discussion-2"/>
    <w:p>
      <w:pPr>
        <w:pStyle w:val="Heading2"/>
      </w:pPr>
      <w:r>
        <w:t xml:space="preserve">7.4 Discussion</w:t>
      </w:r>
    </w:p>
    <w:p>
      <w:pPr>
        <w:pStyle w:val="FirstParagraph"/>
      </w:pPr>
      <w:r>
        <w:t xml:space="preserve">Our full model demonstrated that it is possible to future next-day lapses back to opioid use with high accuracy using smartphone sensing data (auROC = 0.94). Model predictions were well-calibrated, with estimated probabilities closely aligning with observed lapse rates. This is exciting given that our goal was to build a model that could provide insight into lapse risk.</w:t>
      </w:r>
    </w:p>
    <w:p>
      <w:pPr>
        <w:pStyle w:val="BodyText"/>
      </w:pPr>
      <w:r>
        <w:t xml:space="preserve">Ablation model comparisons revealed that daily surveys alone captured nearly all of this predictive signal (auROC = 0.94). To our knowledge, no other published SUD study has collected daily survey data from participants continuously over the course of one year. Survey adherence rates in our sample were comparable to those observed in other clinical populations, suggesting that self‑report surveys are a feasible and risk-relevant sensing method for long‑term monitoring in this population.</w:t>
      </w:r>
    </w:p>
    <w:p>
      <w:pPr>
        <w:pStyle w:val="BodyText"/>
      </w:pPr>
      <w:r>
        <w:t xml:space="preserve">When daily surveys were ablated from the model, predictive performance dropped substantially (auROC = 0.63). Although this performance remained above chance and exceeded that of a demographics‑only model (with both geolocation and daily surveys ablated; auROC = 0.55), it indicates that geolocation features captured only modest predictive signal. Moreover, given that ablating geolocation features did not result in any drop in performance, this signal likely overlaps with information already captured with the daily surveys. It is possible that the relatively low predictive value of geolocation sensing in this study was due to methodological limitations.</w:t>
      </w:r>
    </w:p>
    <w:p>
      <w:pPr>
        <w:pStyle w:val="BodyText"/>
      </w:pPr>
      <w:r>
        <w:t xml:space="preserve">Although geolocation data can, in principle, be collected continuously moment‑by‑moment, in practice these data are difficult to collect reliably. In our study, geolocation features had substantially higher rates of missingness compared to daily surveys. Consequently, approximately 12% of geolocation features were imputed using median values derived from other individuals in the training dataset. Median values are by definition near the center of the feature distribution. These values are common and have limited influence on model predictions (i.e., low leverage). This was a purposeful decision in our design to ensure that missing data would not systematically influence predictions in either direction. However, this conservative approach likely contributed to reduced predictive performance of geolocation features, as imputations that minimize influence also limit the ability of those features to contribute risk‑relevant signal. Lastly, these median imputations are also not person-specific and as a result may not accurately represent typical values for the individual whose data are being imputed. As geolocation sensing methods become more robust and missingness is reduced, these features may become more powerful for lapse prediction.</w:t>
      </w:r>
    </w:p>
    <w:p>
      <w:pPr>
        <w:pStyle w:val="BodyText"/>
      </w:pPr>
      <w:r>
        <w:t xml:space="preserve">A second limitation of our sensing method, was that we relied on known locations with self-reported context. While this method provides meaningful contextual information, it is limited in its ability to capture the full range of locations participants visit (without substantially increasing participant burden). Passive methods for contextualizing location could address this limitation by providing risk-relevant contextual information across all locations. For example, latitude and longitude coordinates could be contextualized using publicly available datasets, such as alcohol outlet density, area deprivation index, and Narcotics Annonymous meeting times and locations. Increasing the number of locations would allow for potentially more variance in feature distributions within and between individuals.</w:t>
      </w:r>
    </w:p>
    <w:p>
      <w:pPr>
        <w:pStyle w:val="BodyText"/>
      </w:pPr>
      <w:r>
        <w:t xml:space="preserve">To summarize, if the goal is prediction, geolocation sensing features are not necessary as they do not offer any unique incremental predictive value. However, if the goal is to have a more nuanced understanding of lapse risk across a more diverse array of risk features than geolocation is helpful. Adding geolocation features did not hurt model performance, and more data sources provides more opportunities for identifying intervenable targets specific to a person and moment in time.</w:t>
      </w:r>
    </w:p>
    <w:p>
      <w:pPr>
        <w:pStyle w:val="BodyText"/>
      </w:pPr>
      <w:r>
        <w:t xml:space="preserve">We were excited to see that fairness discrepancies in model performance were minimal. In all subgroups, our model had a median auROC above 0.90, which is generally considered to be a benchmark of excellent performance. Nevertheless, differences of 0.02 - 0.03 (favoring the advantaged group) were present in race and ethnicity, sexual orientation, and geographic location comparisons. These group comparisons were the most imbalanced, with 19-29% of participants in the disadvantaged groups. Our model may perform better for these groups with greater representation in the training data. Future research into identifying additional risk factors for lapse that are more prevalent in these groups may also help to reduce these discrepancies.</w:t>
      </w:r>
    </w:p>
    <w:p>
      <w:pPr>
        <w:pStyle w:val="BodyText"/>
      </w:pPr>
      <w:r>
        <w:t xml:space="preserve">Age may be another important dimension for evaluating model fairness. Older adults (65+ years) are less likely to receive substance use disorder treatment and often report lower levels of social interaction and support than younger adults. They may also be less comfortable with, or less able to provide, smartphone sensing data at the level of adherence needed for accurate prediction. We did not explicitly evaluate model fairness for this subgroup because we did not have the representation in our sample. We encourage researchers to perform this analysis in future studies.</w:t>
      </w:r>
    </w:p>
    <w:p>
      <w:pPr>
        <w:pStyle w:val="BodyText"/>
      </w:pPr>
      <w:r>
        <w:t xml:space="preserve">When using a standard mean absolute Shapley value approach to estimate average feature importance across observations, the most important feature was prior opioid use. This finding is consistent with the relapse‑prevention literature, which identifies lapse as an important precursor to relapse, and prior prediction research demonstrating that lapses predict future lapses</w:t>
      </w:r>
      <w:r>
        <w:t xml:space="preserve"> </w:t>
      </w:r>
      <w:r>
        <w:t xml:space="preserve">(Wyant et al., 2024)</w:t>
      </w:r>
      <w:r>
        <w:t xml:space="preserve">. Notably, this feature had a mean absolute Shapley value that was nearly two-fold higher than the next most important feature. When considering this model in the context of a recovery monitoring and support system that provides daily insight into lapse risk, this finding may be misleading. Fewer than 2% of day-level observations contained a lapse, and the majority of participants did not lapse at all. Among those who did lapse, many only lapsed one time. Given that lapse cannot be used as a predictor until after it has occurred, in most cases other features may represent more clinically meaningful targets for intervention.</w:t>
      </w:r>
    </w:p>
    <w:p>
      <w:pPr>
        <w:pStyle w:val="BodyText"/>
      </w:pPr>
      <w:r>
        <w:t xml:space="preserve">A more informative approach to characterize feature importance is to consider the proportion of observations in which a given feature had the highest Shapley value. This approach considers both the magnitude of a feature’s effect (in terms of log-odds change in the prediction) and its prevalence across observations. Using this approach, urge ratings and abstinence confidence emerged as the features most frequently influencing lapse risk predictions. This suggests that individuals may benefit more often from recovery recommendations focussed on reducing urges (e.g., urge surfing) and increasing abstinence confidence (e.g., reflecting on recent successes). Additionally, this approach showed that while some features have low average importance (across all individuals and observations), they can be highly important on certain days for certain individuals (e.g., self-reports of anger).</w:t>
      </w:r>
    </w:p>
    <w:p>
      <w:pPr>
        <w:pStyle w:val="BodyText"/>
      </w:pPr>
      <w:r>
        <w:t xml:space="preserve">Across both feature importance approaches, geolocation features emerged among the top subset of features. Specifically, location variance, time spent in helpful and harmful locations, and time spent at locations where religious activities are performed were among the top ten features. These findings suggest that although geolocation features may not provide unique signal for prediction, it may be worthwhile to still include them in the model to expand opportunities for intervention and provide precision-oriented recovery support.</w:t>
      </w:r>
    </w:p>
    <w:p>
      <w:pPr>
        <w:pStyle w:val="BodyText"/>
      </w:pPr>
      <w:r>
        <w:t xml:space="preserve">When considering how our model might generalize in real world context, we must consider that participants were compensated for completing daily surveys and providing geolocation data, which may have influenced their willingness to provide data. However, participants received no additional direct benefit from their participation beyond financial compensation. In real‑world implementations, individuals may be more motivated to share data when it enables personalized recovery support. This perceived benefit may outweigh the burden of data collection, posibbly even more so than financial incentive.</w:t>
      </w:r>
    </w:p>
    <w:p>
      <w:pPr>
        <w:pStyle w:val="BodyText"/>
      </w:pPr>
      <w:r>
        <w:t xml:space="preserve">Additionally, we implemented daily survey compliance thresholds to exclude participants and adjust study end dates. This criterion was important because we generated our lapse labels from the daily survey data and thus we required consistent collection of this data stream for accurate observation labels. As a result, our estimates of adherence and model performance may be slightly optimistic. Still, even with this criterion, nearly 78% of participants remained in the study for at least six months, suggesting that long-term monitoring with daily surveys is feasible for a substantial proportion of individuals in this population.</w:t>
      </w:r>
    </w:p>
    <w:p>
      <w:pPr>
        <w:pStyle w:val="BodyText"/>
      </w:pPr>
      <w:r>
        <w:t xml:space="preserve">Lastly, participants provided data for up to 12 months. This extended window of recovery is critical for evaluating the value of an algorithm intended for ongoing continuing care support and understanding how lapse risk evolves as people progress in their recovery. Unfortunately, our ability to address explanatory questions about the time course of lapse risk, and how individuals might cluster on different recovery trajectories is limited with traditional machine learning methods. These methods do not capture the repeated nature of sensing data. Each lapse prediction is treated as a new independent observation. We can account for the repeated observations in our sensing data by engineering features that capture individual changes over time to produce unbiased and precise estimates of predictive performance. However, more traditional time series models may be better suited for understanding the temporal dynamics of lapse risk over long periods of recovery.</w:t>
      </w:r>
    </w:p>
    <w:p>
      <w:pPr>
        <w:pStyle w:val="BodyText"/>
      </w:pPr>
      <w:r>
        <w:t xml:space="preserve">In conclusion, it is possible to predict future lapses back to opioid use using smartphone sensing data. Daily surveys and geolocation sensing provide diverse coverage of important risk factors for lapse. Daily recovery recommendations can be mapped onto these factors to deliver support that is personalized to both the person and the moment. While this model was evaluated in a research setting, our use of a national clinical sample of individuals with opioid use disorder suggests it represents a promising step toward future real‑world implementation and evaluation.</w:t>
      </w:r>
    </w:p>
    <w:bookmarkEnd w:id="192"/>
    <w:bookmarkEnd w:id="193"/>
    <w:bookmarkStart w:id="203" w:name="discussion-3"/>
    <w:p>
      <w:pPr>
        <w:pStyle w:val="Heading1"/>
      </w:pPr>
      <w:r>
        <w:t xml:space="preserve">8. Discussion</w:t>
      </w:r>
    </w:p>
    <w:bookmarkStart w:id="196" w:name="summary"/>
    <w:p>
      <w:pPr>
        <w:pStyle w:val="Heading2"/>
      </w:pPr>
      <w:r>
        <w:t xml:space="preserve">8.1 Summary</w:t>
      </w:r>
    </w:p>
    <w:p>
      <w:pPr>
        <w:pStyle w:val="FirstParagraph"/>
      </w:pPr>
      <w:r>
        <w:t xml:space="preserve">This series of studies aimed to develop fair, temporally precise machine learning models for predicting lapses back to substance use that could be integrated into a recovery monitoring support system. Collectively, these studies address several key limitations of prior work to advance the generalizability and translational relevance of our findings. First, our models were trained on two relatively large, treatment‑seeking samples of adults in early recovery from AUD and OUD, closely matching the populations most likely to benefit from recovery monitoring systems. Second, we explicitly predicted goal‑inconsistent substance use (lapses) rather than general use. This distinction is important, as the risk factors underlying lapses likely differ from those associated with intentional or planned substance use. Third, data collection occurred during initial SUD remission, a well‑documented high‑risk period for relapse, increasing the likelihood that identified predictors reflect relevant risk processes to target with recovery support. Fourth, we collected EMA, geolocation, and substance use outcomes with sufficient frequency and granularity to support prediction with high temporal precision to identify changes in risk for immediate and future lapses for a specific individual at a specific moment in time. Finally, we used advanced resampling techniques (grouped, nested k‑fold cross‑validation) to obtain valid estimates of out‑of‑sample performance, strengthening confidence in how these models might generalize to new individuals.</w:t>
      </w:r>
    </w:p>
    <w:bookmarkStart w:id="194" w:name="model-performance-2"/>
    <w:p>
      <w:pPr>
        <w:pStyle w:val="Heading3"/>
      </w:pPr>
      <w:r>
        <w:t xml:space="preserve">8.1.1 Model Performance</w:t>
      </w:r>
    </w:p>
    <w:p>
      <w:pPr>
        <w:pStyle w:val="FirstParagraph"/>
      </w:pPr>
      <w:r>
        <w:t xml:space="preserve">Across studies, models performed exceptionally well across varying prediction window widths (one week, one day, one hour), lag times between the prediction timepoint and the start of the prediction window (no lag, one day, three days, one week, two weeks), and substance use outcomes (alcohol use, opioid use). This consistency suggests that lapse risk can be meaningfully captured across multiple temporal scales and for different substances.</w:t>
      </w:r>
    </w:p>
    <w:p>
      <w:pPr>
        <w:pStyle w:val="BodyText"/>
      </w:pPr>
      <w:r>
        <w:t xml:space="preserve">Model performance decreased as models predicted further into the future. This is unsurprising given what we know about prediction and substance use. Many important relapse risk factors are fluctuating processes that can change day-by-day, if not more frequently. As lag time increases, features become less proximal to the start of the prediction window. Implementing these models will require weighing the benefits of advanced notice against the cost to performance.</w:t>
      </w:r>
    </w:p>
    <w:p>
      <w:pPr>
        <w:pStyle w:val="BodyText"/>
      </w:pPr>
      <w:r>
        <w:t xml:space="preserve">Models generally performed fairly when demographic groups were sufficiently represented in the training data. An exception to this pattern emerged when predicting alcohol lapses among women. Although the AUD sample was balanced on sex at birth, model performance was poorer for women compared to men. Notably, this disparity was substantially reduced when predicting opioid lapses. Several factors may explain this pattern. First, the AUD sample was geographically constrained (i.e., to the Madison, WI area), raising the possibility that local contextual factors uniquely influence lapse risk among women in this setting. Second, differences between substances may play a role. Opioid use is illegal and highly stigmatized, which may result in more equally elevated stigma across men and women. In contrast, alcohol use is broadly socially accepted, but there may be sex-specific circumstances where it is less accepted. Women may face distinct social pressures (e.g., childcare responsibilities) that intersect with AUD to increase internal and external experiences of stigma. These dynamics could affect measurement of both the outcome (e.g., women underreporting alcohol lapses compared to men) and the risk factors (e.g., failure to measure sex-specific risk-relevant experiences).</w:t>
      </w:r>
    </w:p>
    <w:bookmarkEnd w:id="194"/>
    <w:bookmarkStart w:id="195" w:name="important-features"/>
    <w:p>
      <w:pPr>
        <w:pStyle w:val="Heading3"/>
      </w:pPr>
      <w:r>
        <w:t xml:space="preserve">8.1.2 Important Features</w:t>
      </w:r>
    </w:p>
    <w:p>
      <w:pPr>
        <w:pStyle w:val="FirstParagraph"/>
      </w:pPr>
      <w:r>
        <w:t xml:space="preserve">When examining global feature importance (i.e., the average contribution of feature categories across all participants and observations), the relative ordering of EMA features remained somewhat consistent across alcohol and opioid models. Past use was the most important feature in both models in our dataset. This is not surprising given that our outcome was lapse, and past behavior is often the best predictor of future behavior. Craving/urges and abstinence self-efficacy/confidence also emerged as top features across all studies, suggesting they are important targets for intervention to support early recovery efforts.</w:t>
      </w:r>
    </w:p>
    <w:p>
      <w:pPr>
        <w:pStyle w:val="BodyText"/>
      </w:pPr>
      <w:r>
        <w:t xml:space="preserve">There were some noticeable differences across substances. Day of the prediction window influences lapse predictions for alcohol but not opioid lapses, potentially reflecting differences in normative patterns of use (e.g., weekend drinking vs. less patterned opioid use). Additionally, past pleasant events was the fourth most important EMA feature for opioid lapse risk, compared to the eighth most important EMA feature for alcohol lapse risk. Our partial dependence plot revealed a protective effect on opioid lapse risk. This is likely due to environmental contingencies around celebrations, recreational, social, and otherwise</w:t>
      </w:r>
      <w:r>
        <w:t xml:space="preserve"> </w:t>
      </w:r>
      <w:r>
        <w:t xml:space="preserve">“positive”</w:t>
      </w:r>
      <w:r>
        <w:t xml:space="preserve"> </w:t>
      </w:r>
      <w:r>
        <w:t xml:space="preserve">events. Alcohol is often integrated into these functions making these events higher risk for alcohol lapses compared to opioid lapses.</w:t>
      </w:r>
    </w:p>
    <w:p>
      <w:pPr>
        <w:pStyle w:val="BodyText"/>
      </w:pPr>
      <w:r>
        <w:t xml:space="preserve">We observed a diminished effect of the top EMA features when there was longer lag times between the prediction time point and start of the prediction window. This is consistent with reduced model performance in the lagged models and could reflect the inherent ebb-and-flow nature of the risk factors we chose to measure with EMA. For example, the importance of abstinence self-efficacy dropped by more than 50% in the 2-week lagged model relative to the immediate model. This may indicate that self-efficacy during early recovery is unstable even across shorter periods of time such that their current self-efficacy does not strongly predict abstinence success even two weeks into the future. Even past use, was less important for the lagged models, suggesting predictive strength of a lapse on the likelihood of subsequent lapses diminishes to some degree over a relatively short period of time. This reinforces the idea that single lapses do not always mark a return to consistent patterns of frequent, and potentially harmful, substance use.</w:t>
      </w:r>
    </w:p>
    <w:p>
      <w:pPr>
        <w:pStyle w:val="BodyText"/>
      </w:pPr>
      <w:r>
        <w:t xml:space="preserve">On the other hand, we were surprised to discover that past and anticipated risky situations were more important in the lagged models compared to the immediate model, suggesting that the impact of these situations on lapses back to use may be delayed. It may be that persistent exposure to risks is necessary to undermine an abstinence goal and lead to return to substance use.</w:t>
      </w:r>
    </w:p>
    <w:p>
      <w:pPr>
        <w:pStyle w:val="BodyText"/>
      </w:pPr>
      <w:r>
        <w:t xml:space="preserve">Global feature importance provides insight into overall patterns of risk factors and lapse (i.e., what is generally most important on average). However, in the context of a precision-guided recovery monitoring support system, we are interested in understanding which risk factor is most important for a given individual at a specific moment in time (local importance).</w:t>
      </w:r>
    </w:p>
    <w:p>
      <w:pPr>
        <w:pStyle w:val="BodyText"/>
      </w:pPr>
      <w:r>
        <w:t xml:space="preserve">We explored two visual characterizations of local feature importance. In Study 1, we plotted the distributions of local Shapley values. These plots were useful for demonstrating the wide range of variability in feature importance across individuals and observations. However, they still aggregated data across individuals and time points, which obscured the within-person context of each prediction. For example, the range of local Shapley values for valence appears relatively narrow compared to other, more globally important features. Nevertheless, for some individuals at certain moments, valence may be the most influential feature affecting lapse risk.</w:t>
      </w:r>
    </w:p>
    <w:p>
      <w:pPr>
        <w:pStyle w:val="BodyText"/>
      </w:pPr>
      <w:r>
        <w:t xml:space="preserve">In Study 3, we explored an alternative visualization of feature importance. Specifically, we calculated the proportion of observations for which each feature category had the highest Shapley value. This provided a summary of the proportion of days on which each feature was most important. Importantly, this visualization revealed that although past use appeared to be the most influential feature overall, it was only dominant on a subset of days. Across studies, the proportion of day-level observations positive for lapse ranged from 1.8% to 7.7%. Therefore, when considering this model in the context of a recovery monitoring and support system that provides daily insight into lapse risk, features other than past use may, in most cases, represent more clinically meaningful targets for intervention.</w:t>
      </w:r>
    </w:p>
    <w:bookmarkEnd w:id="195"/>
    <w:bookmarkEnd w:id="196"/>
    <w:bookmarkStart w:id="197" w:name="limitations"/>
    <w:p>
      <w:pPr>
        <w:pStyle w:val="Heading2"/>
      </w:pPr>
      <w:r>
        <w:t xml:space="preserve">8.2 Limitations</w:t>
      </w:r>
    </w:p>
    <w:p>
      <w:pPr>
        <w:pStyle w:val="FirstParagraph"/>
      </w:pPr>
      <w:r>
        <w:t xml:space="preserve">EMA was shown to be a robust sensing method for lapse prediction. In Studies 1–2, participants were able and willing to comply with an intensive 4× daily EMA protocol for up to three months. This is promising, as many EMA studies have been limited to shorter durations. However, while this level of sampling is feasible, it may not be necessary. We found that a once-daily survey was sufficient for accurate prediction of opioid lapse risk in Study 3, suggesting that self-report sensing can be collected over long durations (i.e., at least up to a year) with relatively low burden.</w:t>
      </w:r>
    </w:p>
    <w:p>
      <w:pPr>
        <w:pStyle w:val="BodyText"/>
      </w:pPr>
      <w:r>
        <w:t xml:space="preserve">It may be, however, that additional risk factors not currently measured could further improve our models. For example, incorporating lapse risk factors that may be more salient for women (e.g., interpersonal relationship problems, hormonal changes) and other underrepresented groups could help reduce performance disparities. Additionally, a broader set of features may enable more personalized and variable risk feedback. At the same time, the increased burden associated with additional survey items must be carefully weighed.</w:t>
      </w:r>
    </w:p>
    <w:p>
      <w:pPr>
        <w:pStyle w:val="BodyText"/>
      </w:pPr>
      <w:r>
        <w:t xml:space="preserve">One way to expand risk features without increasing burden is to supplement self-report data with passive sensing methods. In Study 3, we began to explore the use of geolocation data to predict opioid lapse risk. Although geolocation data collected via our sensing method did not add unique predictive value beyond EMA, these features did emerge as important in the model, thereby expanding the range of risk factors that can be targeted for intervention.</w:t>
      </w:r>
    </w:p>
    <w:p>
      <w:pPr>
        <w:pStyle w:val="BodyText"/>
      </w:pPr>
      <w:r>
        <w:t xml:space="preserve">Our geolocation sensing approach had several limitations that may have reduced its predictive value and attenuated feature importance. First, although geolocation data can, in principle, be collected continuously, in practice these data are difficult to collect reliably. In our study, geolocation features had substantially higher rates of missingness compared to daily surveys. Second, our feature engineering pipeline relied on known locations with self-reported context. While this approach provides meaningful contextual information, it is limited in its ability to capture the full range of locations participants visit without substantially increasing participant burden. Passive methods for contextualizing location could address this limitation by providing risk-relevant contextual information across all locations. For example, latitude and longitude coordinates could be enriched using publicly available datasets (e.g., alcohol outlet density, area deprivation index, and Narcotics Anonymous meeting times and locations). As geolocation sensing methods become more robust and missingness is reduced, these features may become more powerful for lapse prediction.</w:t>
      </w:r>
    </w:p>
    <w:p>
      <w:pPr>
        <w:pStyle w:val="BodyText"/>
      </w:pPr>
      <w:r>
        <w:t xml:space="preserve">Other characteristics of our samples may limit the generalizability of our findings. One obvious limitation is the research context in which participants provided these data. Participants were modestly compensated for completing daily surveys and providing geolocation data, which may have influenced their willingness to provide these data. However, participants received no additional direct benefit beyond financial compensation. In real-world implementations, individuals may be more motivated to share data if doing so enables personalized recovery support.</w:t>
      </w:r>
    </w:p>
    <w:p>
      <w:pPr>
        <w:pStyle w:val="BodyText"/>
      </w:pPr>
      <w:r>
        <w:t xml:space="preserve">A second limitation is that both clinical samples in these studies were required to have a goal of abstinence. Although we see no inherent reason these models would not also perform well for individuals with a goal of moderation, this remains an empirical question. Future research should evaluate model performance in samples with moderation goals and increase representation of individuals with diverse recovery goals in training data.</w:t>
      </w:r>
    </w:p>
    <w:p>
      <w:pPr>
        <w:pStyle w:val="BodyText"/>
      </w:pPr>
      <w:r>
        <w:t xml:space="preserve">While Study 3 achieved greater sample diversity compared to Studies 1–2, future models would benefit from increased representation across race and ethnicity, sexual orientation, and geographic location. Future research should also purposefully recruit participants across a wider age range. Older adults (65+ years) are less likely to receive substance use disorder treatment and often report lower levels of social interaction and support than younger adults. They may also be less comfortable with, or less able to provide, smartphone sensing data at the level of adherence needed for accurate prediction. We did not explicitly evaluate model fairness for this subgroup due to limited representation in our sample. We encourage future research to examine model performance for older adults to ensure generalizability.</w:t>
      </w:r>
    </w:p>
    <w:p>
      <w:pPr>
        <w:pStyle w:val="BodyText"/>
      </w:pPr>
      <w:r>
        <w:t xml:space="preserve">Lastly, there may be value in exploring alternative modeling approaches that better leverage the temporal structure and individual-level nature of these data. For example, hierarchical models that start with population-based information (i.e., priors) and are updated with person-specific information as the individual provides data may be the most promising approach for effective use of time-varying information to model how an individual’s lapse risk evolves over time. Given the heterogeneity in lapse risk and the complex interplay between environmental and individual factors, time series models that rely more heavily on an individual’s own data may outperform models trained solely at the group level. Although our immediate lapse risk models already perform well, individualized models may improve performance for lagged predictions. Time series approaches could also increase efficiency by enabling a single model to predict lapse risk across multiple time horizons, eliminating the need for separate models for immediate and future risk. Finally, individualized models may help mitigate fairness concerns, as they place greater weight on a person’s own data rather than group-level estimates.</w:t>
      </w:r>
    </w:p>
    <w:bookmarkEnd w:id="197"/>
    <w:bookmarkStart w:id="201" w:name="recovery-monitoring-and-support-system-1"/>
    <w:p>
      <w:pPr>
        <w:pStyle w:val="Heading2"/>
      </w:pPr>
      <w:r>
        <w:t xml:space="preserve">8.3 Recovery Monitoring and support system</w:t>
      </w:r>
    </w:p>
    <w:p>
      <w:pPr>
        <w:pStyle w:val="FirstParagraph"/>
      </w:pPr>
      <w:r>
        <w:t xml:space="preserve">We believe that lapse prediction models will be most effective when embedded within a broader recovery monitoring and support system capable of delivering adaptive, personalized continuing care. Such a system could send automated daily messages to patients, with feedback about their current lapse risk along with recovery support recommendations tailored to their evolving needs. Collectively, the present studies provide initial empirical support for this goal by demonstrating that both immediate and lagged lapse prediction models can be developed with high accuracy using EMA and geolocation sensing data. Importantly, these studies also show that locally important features driving individual risk predictions can be identified and leveraged to inform personalized recovery support strategies.</w:t>
      </w:r>
    </w:p>
    <w:bookmarkStart w:id="198" w:name="X7426dc6c09fde6e15128813eef54ac8f46dd66f"/>
    <w:p>
      <w:pPr>
        <w:pStyle w:val="Heading3"/>
      </w:pPr>
      <w:r>
        <w:t xml:space="preserve">8.3.1 Immediate and Lagged Models as Complementary Support Tools</w:t>
      </w:r>
    </w:p>
    <w:p>
      <w:pPr>
        <w:pStyle w:val="FirstParagraph"/>
      </w:pPr>
      <w:r>
        <w:t xml:space="preserve">Immediate lapse prediction models are well suited to guiding individuals toward actionable, in-the-moment strategies to maintain recovery goals. These models can support individuals in both selecting and implementing coping responses by directing them to targeted interventions, such as specific app-based modules or brief skills exercises. For example, when an individual’s immediate risk is driven by elevated craving, the system might recommend an urge-surfing exercise; when risk is driven by recent stressors, a guided relaxation or stress-management activity may be more appropriate; and when self-efficacy is low, reflective exercises focused on past successes or core reasons for choosing abstinence or moderation may be most beneficial.</w:t>
      </w:r>
    </w:p>
    <w:p>
      <w:pPr>
        <w:pStyle w:val="BodyText"/>
      </w:pPr>
      <w:r>
        <w:t xml:space="preserve">In contrast, lagged models provide advanced warning of risk (e.g., days to weeks before the lapse occurs). These models are well-suited to support recovery needs that cannot be addressed within an app, such as scheduling positive or pleasant activities, increasing social engagement, or attending a peer-led recovery meeting. To be clear, we do not believe an app alone is sufficient to deliver continuing care. We expect individuals will require additional support throughout their recovery from a mental health provider (e.g., motivational enhancement, crisis management, skill building), a peer (e.g., sponsor, support group), or family member. Importantly, these types of supports take time to set up, highlighting the value of this lagged week model. Taken together, immediate and lagged models can be combined in a complementary fashion, enabling both highly accurate real-time detection of imminent lapse risk and advance warning of future lapse risk.</w:t>
      </w:r>
    </w:p>
    <w:bookmarkEnd w:id="198"/>
    <w:bookmarkStart w:id="199" w:name="communicating-model-output-to-patients"/>
    <w:p>
      <w:pPr>
        <w:pStyle w:val="Heading3"/>
      </w:pPr>
      <w:r>
        <w:t xml:space="preserve">8.3.2 Communicating Model Output to Patients</w:t>
      </w:r>
    </w:p>
    <w:p>
      <w:pPr>
        <w:pStyle w:val="FirstParagraph"/>
      </w:pPr>
      <w:r>
        <w:t xml:space="preserve">A central challenge for translating lapse prediction models into clinical impact is determining how to effectively communicate model outputs to individuals. Our models generate quantitative predictions of lapse probability, which can also be converted into categorical classifications (e.g., lapse vs. no lapse) by applying a decision threshold. Although we observed high sensitivity and specificity when thresholds were selected to balance these metrics, the positive predictive value (PPV) of categorical predictions was moderate to low in our full models. As a result, we believe categorical predictions should be communicated to patients with extreme caution, if at all. Instead, we favor the use of quantitative lapse probabilities as continuous risk indicators to guide supportive interventions and monitoring intensity.</w:t>
      </w:r>
    </w:p>
    <w:p>
      <w:pPr>
        <w:pStyle w:val="BodyText"/>
      </w:pPr>
      <w:r>
        <w:t xml:space="preserve">However, raw probability estimates may be difficult for patients to interpret intuitively (e.g., distinguishing the practical meaning of a 79% versus a 64% lapse probability). Anchoring risk estimates to an individual’s personal baseline may enhance interpretability. For example, by emphasizing whether risk is higher or lower than in the prior week or relative to their typical pattern. Additionally, combining quantitative scores with coarser qualitative descriptors (e.g., low, moderate, high risk) may further support comprehension without oversimplification.</w:t>
      </w:r>
    </w:p>
    <w:p>
      <w:pPr>
        <w:pStyle w:val="BodyText"/>
      </w:pPr>
      <w:r>
        <w:t xml:space="preserve">Beyond risk probabilities, our models also identify the most influential features contributing to each prediction. These locally important features create opportunities to contextualize risk feedback by highlighting key drivers of vulnerability (e.g., craving, stress, social isolation) and pairing them with domain-informed recovery recommendations.</w:t>
      </w:r>
    </w:p>
    <w:p>
      <w:pPr>
        <w:pStyle w:val="BodyText"/>
      </w:pPr>
      <w:r>
        <w:t xml:space="preserve">Despite these opportunities, there is currently no consensus on how best to present predictive feedback in a manner that maximizes engagement, trust, and clinical utility. Prior research suggests that increasing transparency in “black box” machine learning systems, such as by revealing contributing factors, can improve perceived credibility and user acceptance. In the context of recovery monitoring, selective transparency may also promote self-awareness and learning, potentially yielding additional clinical benefits. At the same time, overly detailed or complex explanations may undermine confidence by exposing model uncertainty, revealing occasional errors, or burdening users with unnecessary information. Thus, determining the optimal balance between transparency and simplicity remains an open empirical question.</w:t>
      </w:r>
    </w:p>
    <w:p>
      <w:pPr>
        <w:pStyle w:val="BodyText"/>
      </w:pPr>
      <w:r>
        <w:t xml:space="preserve">To address this gap, we have recently launched an NIAAA-funded study focused on optimizing daily support messages delivered by a recovery monitoring system. This work experimentally examines how key message components, including lapse probability, locally important features, risk-relevant recovery activity recommendations, and linguistic style and tone, affect engagement, trust, and clinical outcomes. The goal of this research is to generate clear, data-driven guidance for designing feedback that is both acceptable and effective.</w:t>
      </w:r>
    </w:p>
    <w:bookmarkEnd w:id="199"/>
    <w:bookmarkStart w:id="200" w:name="final-future-considerations"/>
    <w:p>
      <w:pPr>
        <w:pStyle w:val="Heading3"/>
      </w:pPr>
      <w:r>
        <w:t xml:space="preserve">8.3.3 Final Future Considerations</w:t>
      </w:r>
    </w:p>
    <w:p>
      <w:pPr>
        <w:pStyle w:val="FirstParagraph"/>
      </w:pPr>
      <w:r>
        <w:t xml:space="preserve">From an implementation perspective, continued evaluation of model performance over time will be critical. Lapse prediction models must be routinely reassessed for performance drift and updated using data from target populations to ensure ongoing validity and equity.</w:t>
      </w:r>
    </w:p>
    <w:p>
      <w:pPr>
        <w:pStyle w:val="BodyText"/>
      </w:pPr>
      <w:r>
        <w:t xml:space="preserve">In our next immediate steps, we have begun to feed our model outputs as inputs to a large language model (LLM) to generate personalized messages. However, in the near future, we might use these model outputs into a more fully agentic AI system capable of dynamically delivering personalized recommendations, engaging individuals in interactive problem-solving, facilitating connections to therapists or peer supports, and initiating triage processes when risk reaches clinically concerning levels.</w:t>
      </w:r>
    </w:p>
    <w:p>
      <w:pPr>
        <w:pStyle w:val="BodyText"/>
      </w:pPr>
      <w:r>
        <w:t xml:space="preserve">Finally, these technological advances must be situated within the broader continuum of care and the structural realities of treatment access. Many individuals face significant barriers to accessing timely, consistent substance use treatment and recovery supports. While AI-based systems are not a solution to these structural challenges, they may play a complementary role by helping individuals navigate available resources, optimize limited clinical contacts, and extend the reach of human-delivered care. Viewed in this way, predictive modeling and AI-driven support systems offer a promising avenue for enhancing comprehensive precision care.</w:t>
      </w:r>
    </w:p>
    <w:bookmarkEnd w:id="200"/>
    <w:bookmarkEnd w:id="201"/>
    <w:bookmarkStart w:id="202" w:name="conclusions-1"/>
    <w:p>
      <w:pPr>
        <w:pStyle w:val="Heading2"/>
      </w:pPr>
      <w:r>
        <w:t xml:space="preserve">8.4 Conclusions</w:t>
      </w:r>
    </w:p>
    <w:p>
      <w:pPr>
        <w:pStyle w:val="FirstParagraph"/>
      </w:pPr>
      <w:r>
        <w:t xml:space="preserve">Collectively, these studies demonstrated that it is feasible to (1) collect temporally dense, recovery‑relevant data, (2) predict lapse risk at clinically meaningful time scales with interpretable models, and (3) do so in a way that supports equitable performance across diverse populations. Thus, these studied lay the groundwork for an automated recovery monitoring and support system to enhance continuing care following SUD treatment initiation.</w:t>
      </w:r>
    </w:p>
    <w:bookmarkEnd w:id="202"/>
    <w:bookmarkEnd w:id="203"/>
    <w:bookmarkStart w:id="452" w:name="references"/>
    <w:p>
      <w:pPr>
        <w:pStyle w:val="Heading1"/>
      </w:pPr>
      <w:r>
        <w:t xml:space="preserve">9. References</w:t>
      </w:r>
    </w:p>
    <w:bookmarkStart w:id="451" w:name="refs"/>
    <w:bookmarkStart w:id="205" w:name="ref-alexanderUseEcologicalMomentary2023"/>
    <w:p>
      <w:pPr>
        <w:pStyle w:val="Bibliography"/>
      </w:pPr>
      <w:r>
        <w:t xml:space="preserve">Alexander, K., Sanjuan, P., &amp; Terplan, M. (2023). The</w:t>
      </w:r>
      <w:r>
        <w:t xml:space="preserve"> </w:t>
      </w:r>
      <w:r>
        <w:t xml:space="preserve">Use</w:t>
      </w:r>
      <w:r>
        <w:t xml:space="preserve"> </w:t>
      </w:r>
      <w:r>
        <w:t xml:space="preserve">of</w:t>
      </w:r>
      <w:r>
        <w:t xml:space="preserve"> </w:t>
      </w:r>
      <w:r>
        <w:t xml:space="preserve">Ecological Momentary Assessment Methods</w:t>
      </w:r>
      <w:r>
        <w:t xml:space="preserve"> </w:t>
      </w:r>
      <w:r>
        <w:t xml:space="preserve">with</w:t>
      </w:r>
      <w:r>
        <w:t xml:space="preserve"> </w:t>
      </w:r>
      <w:r>
        <w:t xml:space="preserve">People Receiving Medication</w:t>
      </w:r>
      <w:r>
        <w:t xml:space="preserve"> </w:t>
      </w:r>
      <w:r>
        <w:t xml:space="preserve">for</w:t>
      </w:r>
      <w:r>
        <w:t xml:space="preserve"> </w:t>
      </w:r>
      <w:r>
        <w:t xml:space="preserve">Opioid Use Disorder</w:t>
      </w:r>
      <w:r>
        <w:t xml:space="preserve">:</w:t>
      </w:r>
      <w:r>
        <w:t xml:space="preserve"> </w:t>
      </w:r>
      <w:r>
        <w:t xml:space="preserve">A Systematic Review</w:t>
      </w:r>
      <w:r>
        <w:t xml:space="preserve">.</w:t>
      </w:r>
      <w:r>
        <w:t xml:space="preserve"> </w:t>
      </w:r>
      <w:r>
        <w:rPr>
          <w:i/>
          <w:iCs/>
        </w:rPr>
        <w:t xml:space="preserve">Current Addiction Reports</w:t>
      </w:r>
      <w:r>
        <w:t xml:space="preserve">,</w:t>
      </w:r>
      <w:r>
        <w:t xml:space="preserve"> </w:t>
      </w:r>
      <w:r>
        <w:rPr>
          <w:i/>
          <w:iCs/>
        </w:rPr>
        <w:t xml:space="preserve">10</w:t>
      </w:r>
      <w:r>
        <w:t xml:space="preserve">(3), 366–377.</w:t>
      </w:r>
      <w:r>
        <w:t xml:space="preserve"> </w:t>
      </w:r>
      <w:hyperlink r:id="rId204">
        <w:r>
          <w:rPr>
            <w:rStyle w:val="Hyperlink"/>
          </w:rPr>
          <w:t xml:space="preserve">https://doi.org/10.1007/s40429-023-00492-5</w:t>
        </w:r>
      </w:hyperlink>
    </w:p>
    <w:bookmarkEnd w:id="205"/>
    <w:bookmarkStart w:id="206" w:name="Xa6cc3d705527cff91ec886314240e7a8b04e8dd"/>
    <w:p>
      <w:pPr>
        <w:pStyle w:val="Bibliography"/>
      </w:pPr>
      <w:r>
        <w:t xml:space="preserve">American Psychiatric Association. (2022).</w:t>
      </w:r>
      <w:r>
        <w:t xml:space="preserve"> </w:t>
      </w:r>
      <w:r>
        <w:rPr>
          <w:i/>
          <w:iCs/>
        </w:rPr>
        <w:t xml:space="preserve">Diagnostic and statistical manual of mental disorders :</w:t>
      </w:r>
      <w:r>
        <w:rPr>
          <w:i/>
          <w:iCs/>
        </w:rPr>
        <w:t xml:space="preserve"> </w:t>
      </w:r>
      <w:r>
        <w:rPr>
          <w:i/>
          <w:iCs/>
        </w:rPr>
        <w:t xml:space="preserve">DSM-5-TR</w:t>
      </w:r>
      <w:r>
        <w:t xml:space="preserve">. 5th edition, text revision. Washington, DC : American Psychiatric Association Publishing, 2022.</w:t>
      </w:r>
    </w:p>
    <w:bookmarkEnd w:id="206"/>
    <w:bookmarkStart w:id="207" w:name="ref-ARDIAlcoholAttributableDeaths"/>
    <w:p>
      <w:pPr>
        <w:pStyle w:val="Bibliography"/>
      </w:pPr>
      <w:r>
        <w:rPr>
          <w:i/>
          <w:iCs/>
        </w:rPr>
        <w:t xml:space="preserve">ARDI Alcohol-Attributable Deaths</w:t>
      </w:r>
      <w:r>
        <w:rPr>
          <w:i/>
          <w:iCs/>
        </w:rPr>
        <w:t xml:space="preserve">,</w:t>
      </w:r>
      <w:r>
        <w:rPr>
          <w:i/>
          <w:iCs/>
        </w:rPr>
        <w:t xml:space="preserve"> </w:t>
      </w:r>
      <w:r>
        <w:rPr>
          <w:i/>
          <w:iCs/>
        </w:rPr>
        <w:t xml:space="preserve">US</w:t>
      </w:r>
      <w:r>
        <w:rPr>
          <w:i/>
          <w:iCs/>
        </w:rPr>
        <w:t xml:space="preserve"> </w:t>
      </w:r>
      <w:r>
        <w:rPr>
          <w:i/>
          <w:iCs/>
        </w:rPr>
        <w:t xml:space="preserve"> </w:t>
      </w:r>
      <w:r>
        <w:rPr>
          <w:i/>
          <w:iCs/>
        </w:rPr>
        <w:t xml:space="preserve">CDC</w:t>
      </w:r>
      <w:r>
        <w:t xml:space="preserve">. (n.d.). https://nccd.cdc.gov/DPH_ARDI/Default/Report.aspx?T=AAM&amp;P=F1F85724-AEC5-4421-BC88-3E8899866842&amp;R=EACE3036-77C9-4893-9F93-17A5E1FEBE01&amp;M=7F40785C-D481-440A-970F-50EFBD21B35B&amp;F=&amp;D=.</w:t>
      </w:r>
    </w:p>
    <w:bookmarkEnd w:id="207"/>
    <w:bookmarkStart w:id="209" w:name="ref-baeLeveragingMobilePhone2023"/>
    <w:p>
      <w:pPr>
        <w:pStyle w:val="Bibliography"/>
      </w:pPr>
      <w:r>
        <w:t xml:space="preserve">Bae, S. W., Suffoletto, B., Zhang, T., Chung, T., Ozolcer, M., Islam, M. R., &amp; Dey, A. (2023). Leveraging</w:t>
      </w:r>
      <w:r>
        <w:t xml:space="preserve"> </w:t>
      </w:r>
      <w:r>
        <w:t xml:space="preserve">Mobile Phone Sensors</w:t>
      </w:r>
      <w:r>
        <w:t xml:space="preserve">,</w:t>
      </w:r>
      <w:r>
        <w:t xml:space="preserve"> </w:t>
      </w:r>
      <w:r>
        <w:t xml:space="preserve">Machine Learning</w:t>
      </w:r>
      <w:r>
        <w:t xml:space="preserve"> </w:t>
      </w:r>
      <w:r>
        <w:t xml:space="preserve">and</w:t>
      </w:r>
      <w:r>
        <w:t xml:space="preserve"> </w:t>
      </w:r>
      <w:r>
        <w:t xml:space="preserve">Explainable Artificial Intelligence</w:t>
      </w:r>
      <w:r>
        <w:t xml:space="preserve"> </w:t>
      </w:r>
      <w:r>
        <w:t xml:space="preserve">to</w:t>
      </w:r>
      <w:r>
        <w:t xml:space="preserve"> </w:t>
      </w:r>
      <w:r>
        <w:t xml:space="preserve">Predict Imminent Same-Day Binge Drinking Events</w:t>
      </w:r>
      <w:r>
        <w:t xml:space="preserve"> </w:t>
      </w:r>
      <w:r>
        <w:t xml:space="preserve">to</w:t>
      </w:r>
      <w:r>
        <w:t xml:space="preserve"> </w:t>
      </w:r>
      <w:r>
        <w:t xml:space="preserve">Support Just-In-Time Adaptive Interventions</w:t>
      </w:r>
      <w:r>
        <w:t xml:space="preserve">:</w:t>
      </w:r>
      <w:r>
        <w:t xml:space="preserve"> </w:t>
      </w:r>
      <w:r>
        <w:t xml:space="preserve">A Feasibility Study</w:t>
      </w:r>
      <w:r>
        <w:t xml:space="preserve">.</w:t>
      </w:r>
      <w:r>
        <w:t xml:space="preserve"> </w:t>
      </w:r>
      <w:r>
        <w:rPr>
          <w:i/>
          <w:iCs/>
        </w:rPr>
        <w:t xml:space="preserve">JMIR Formative Research</w:t>
      </w:r>
      <w:r>
        <w:t xml:space="preserve">.</w:t>
      </w:r>
      <w:r>
        <w:t xml:space="preserve"> </w:t>
      </w:r>
      <w:hyperlink r:id="rId208">
        <w:r>
          <w:rPr>
            <w:rStyle w:val="Hyperlink"/>
          </w:rPr>
          <w:t xml:space="preserve">https://doi.org/10.2196/39862</w:t>
        </w:r>
      </w:hyperlink>
    </w:p>
    <w:bookmarkEnd w:id="209"/>
    <w:bookmarkStart w:id="211" w:name="ref-baeMobilePhoneSensors2018"/>
    <w:p>
      <w:pPr>
        <w:pStyle w:val="Bibliography"/>
      </w:pPr>
      <w:r>
        <w:t xml:space="preserve">Bae, S., Chung, T., Ferreira, D., Dey, A. K., &amp; Suffoletto, B. (2018). Mobile phone sensors and supervised machine learning to identify alcohol use events in young adults:</w:t>
      </w:r>
      <w:r>
        <w:t xml:space="preserve"> </w:t>
      </w:r>
      <w:r>
        <w:t xml:space="preserve">Implications</w:t>
      </w:r>
      <w:r>
        <w:t xml:space="preserve"> </w:t>
      </w:r>
      <w:r>
        <w:t xml:space="preserve">for just-in-time adaptive interventions.</w:t>
      </w:r>
      <w:r>
        <w:t xml:space="preserve"> </w:t>
      </w:r>
      <w:r>
        <w:rPr>
          <w:i/>
          <w:iCs/>
        </w:rPr>
        <w:t xml:space="preserve">Addictive Behaviors</w:t>
      </w:r>
      <w:r>
        <w:t xml:space="preserve">,</w:t>
      </w:r>
      <w:r>
        <w:t xml:space="preserve"> </w:t>
      </w:r>
      <w:r>
        <w:rPr>
          <w:i/>
          <w:iCs/>
        </w:rPr>
        <w:t xml:space="preserve">83</w:t>
      </w:r>
      <w:r>
        <w:t xml:space="preserve">, 42–47.</w:t>
      </w:r>
      <w:r>
        <w:t xml:space="preserve"> </w:t>
      </w:r>
      <w:hyperlink r:id="rId210">
        <w:r>
          <w:rPr>
            <w:rStyle w:val="Hyperlink"/>
          </w:rPr>
          <w:t xml:space="preserve">https://doi.org/10.1016/j.addbeh.2017.11.039</w:t>
        </w:r>
      </w:hyperlink>
    </w:p>
    <w:bookmarkEnd w:id="211"/>
    <w:bookmarkStart w:id="213" w:name="ref-bickmanAchievingPrecisionMental2016"/>
    <w:p>
      <w:pPr>
        <w:pStyle w:val="Bibliography"/>
      </w:pPr>
      <w:r>
        <w:t xml:space="preserve">Bickman, L., Lyon, A. R., &amp; Wolpert, M. (2016). Achieving</w:t>
      </w:r>
      <w:r>
        <w:t xml:space="preserve"> </w:t>
      </w:r>
      <w:r>
        <w:t xml:space="preserve">Precision Mental Health</w:t>
      </w:r>
      <w:r>
        <w:t xml:space="preserve"> </w:t>
      </w:r>
      <w:r>
        <w:t xml:space="preserve">through</w:t>
      </w:r>
      <w:r>
        <w:t xml:space="preserve"> </w:t>
      </w:r>
      <w:r>
        <w:t xml:space="preserve">Effective Assessment</w:t>
      </w:r>
      <w:r>
        <w:t xml:space="preserve">,</w:t>
      </w:r>
      <w:r>
        <w:t xml:space="preserve"> </w:t>
      </w:r>
      <w:r>
        <w:t xml:space="preserve">Monitoring</w:t>
      </w:r>
      <w:r>
        <w:t xml:space="preserve">, and</w:t>
      </w:r>
      <w:r>
        <w:t xml:space="preserve"> </w:t>
      </w:r>
      <w:r>
        <w:t xml:space="preserve">Feedback Processes</w:t>
      </w:r>
      <w:r>
        <w:t xml:space="preserve">.</w:t>
      </w:r>
      <w:r>
        <w:t xml:space="preserve"> </w:t>
      </w:r>
      <w:r>
        <w:rPr>
          <w:i/>
          <w:iCs/>
        </w:rPr>
        <w:t xml:space="preserve">Administration and Policy in Mental Health and Mental Health Services Research</w:t>
      </w:r>
      <w:r>
        <w:t xml:space="preserve">,</w:t>
      </w:r>
      <w:r>
        <w:t xml:space="preserve"> </w:t>
      </w:r>
      <w:r>
        <w:rPr>
          <w:i/>
          <w:iCs/>
        </w:rPr>
        <w:t xml:space="preserve">43</w:t>
      </w:r>
      <w:r>
        <w:t xml:space="preserve">(3), 271–276.</w:t>
      </w:r>
      <w:r>
        <w:t xml:space="preserve"> </w:t>
      </w:r>
      <w:hyperlink r:id="rId212">
        <w:r>
          <w:rPr>
            <w:rStyle w:val="Hyperlink"/>
          </w:rPr>
          <w:t xml:space="preserve">https://doi.org/10.1007/s10488-016-0718-5</w:t>
        </w:r>
      </w:hyperlink>
    </w:p>
    <w:bookmarkEnd w:id="213"/>
    <w:bookmarkStart w:id="214" w:name="ref-bleiLatentDirichletAllocation2003"/>
    <w:p>
      <w:pPr>
        <w:pStyle w:val="Bibliography"/>
      </w:pPr>
      <w:r>
        <w:t xml:space="preserve">Blei, D. M., Ng, A. Y., &amp; Jordan, M. I. (2003). Latent dirichlet allocation.</w:t>
      </w:r>
      <w:r>
        <w:t xml:space="preserve"> </w:t>
      </w:r>
      <w:r>
        <w:rPr>
          <w:i/>
          <w:iCs/>
        </w:rPr>
        <w:t xml:space="preserve">J. Mach. Learn. Res.</w:t>
      </w:r>
      <w:r>
        <w:t xml:space="preserve">,</w:t>
      </w:r>
      <w:r>
        <w:t xml:space="preserve"> </w:t>
      </w:r>
      <w:r>
        <w:rPr>
          <w:i/>
          <w:iCs/>
        </w:rPr>
        <w:t xml:space="preserve">3</w:t>
      </w:r>
      <w:r>
        <w:t xml:space="preserve">(null), 993–1022.</w:t>
      </w:r>
    </w:p>
    <w:bookmarkEnd w:id="214"/>
    <w:bookmarkStart w:id="215" w:name="X6c5adf42984d4dcd96717e3e06f47f768bdce11"/>
    <w:p>
      <w:pPr>
        <w:pStyle w:val="Bibliography"/>
      </w:pPr>
      <w:r>
        <w:t xml:space="preserve">Bowen, S., Chawla, N., Grow, J., &amp; Marlatt, G. A. (2021).</w:t>
      </w:r>
      <w:r>
        <w:t xml:space="preserve"> </w:t>
      </w:r>
      <w:r>
        <w:rPr>
          <w:i/>
          <w:iCs/>
        </w:rPr>
        <w:t xml:space="preserve">Mindfulness-</w:t>
      </w:r>
      <w:r>
        <w:rPr>
          <w:i/>
          <w:iCs/>
        </w:rPr>
        <w:t xml:space="preserve">Based Relapse Prevention</w:t>
      </w:r>
      <w:r>
        <w:rPr>
          <w:i/>
          <w:iCs/>
        </w:rPr>
        <w:t xml:space="preserve"> </w:t>
      </w:r>
      <w:r>
        <w:rPr>
          <w:i/>
          <w:iCs/>
        </w:rPr>
        <w:t xml:space="preserve">for</w:t>
      </w:r>
      <w:r>
        <w:rPr>
          <w:i/>
          <w:iCs/>
        </w:rPr>
        <w:t xml:space="preserve"> </w:t>
      </w:r>
      <w:r>
        <w:rPr>
          <w:i/>
          <w:iCs/>
        </w:rPr>
        <w:t xml:space="preserve">Addictive Behaviors</w:t>
      </w:r>
      <w:r>
        <w:rPr>
          <w:i/>
          <w:iCs/>
        </w:rPr>
        <w:t xml:space="preserve">:</w:t>
      </w:r>
      <w:r>
        <w:rPr>
          <w:i/>
          <w:iCs/>
        </w:rPr>
        <w:t xml:space="preserve"> </w:t>
      </w:r>
      <w:r>
        <w:rPr>
          <w:i/>
          <w:iCs/>
        </w:rPr>
        <w:t xml:space="preserve">A Clinician</w:t>
      </w:r>
      <w:r>
        <w:rPr>
          <w:i/>
          <w:iCs/>
        </w:rPr>
        <w:t xml:space="preserve">’s</w:t>
      </w:r>
      <w:r>
        <w:rPr>
          <w:i/>
          <w:iCs/>
        </w:rPr>
        <w:t xml:space="preserve"> </w:t>
      </w:r>
      <w:r>
        <w:rPr>
          <w:i/>
          <w:iCs/>
        </w:rPr>
        <w:t xml:space="preserve">Guide</w:t>
      </w:r>
      <w:r>
        <w:t xml:space="preserve"> </w:t>
      </w:r>
      <w:r>
        <w:t xml:space="preserve">(Second edition). The Guilford Press.</w:t>
      </w:r>
    </w:p>
    <w:bookmarkEnd w:id="215"/>
    <w:bookmarkStart w:id="217" w:name="X1f603aac9a9ea73be97c55416395d3641a2c512"/>
    <w:p>
      <w:pPr>
        <w:pStyle w:val="Bibliography"/>
      </w:pPr>
      <w:r>
        <w:t xml:space="preserve">Bowen, S., Witkiewitz, K., Clifasefi, S. L., Grow, J., Chawla, N., Hsu, S. H., Carroll, H. A., Harrop, E., Collins, S. E., Lustyk, M. K., &amp; Larimer, M. E. (2014). Relative</w:t>
      </w:r>
      <w:r>
        <w:t xml:space="preserve"> </w:t>
      </w:r>
      <w:r>
        <w:t xml:space="preserve">Efficacy</w:t>
      </w:r>
      <w:r>
        <w:t xml:space="preserve"> </w:t>
      </w:r>
      <w:r>
        <w:t xml:space="preserve">of</w:t>
      </w:r>
      <w:r>
        <w:t xml:space="preserve"> </w:t>
      </w:r>
      <w:r>
        <w:t xml:space="preserve">Mindfulness-Based Relapse Prevention</w:t>
      </w:r>
      <w:r>
        <w:t xml:space="preserve">,</w:t>
      </w:r>
      <w:r>
        <w:t xml:space="preserve"> </w:t>
      </w:r>
      <w:r>
        <w:t xml:space="preserve">Standard Relapse Prevention</w:t>
      </w:r>
      <w:r>
        <w:t xml:space="preserve">, and</w:t>
      </w:r>
      <w:r>
        <w:t xml:space="preserve"> </w:t>
      </w:r>
      <w:r>
        <w:t xml:space="preserve">Treatment</w:t>
      </w:r>
      <w:r>
        <w:t xml:space="preserve"> </w:t>
      </w:r>
      <w:r>
        <w:t xml:space="preserve">as</w:t>
      </w:r>
      <w:r>
        <w:t xml:space="preserve"> </w:t>
      </w:r>
      <w:r>
        <w:t xml:space="preserve">Usual</w:t>
      </w:r>
      <w:r>
        <w:t xml:space="preserve"> </w:t>
      </w:r>
      <w:r>
        <w:t xml:space="preserve">for</w:t>
      </w:r>
      <w:r>
        <w:t xml:space="preserve"> </w:t>
      </w:r>
      <w:r>
        <w:t xml:space="preserve">Substance Use Disorders</w:t>
      </w:r>
      <w:r>
        <w:t xml:space="preserve">.</w:t>
      </w:r>
      <w:r>
        <w:t xml:space="preserve"> </w:t>
      </w:r>
      <w:r>
        <w:rPr>
          <w:i/>
          <w:iCs/>
        </w:rPr>
        <w:t xml:space="preserve">JAMA Psychiatry</w:t>
      </w:r>
      <w:r>
        <w:t xml:space="preserve">,</w:t>
      </w:r>
      <w:r>
        <w:t xml:space="preserve"> </w:t>
      </w:r>
      <w:r>
        <w:rPr>
          <w:i/>
          <w:iCs/>
        </w:rPr>
        <w:t xml:space="preserve">71</w:t>
      </w:r>
      <w:r>
        <w:t xml:space="preserve">(5), 547–556.</w:t>
      </w:r>
      <w:r>
        <w:t xml:space="preserve"> </w:t>
      </w:r>
      <w:hyperlink r:id="rId216">
        <w:r>
          <w:rPr>
            <w:rStyle w:val="Hyperlink"/>
          </w:rPr>
          <w:t xml:space="preserve">https://doi.org/10.1001/jamapsychiatry.2013.4546</w:t>
        </w:r>
      </w:hyperlink>
    </w:p>
    <w:bookmarkEnd w:id="217"/>
    <w:bookmarkStart w:id="219" w:name="ref-brandonRelapseRelapsePrevention2007"/>
    <w:p>
      <w:pPr>
        <w:pStyle w:val="Bibliography"/>
      </w:pPr>
      <w:r>
        <w:t xml:space="preserve">Brandon, T. H., Vidrine, J. I., &amp; Litvin, E. B. (2007). Relapse and relapse prevention.</w:t>
      </w:r>
      <w:r>
        <w:t xml:space="preserve"> </w:t>
      </w:r>
      <w:r>
        <w:rPr>
          <w:i/>
          <w:iCs/>
        </w:rPr>
        <w:t xml:space="preserve">Annual Review of Clinical Psychology</w:t>
      </w:r>
      <w:r>
        <w:t xml:space="preserve">,</w:t>
      </w:r>
      <w:r>
        <w:t xml:space="preserve"> </w:t>
      </w:r>
      <w:r>
        <w:rPr>
          <w:i/>
          <w:iCs/>
        </w:rPr>
        <w:t xml:space="preserve">3</w:t>
      </w:r>
      <w:r>
        <w:t xml:space="preserve">(1), 257–284.</w:t>
      </w:r>
      <w:r>
        <w:t xml:space="preserve"> </w:t>
      </w:r>
      <w:hyperlink r:id="rId218">
        <w:r>
          <w:rPr>
            <w:rStyle w:val="Hyperlink"/>
          </w:rPr>
          <w:t xml:space="preserve">https://doi.org/10.1146/annurev.clinpsy.3.022806.091455</w:t>
        </w:r>
      </w:hyperlink>
    </w:p>
    <w:bookmarkEnd w:id="219"/>
    <w:bookmarkStart w:id="221" w:name="Xb9e0d0ebf8a68c1cf7bf5a0c0c60d2cec07c66c"/>
    <w:p>
      <w:pPr>
        <w:pStyle w:val="Bibliography"/>
      </w:pPr>
      <w:r>
        <w:t xml:space="preserve">Burgess-Hull, A. J., Panlilio, L. V., Preston, K. L., &amp; Epstein, D. H. (2022). Trajectories of craving during medication-assisted treatment for opioid-use disorder:</w:t>
      </w:r>
      <w:r>
        <w:t xml:space="preserve"> </w:t>
      </w:r>
      <w:r>
        <w:t xml:space="preserve">Subtyping</w:t>
      </w:r>
      <w:r>
        <w:t xml:space="preserve"> </w:t>
      </w:r>
      <w:r>
        <w:t xml:space="preserve">for early identification of higher risk.</w:t>
      </w:r>
      <w:r>
        <w:t xml:space="preserve"> </w:t>
      </w:r>
      <w:r>
        <w:rPr>
          <w:i/>
          <w:iCs/>
        </w:rPr>
        <w:t xml:space="preserve">Drug and Alcohol Dependence</w:t>
      </w:r>
      <w:r>
        <w:t xml:space="preserve">,</w:t>
      </w:r>
      <w:r>
        <w:t xml:space="preserve"> </w:t>
      </w:r>
      <w:r>
        <w:rPr>
          <w:i/>
          <w:iCs/>
        </w:rPr>
        <w:t xml:space="preserve">233</w:t>
      </w:r>
      <w:r>
        <w:t xml:space="preserve">, 109362.</w:t>
      </w:r>
      <w:r>
        <w:t xml:space="preserve"> </w:t>
      </w:r>
      <w:hyperlink r:id="rId220">
        <w:r>
          <w:rPr>
            <w:rStyle w:val="Hyperlink"/>
          </w:rPr>
          <w:t xml:space="preserve">https://doi.org/10.1016/j.drugalcdep.2022.109362</w:t>
        </w:r>
      </w:hyperlink>
    </w:p>
    <w:bookmarkEnd w:id="221"/>
    <w:bookmarkStart w:id="223" w:name="ref-campbellBriefReportGender2018"/>
    <w:p>
      <w:pPr>
        <w:pStyle w:val="Bibliography"/>
      </w:pPr>
      <w:r>
        <w:t xml:space="preserve">Campbell, A. N. C., Barbosa-Leiker, C., Hatch-Maillette, M., Mennenga, S. E., Pavlicova, M., Scodes, J., Saraiya, T., Mitchell, S. G., Rotrosen, J., Novo, P., Nunes, E. V., &amp; Greenfield, S. F. (2018). Brief</w:t>
      </w:r>
      <w:r>
        <w:t xml:space="preserve"> </w:t>
      </w:r>
      <w:r>
        <w:t xml:space="preserve">Report</w:t>
      </w:r>
      <w:r>
        <w:t xml:space="preserve">:</w:t>
      </w:r>
      <w:r>
        <w:t xml:space="preserve"> </w:t>
      </w:r>
      <w:r>
        <w:t xml:space="preserve">Gender Differences</w:t>
      </w:r>
      <w:r>
        <w:t xml:space="preserve"> </w:t>
      </w:r>
      <w:r>
        <w:t xml:space="preserve">in</w:t>
      </w:r>
      <w:r>
        <w:t xml:space="preserve"> </w:t>
      </w:r>
      <w:r>
        <w:t xml:space="preserve">Demographic</w:t>
      </w:r>
      <w:r>
        <w:t xml:space="preserve"> </w:t>
      </w:r>
      <w:r>
        <w:t xml:space="preserve">and</w:t>
      </w:r>
      <w:r>
        <w:t xml:space="preserve"> </w:t>
      </w:r>
      <w:r>
        <w:t xml:space="preserve">Clinical Characteristics</w:t>
      </w:r>
      <w:r>
        <w:t xml:space="preserve"> </w:t>
      </w:r>
      <w:r>
        <w:t xml:space="preserve">of</w:t>
      </w:r>
      <w:r>
        <w:t xml:space="preserve"> </w:t>
      </w:r>
      <w:r>
        <w:t xml:space="preserve">Patients</w:t>
      </w:r>
      <w:r>
        <w:t xml:space="preserve"> </w:t>
      </w:r>
      <w:r>
        <w:t xml:space="preserve">with</w:t>
      </w:r>
      <w:r>
        <w:t xml:space="preserve"> </w:t>
      </w:r>
      <w:r>
        <w:t xml:space="preserve">Opioid Use Disorder Entering</w:t>
      </w:r>
      <w:r>
        <w:t xml:space="preserve"> </w:t>
      </w:r>
      <w:r>
        <w:t xml:space="preserve">a</w:t>
      </w:r>
      <w:r>
        <w:t xml:space="preserve"> </w:t>
      </w:r>
      <w:r>
        <w:t xml:space="preserve">Comparative Effectiveness Medication Trial</w:t>
      </w:r>
      <w:r>
        <w:t xml:space="preserve">.</w:t>
      </w:r>
      <w:r>
        <w:t xml:space="preserve"> </w:t>
      </w:r>
      <w:r>
        <w:rPr>
          <w:i/>
          <w:iCs/>
        </w:rPr>
        <w:t xml:space="preserve">The American Journal on Addictions</w:t>
      </w:r>
      <w:r>
        <w:t xml:space="preserve">,</w:t>
      </w:r>
      <w:r>
        <w:t xml:space="preserve"> </w:t>
      </w:r>
      <w:r>
        <w:rPr>
          <w:i/>
          <w:iCs/>
        </w:rPr>
        <w:t xml:space="preserve">27</w:t>
      </w:r>
      <w:r>
        <w:t xml:space="preserve">(6), 465–470.</w:t>
      </w:r>
      <w:r>
        <w:t xml:space="preserve"> </w:t>
      </w:r>
      <w:hyperlink r:id="rId222">
        <w:r>
          <w:rPr>
            <w:rStyle w:val="Hyperlink"/>
          </w:rPr>
          <w:t xml:space="preserve">https://doi.org/10.1111/ajad.12784</w:t>
        </w:r>
      </w:hyperlink>
    </w:p>
    <w:bookmarkEnd w:id="223"/>
    <w:bookmarkStart w:id="225" w:name="X9a37a6baaaf4b0898f9b89d686ca60354e1e472"/>
    <w:p>
      <w:pPr>
        <w:pStyle w:val="Bibliography"/>
      </w:pPr>
      <w:r>
        <w:t xml:space="preserve">Campbell, A. N. C., Nunes, E. V., Matthews, A. G., Stitzer, M., Miele, G. M., Polsky, D., Turrigiano, E., Walters, S., McClure, E. A., Kyle, T. L., Wahle, A., Van Veldhuisen, P., Goldman, B., Babcock, D., Stabile, P. Q., Winhusen, T., &amp; Ghitza, U. E. (2014). Internet-delivered treatment for substance abuse: A multisite randomized controlled trial.</w:t>
      </w:r>
      <w:r>
        <w:t xml:space="preserve"> </w:t>
      </w:r>
      <w:r>
        <w:rPr>
          <w:i/>
          <w:iCs/>
        </w:rPr>
        <w:t xml:space="preserve">The American Journal of Psychiatry</w:t>
      </w:r>
      <w:r>
        <w:t xml:space="preserve">,</w:t>
      </w:r>
      <w:r>
        <w:t xml:space="preserve"> </w:t>
      </w:r>
      <w:r>
        <w:rPr>
          <w:i/>
          <w:iCs/>
        </w:rPr>
        <w:t xml:space="preserve">171</w:t>
      </w:r>
      <w:r>
        <w:t xml:space="preserve">(6), 683–690.</w:t>
      </w:r>
      <w:r>
        <w:t xml:space="preserve"> </w:t>
      </w:r>
      <w:hyperlink r:id="rId224">
        <w:r>
          <w:rPr>
            <w:rStyle w:val="Hyperlink"/>
          </w:rPr>
          <w:t xml:space="preserve">https://doi.org/10.1176/appi.ajp.2014.13081055</w:t>
        </w:r>
      </w:hyperlink>
    </w:p>
    <w:bookmarkEnd w:id="225"/>
    <w:bookmarkStart w:id="227" w:name="ref-chtc"/>
    <w:p>
      <w:pPr>
        <w:pStyle w:val="Bibliography"/>
      </w:pPr>
      <w:r>
        <w:t xml:space="preserve">Center for High Throughput Computing. (2006).</w:t>
      </w:r>
      <w:r>
        <w:t xml:space="preserve"> </w:t>
      </w:r>
      <w:r>
        <w:rPr>
          <w:i/>
          <w:iCs/>
        </w:rPr>
        <w:t xml:space="preserve">Center for high throughput computing</w:t>
      </w:r>
      <w:r>
        <w:t xml:space="preserve">. Center for High Throughput Computing.</w:t>
      </w:r>
      <w:r>
        <w:t xml:space="preserve"> </w:t>
      </w:r>
      <w:hyperlink r:id="rId226">
        <w:r>
          <w:rPr>
            <w:rStyle w:val="Hyperlink"/>
          </w:rPr>
          <w:t xml:space="preserve">https://doi.org/10.21231/GNT1-HW21</w:t>
        </w:r>
      </w:hyperlink>
    </w:p>
    <w:bookmarkEnd w:id="227"/>
    <w:bookmarkStart w:id="228" w:name="X8e0e943878d1a2c3026b4a46f6c482e09849b94"/>
    <w:p>
      <w:pPr>
        <w:pStyle w:val="Bibliography"/>
      </w:pPr>
      <w:r>
        <w:t xml:space="preserve">Center for Substance Abuse Treatment. (2006).</w:t>
      </w:r>
      <w:r>
        <w:t xml:space="preserve"> </w:t>
      </w:r>
      <w:r>
        <w:rPr>
          <w:i/>
          <w:iCs/>
        </w:rPr>
        <w:t xml:space="preserve">Counselor’s</w:t>
      </w:r>
      <w:r>
        <w:rPr>
          <w:i/>
          <w:iCs/>
        </w:rPr>
        <w:t xml:space="preserve"> </w:t>
      </w:r>
      <w:r>
        <w:rPr>
          <w:i/>
          <w:iCs/>
        </w:rPr>
        <w:t xml:space="preserve">Treatment Manual</w:t>
      </w:r>
      <w:r>
        <w:rPr>
          <w:i/>
          <w:iCs/>
        </w:rPr>
        <w:t xml:space="preserve">:</w:t>
      </w:r>
      <w:r>
        <w:rPr>
          <w:i/>
          <w:iCs/>
        </w:rPr>
        <w:t xml:space="preserve"> </w:t>
      </w:r>
      <w:r>
        <w:rPr>
          <w:i/>
          <w:iCs/>
        </w:rPr>
        <w:t xml:space="preserve">Matrix Intensive Outpatient Treatment</w:t>
      </w:r>
      <w:r>
        <w:rPr>
          <w:i/>
          <w:iCs/>
        </w:rPr>
        <w:t xml:space="preserve"> </w:t>
      </w:r>
      <w:r>
        <w:rPr>
          <w:i/>
          <w:iCs/>
        </w:rPr>
        <w:t xml:space="preserve">for</w:t>
      </w:r>
      <w:r>
        <w:rPr>
          <w:i/>
          <w:iCs/>
        </w:rPr>
        <w:t xml:space="preserve"> </w:t>
      </w:r>
      <w:r>
        <w:rPr>
          <w:i/>
          <w:iCs/>
        </w:rPr>
        <w:t xml:space="preserve">People With Stimulant Use Disorders</w:t>
      </w:r>
      <w:r>
        <w:t xml:space="preserve">.</w:t>
      </w:r>
      <w:r>
        <w:t xml:space="preserve"> </w:t>
      </w:r>
      <w:r>
        <w:t xml:space="preserve">Substance Abuse and Mental Health Services Administration</w:t>
      </w:r>
      <w:r>
        <w:t xml:space="preserve">.</w:t>
      </w:r>
    </w:p>
    <w:bookmarkEnd w:id="228"/>
    <w:bookmarkStart w:id="229" w:name="X21d9bc577093464d5d051ef6477b67710b39313"/>
    <w:p>
      <w:pPr>
        <w:pStyle w:val="Bibliography"/>
      </w:pPr>
      <w:r>
        <w:t xml:space="preserve">Centers for Disease Control and Prevention (CDC). (n.d.). Annual</w:t>
      </w:r>
      <w:r>
        <w:t xml:space="preserve"> </w:t>
      </w:r>
      <w:r>
        <w:t xml:space="preserve">Average</w:t>
      </w:r>
      <w:r>
        <w:t xml:space="preserve"> </w:t>
      </w:r>
      <w:r>
        <w:t xml:space="preserve">for</w:t>
      </w:r>
      <w:r>
        <w:t xml:space="preserve"> </w:t>
      </w:r>
      <w:r>
        <w:t xml:space="preserve">United States</w:t>
      </w:r>
      <w:r>
        <w:t xml:space="preserve"> </w:t>
      </w:r>
      <w:r>
        <w:t xml:space="preserve">2011–2015</w:t>
      </w:r>
      <w:r>
        <w:t xml:space="preserve"> </w:t>
      </w:r>
      <w:r>
        <w:t xml:space="preserve">Alcohol-Attributable Deaths Due</w:t>
      </w:r>
      <w:r>
        <w:t xml:space="preserve"> </w:t>
      </w:r>
      <w:r>
        <w:t xml:space="preserve">to</w:t>
      </w:r>
      <w:r>
        <w:t xml:space="preserve"> </w:t>
      </w:r>
      <w:r>
        <w:t xml:space="preserve">Excessive Alcohol Use</w:t>
      </w:r>
      <w:r>
        <w:t xml:space="preserve">,</w:t>
      </w:r>
      <w:r>
        <w:t xml:space="preserve"> </w:t>
      </w:r>
      <w:r>
        <w:t xml:space="preserve">All Ages</w:t>
      </w:r>
      <w:r>
        <w:t xml:space="preserve">. In</w:t>
      </w:r>
      <w:r>
        <w:t xml:space="preserve"> </w:t>
      </w:r>
      <w:r>
        <w:rPr>
          <w:i/>
          <w:iCs/>
        </w:rPr>
        <w:t xml:space="preserve">2022 Alcohol Related Disease Impact (ARDI) Application Website</w:t>
      </w:r>
      <w:r>
        <w:t xml:space="preserve">. https://nccd.cdc.gov/DPH_ARDI/Default/Default.aspx.</w:t>
      </w:r>
    </w:p>
    <w:bookmarkEnd w:id="229"/>
    <w:bookmarkStart w:id="231" w:name="ref-chihPredictiveModelingAddiction2014"/>
    <w:p>
      <w:pPr>
        <w:pStyle w:val="Bibliography"/>
      </w:pPr>
      <w:r>
        <w:t xml:space="preserve">Chih, M.-Y., Patton, T., McTavish, F. M., Isham, A. J., Judkins-Fisher, C. L., Atwood, A. K., &amp; Gustafson, D. H. (2014). Predictive modeling of addiction lapses in a mobile health application.</w:t>
      </w:r>
      <w:r>
        <w:t xml:space="preserve"> </w:t>
      </w:r>
      <w:r>
        <w:rPr>
          <w:i/>
          <w:iCs/>
        </w:rPr>
        <w:t xml:space="preserve">Journal of Substance Abuse Treatment</w:t>
      </w:r>
      <w:r>
        <w:t xml:space="preserve">,</w:t>
      </w:r>
      <w:r>
        <w:t xml:space="preserve"> </w:t>
      </w:r>
      <w:r>
        <w:rPr>
          <w:i/>
          <w:iCs/>
        </w:rPr>
        <w:t xml:space="preserve">46</w:t>
      </w:r>
      <w:r>
        <w:t xml:space="preserve">(1), 29–35.</w:t>
      </w:r>
      <w:r>
        <w:t xml:space="preserve"> </w:t>
      </w:r>
      <w:hyperlink r:id="rId230">
        <w:r>
          <w:rPr>
            <w:rStyle w:val="Hyperlink"/>
          </w:rPr>
          <w:t xml:space="preserve">https://doi.org/10.1016/j.jsat.2013.08.004</w:t>
        </w:r>
      </w:hyperlink>
    </w:p>
    <w:bookmarkEnd w:id="231"/>
    <w:bookmarkStart w:id="233" w:name="ref-choiTreatmentUsePerceived2014"/>
    <w:p>
      <w:pPr>
        <w:pStyle w:val="Bibliography"/>
      </w:pPr>
      <w:r>
        <w:t xml:space="preserve">Choi, N. G., DiNitto, D. M., &amp; Marti, C. N. (2014). Treatment use, perceived need, and barriers to seeking treatment for substance abuse and mental health problems among older adults compared to younger adults.</w:t>
      </w:r>
      <w:r>
        <w:t xml:space="preserve"> </w:t>
      </w:r>
      <w:r>
        <w:rPr>
          <w:i/>
          <w:iCs/>
        </w:rPr>
        <w:t xml:space="preserve">Drug and Alcohol Dependence</w:t>
      </w:r>
      <w:r>
        <w:t xml:space="preserve">,</w:t>
      </w:r>
      <w:r>
        <w:t xml:space="preserve"> </w:t>
      </w:r>
      <w:r>
        <w:rPr>
          <w:i/>
          <w:iCs/>
        </w:rPr>
        <w:t xml:space="preserve">145</w:t>
      </w:r>
      <w:r>
        <w:t xml:space="preserve">, 113–120.</w:t>
      </w:r>
      <w:r>
        <w:t xml:space="preserve"> </w:t>
      </w:r>
      <w:hyperlink r:id="rId232">
        <w:r>
          <w:rPr>
            <w:rStyle w:val="Hyperlink"/>
          </w:rPr>
          <w:t xml:space="preserve">https://doi.org/10.1016/j.drugalcdep.2014.10.004</w:t>
        </w:r>
      </w:hyperlink>
    </w:p>
    <w:bookmarkEnd w:id="233"/>
    <w:bookmarkStart w:id="235" w:name="ref-collinsTRIPODAIStatementUpdated2024"/>
    <w:p>
      <w:pPr>
        <w:pStyle w:val="Bibliography"/>
      </w:pPr>
      <w:r>
        <w:t xml:space="preserve">Collins, G. S., Moons, K. G. M., Dhiman, P., Riley, R. D., Beam, A. L., Van Calster, B., Ghassemi, M., Liu, X., Reitsma, J. B., Van Smeden, M., Boulesteix, A.-L., Camaradou, J. C., Celi, L. A., Denaxas, S., Denniston, A. K., Glocker, B., Golub, R. M., Harvey, H., Heinze, G., … Logullo, P. (2024).</w:t>
      </w:r>
      <w:r>
        <w:t xml:space="preserve"> </w:t>
      </w:r>
      <w:r>
        <w:t xml:space="preserve">TRIPOD</w:t>
      </w:r>
      <w:r>
        <w:t xml:space="preserve">+</w:t>
      </w:r>
      <w:r>
        <w:t xml:space="preserve">AI</w:t>
      </w:r>
      <w:r>
        <w:t xml:space="preserve"> </w:t>
      </w:r>
      <w:r>
        <w:t xml:space="preserve">statement: Updated guidance for reporting clinical prediction models that use regression or machine learning methods.</w:t>
      </w:r>
      <w:r>
        <w:t xml:space="preserve"> </w:t>
      </w:r>
      <w:r>
        <w:rPr>
          <w:i/>
          <w:iCs/>
        </w:rPr>
        <w:t xml:space="preserve">BMJ</w:t>
      </w:r>
      <w:r>
        <w:t xml:space="preserve">,</w:t>
      </w:r>
      <w:r>
        <w:t xml:space="preserve"> </w:t>
      </w:r>
      <w:r>
        <w:rPr>
          <w:i/>
          <w:iCs/>
        </w:rPr>
        <w:t xml:space="preserve">385</w:t>
      </w:r>
      <w:r>
        <w:t xml:space="preserve">, e078378.</w:t>
      </w:r>
      <w:r>
        <w:t xml:space="preserve"> </w:t>
      </w:r>
      <w:hyperlink r:id="rId234">
        <w:r>
          <w:rPr>
            <w:rStyle w:val="Hyperlink"/>
          </w:rPr>
          <w:t xml:space="preserve">https://doi.org/10.1136/bmj-2023-078378</w:t>
        </w:r>
      </w:hyperlink>
    </w:p>
    <w:bookmarkEnd w:id="235"/>
    <w:bookmarkStart w:id="237" w:name="Xe29632f4640db359554d6e94e7df1cfb6521b58"/>
    <w:p>
      <w:pPr>
        <w:pStyle w:val="Bibliography"/>
      </w:pPr>
      <w:r>
        <w:t xml:space="preserve">Collins, L. M. (2018).</w:t>
      </w:r>
      <w:r>
        <w:t xml:space="preserve"> </w:t>
      </w:r>
      <w:r>
        <w:rPr>
          <w:i/>
          <w:iCs/>
        </w:rPr>
        <w:t xml:space="preserve">Optimization of</w:t>
      </w:r>
      <w:r>
        <w:rPr>
          <w:i/>
          <w:iCs/>
        </w:rPr>
        <w:t xml:space="preserve"> </w:t>
      </w:r>
      <w:r>
        <w:rPr>
          <w:i/>
          <w:iCs/>
        </w:rPr>
        <w:t xml:space="preserve">Behavioral</w:t>
      </w:r>
      <w:r>
        <w:rPr>
          <w:i/>
          <w:iCs/>
        </w:rPr>
        <w:t xml:space="preserve">,</w:t>
      </w:r>
      <w:r>
        <w:rPr>
          <w:i/>
          <w:iCs/>
        </w:rPr>
        <w:t xml:space="preserve"> </w:t>
      </w:r>
      <w:r>
        <w:rPr>
          <w:i/>
          <w:iCs/>
        </w:rPr>
        <w:t xml:space="preserve">Biobehavioral</w:t>
      </w:r>
      <w:r>
        <w:rPr>
          <w:i/>
          <w:iCs/>
        </w:rPr>
        <w:t xml:space="preserve">, and</w:t>
      </w:r>
      <w:r>
        <w:rPr>
          <w:i/>
          <w:iCs/>
        </w:rPr>
        <w:t xml:space="preserve"> </w:t>
      </w:r>
      <w:r>
        <w:rPr>
          <w:i/>
          <w:iCs/>
        </w:rPr>
        <w:t xml:space="preserve">Biomedical Interventions</w:t>
      </w:r>
      <w:r>
        <w:rPr>
          <w:i/>
          <w:iCs/>
        </w:rPr>
        <w:t xml:space="preserve">:</w:t>
      </w:r>
      <w:r>
        <w:rPr>
          <w:i/>
          <w:iCs/>
        </w:rPr>
        <w:t xml:space="preserve"> </w:t>
      </w:r>
      <w:r>
        <w:rPr>
          <w:i/>
          <w:iCs/>
        </w:rPr>
        <w:t xml:space="preserve">The Multiphase Optimization Strategy</w:t>
      </w:r>
      <w:r>
        <w:rPr>
          <w:i/>
          <w:iCs/>
        </w:rPr>
        <w:t xml:space="preserve"> </w:t>
      </w:r>
      <w:r>
        <w:rPr>
          <w:i/>
          <w:iCs/>
        </w:rPr>
        <w:t xml:space="preserve">(</w:t>
      </w:r>
      <w:r>
        <w:rPr>
          <w:i/>
          <w:iCs/>
        </w:rPr>
        <w:t xml:space="preserve">MOST</w:t>
      </w:r>
      <w:r>
        <w:rPr>
          <w:i/>
          <w:iCs/>
        </w:rPr>
        <w:t xml:space="preserve">)</w:t>
      </w:r>
      <w:r>
        <w:t xml:space="preserve">. Springer International Publishing.</w:t>
      </w:r>
      <w:r>
        <w:t xml:space="preserve"> </w:t>
      </w:r>
      <w:hyperlink r:id="rId236">
        <w:r>
          <w:rPr>
            <w:rStyle w:val="Hyperlink"/>
          </w:rPr>
          <w:t xml:space="preserve">https://doi.org/10.1007/978-3-319-72206-1</w:t>
        </w:r>
      </w:hyperlink>
    </w:p>
    <w:bookmarkEnd w:id="237"/>
    <w:bookmarkStart w:id="239" w:name="X3318c3d125eb6b2c1c0b78207deae74f3614f2f"/>
    <w:p>
      <w:pPr>
        <w:pStyle w:val="Bibliography"/>
      </w:pPr>
      <w:r>
        <w:t xml:space="preserve">Cook, B. L., &amp; Alegría, M. (2011). Racial-ethnic disparities in substance abuse treatment: The role of criminal history and socioeconomic status.</w:t>
      </w:r>
      <w:r>
        <w:t xml:space="preserve"> </w:t>
      </w:r>
      <w:r>
        <w:rPr>
          <w:i/>
          <w:iCs/>
        </w:rPr>
        <w:t xml:space="preserve">Psychiatric Services</w:t>
      </w:r>
      <w:r>
        <w:t xml:space="preserve">,</w:t>
      </w:r>
      <w:r>
        <w:t xml:space="preserve"> </w:t>
      </w:r>
      <w:r>
        <w:rPr>
          <w:i/>
          <w:iCs/>
        </w:rPr>
        <w:t xml:space="preserve">62</w:t>
      </w:r>
      <w:r>
        <w:t xml:space="preserve">(11), 1273–1281.</w:t>
      </w:r>
      <w:r>
        <w:t xml:space="preserve"> </w:t>
      </w:r>
      <w:hyperlink r:id="rId238">
        <w:r>
          <w:rPr>
            <w:rStyle w:val="Hyperlink"/>
          </w:rPr>
          <w:t xml:space="preserve">https://doi.org/10.1176/ps.62.11.pss6211_1273</w:t>
        </w:r>
      </w:hyperlink>
    </w:p>
    <w:bookmarkEnd w:id="239"/>
    <w:bookmarkStart w:id="241" w:name="ref-craneAlcoholUseDisorders2020"/>
    <w:p>
      <w:pPr>
        <w:pStyle w:val="Bibliography"/>
      </w:pPr>
      <w:r>
        <w:t xml:space="preserve">Crane, P. R., Swaringen, K. S., Foster, A. M., &amp; Talley, A. E. (2020). Alcohol use disorders among sexual and gender minority populations. In</w:t>
      </w:r>
      <w:r>
        <w:t xml:space="preserve"> </w:t>
      </w:r>
      <w:r>
        <w:rPr>
          <w:i/>
          <w:iCs/>
        </w:rPr>
        <w:t xml:space="preserve">The</w:t>
      </w:r>
      <w:r>
        <w:rPr>
          <w:i/>
          <w:iCs/>
        </w:rPr>
        <w:t xml:space="preserve"> </w:t>
      </w:r>
      <w:r>
        <w:rPr>
          <w:i/>
          <w:iCs/>
        </w:rPr>
        <w:t xml:space="preserve">Oxford</w:t>
      </w:r>
      <w:r>
        <w:rPr>
          <w:i/>
          <w:iCs/>
        </w:rPr>
        <w:t xml:space="preserve"> </w:t>
      </w:r>
      <w:r>
        <w:rPr>
          <w:i/>
          <w:iCs/>
        </w:rPr>
        <w:t xml:space="preserve">handbook of sexual and gender minority mental health</w:t>
      </w:r>
      <w:r>
        <w:t xml:space="preserve"> </w:t>
      </w:r>
      <w:r>
        <w:t xml:space="preserve">(pp. 87–100). Oxford University Press.</w:t>
      </w:r>
      <w:r>
        <w:t xml:space="preserve"> </w:t>
      </w:r>
      <w:hyperlink r:id="rId240">
        <w:r>
          <w:rPr>
            <w:rStyle w:val="Hyperlink"/>
          </w:rPr>
          <w:t xml:space="preserve">https://doi.org/10.1093/oxfordhb/9780190067991.013.9</w:t>
        </w:r>
      </w:hyperlink>
    </w:p>
    <w:bookmarkEnd w:id="241"/>
    <w:bookmarkStart w:id="243" w:name="Xb70ed90433964dc3a7ede0ee8357d97241623cc"/>
    <w:p>
      <w:pPr>
        <w:pStyle w:val="Bibliography"/>
      </w:pPr>
      <w:r>
        <w:t xml:space="preserve">David, S. J., Marshall, A. J., Evanovich, E. K., &amp; Mumma, G. H. (2018). Intraindividual</w:t>
      </w:r>
      <w:r>
        <w:t xml:space="preserve"> </w:t>
      </w:r>
      <w:r>
        <w:t xml:space="preserve">Dynamic Network Analysis</w:t>
      </w:r>
      <w:r>
        <w:t xml:space="preserve"> </w:t>
      </w:r>
      <w:r>
        <w:t xml:space="preserve">-</w:t>
      </w:r>
      <w:r>
        <w:t xml:space="preserve"> </w:t>
      </w:r>
      <w:r>
        <w:t xml:space="preserve">Implications</w:t>
      </w:r>
      <w:r>
        <w:t xml:space="preserve"> </w:t>
      </w:r>
      <w:r>
        <w:t xml:space="preserve">for</w:t>
      </w:r>
      <w:r>
        <w:t xml:space="preserve"> </w:t>
      </w:r>
      <w:r>
        <w:t xml:space="preserve">Clinical Assessment</w:t>
      </w:r>
      <w:r>
        <w:t xml:space="preserve">.</w:t>
      </w:r>
      <w:r>
        <w:t xml:space="preserve"> </w:t>
      </w:r>
      <w:r>
        <w:rPr>
          <w:i/>
          <w:iCs/>
        </w:rPr>
        <w:t xml:space="preserve">Journal of Psychopathology and Behavioral Assessment</w:t>
      </w:r>
      <w:r>
        <w:t xml:space="preserve">,</w:t>
      </w:r>
      <w:r>
        <w:t xml:space="preserve"> </w:t>
      </w:r>
      <w:r>
        <w:rPr>
          <w:i/>
          <w:iCs/>
        </w:rPr>
        <w:t xml:space="preserve">40</w:t>
      </w:r>
      <w:r>
        <w:t xml:space="preserve">(2), 235–248.</w:t>
      </w:r>
      <w:r>
        <w:t xml:space="preserve"> </w:t>
      </w:r>
      <w:hyperlink r:id="rId242">
        <w:r>
          <w:rPr>
            <w:rStyle w:val="Hyperlink"/>
          </w:rPr>
          <w:t xml:space="preserve">https://doi.org/10.1007/s10862-017-9632-8</w:t>
        </w:r>
      </w:hyperlink>
    </w:p>
    <w:bookmarkEnd w:id="243"/>
    <w:bookmarkStart w:id="245" w:name="ref-dennisManagingAddictionChronic2007"/>
    <w:p>
      <w:pPr>
        <w:pStyle w:val="Bibliography"/>
      </w:pPr>
      <w:r>
        <w:t xml:space="preserve">Dennis, M., &amp; Scott, C. K. (2007).</w:t>
      </w:r>
      <w:r>
        <w:t xml:space="preserve"> </w:t>
      </w:r>
      <w:hyperlink r:id="rId244">
        <w:r>
          <w:rPr>
            <w:rStyle w:val="Hyperlink"/>
          </w:rPr>
          <w:t xml:space="preserve">Managing</w:t>
        </w:r>
        <w:r>
          <w:rPr>
            <w:rStyle w:val="Hyperlink"/>
          </w:rPr>
          <w:t xml:space="preserve"> </w:t>
        </w:r>
        <w:r>
          <w:rPr>
            <w:rStyle w:val="Hyperlink"/>
          </w:rPr>
          <w:t xml:space="preserve">Addiction</w:t>
        </w:r>
        <w:r>
          <w:rPr>
            <w:rStyle w:val="Hyperlink"/>
          </w:rPr>
          <w:t xml:space="preserve"> </w:t>
        </w:r>
        <w:r>
          <w:rPr>
            <w:rStyle w:val="Hyperlink"/>
          </w:rPr>
          <w:t xml:space="preserve">as a</w:t>
        </w:r>
        <w:r>
          <w:rPr>
            <w:rStyle w:val="Hyperlink"/>
          </w:rPr>
          <w:t xml:space="preserve"> </w:t>
        </w:r>
        <w:r>
          <w:rPr>
            <w:rStyle w:val="Hyperlink"/>
          </w:rPr>
          <w:t xml:space="preserve">Chronic Condition</w:t>
        </w:r>
      </w:hyperlink>
      <w:r>
        <w:t xml:space="preserve">.</w:t>
      </w:r>
      <w:r>
        <w:t xml:space="preserve"> </w:t>
      </w:r>
      <w:r>
        <w:rPr>
          <w:i/>
          <w:iCs/>
        </w:rPr>
        <w:t xml:space="preserve">Addiction Science &amp; Clinical Practice</w:t>
      </w:r>
      <w:r>
        <w:t xml:space="preserve">,</w:t>
      </w:r>
      <w:r>
        <w:t xml:space="preserve"> </w:t>
      </w:r>
      <w:r>
        <w:rPr>
          <w:i/>
          <w:iCs/>
        </w:rPr>
        <w:t xml:space="preserve">4</w:t>
      </w:r>
      <w:r>
        <w:t xml:space="preserve">(1), 45–55.</w:t>
      </w:r>
    </w:p>
    <w:bookmarkEnd w:id="245"/>
    <w:bookmarkStart w:id="246" w:name="ref-derogatislBriefSymptomInventory"/>
    <w:p>
      <w:pPr>
        <w:pStyle w:val="Bibliography"/>
      </w:pPr>
      <w:r>
        <w:t xml:space="preserve">Derogatis, L.R. (2000).</w:t>
      </w:r>
      <w:r>
        <w:t xml:space="preserve"> </w:t>
      </w:r>
      <w:r>
        <w:rPr>
          <w:i/>
          <w:iCs/>
        </w:rPr>
        <w:t xml:space="preserve">Brief</w:t>
      </w:r>
      <w:r>
        <w:rPr>
          <w:i/>
          <w:iCs/>
        </w:rPr>
        <w:t xml:space="preserve"> </w:t>
      </w:r>
      <w:r>
        <w:rPr>
          <w:i/>
          <w:iCs/>
        </w:rPr>
        <w:t xml:space="preserve">Symptom Inventory</w:t>
      </w:r>
      <w:r>
        <w:rPr>
          <w:i/>
          <w:iCs/>
        </w:rPr>
        <w:t xml:space="preserve"> </w:t>
      </w:r>
      <w:r>
        <w:rPr>
          <w:i/>
          <w:iCs/>
        </w:rPr>
        <w:t xml:space="preserve">18 -</w:t>
      </w:r>
      <w:r>
        <w:rPr>
          <w:i/>
          <w:iCs/>
        </w:rPr>
        <w:t xml:space="preserve"> </w:t>
      </w:r>
      <w:r>
        <w:rPr>
          <w:i/>
          <w:iCs/>
        </w:rPr>
        <w:t xml:space="preserve">Administration</w:t>
      </w:r>
      <w:r>
        <w:rPr>
          <w:i/>
          <w:iCs/>
        </w:rPr>
        <w:t xml:space="preserve">, scoring, and procedures manual</w:t>
      </w:r>
      <w:r>
        <w:t xml:space="preserve">. NCS Pearson.</w:t>
      </w:r>
    </w:p>
    <w:bookmarkEnd w:id="246"/>
    <w:bookmarkStart w:id="248" w:name="ref-derubeisHistoryCurrentStatus2019"/>
    <w:p>
      <w:pPr>
        <w:pStyle w:val="Bibliography"/>
      </w:pPr>
      <w:r>
        <w:t xml:space="preserve">DeRubeis, R. J. (2019). The history, current status, and possible future of precision mental health.</w:t>
      </w:r>
      <w:r>
        <w:t xml:space="preserve"> </w:t>
      </w:r>
      <w:r>
        <w:rPr>
          <w:i/>
          <w:iCs/>
        </w:rPr>
        <w:t xml:space="preserve">Behaviour Research and Therapy</w:t>
      </w:r>
      <w:r>
        <w:t xml:space="preserve">,</w:t>
      </w:r>
      <w:r>
        <w:t xml:space="preserve"> </w:t>
      </w:r>
      <w:r>
        <w:rPr>
          <w:i/>
          <w:iCs/>
        </w:rPr>
        <w:t xml:space="preserve">123</w:t>
      </w:r>
      <w:r>
        <w:t xml:space="preserve">, 103506.</w:t>
      </w:r>
      <w:r>
        <w:t xml:space="preserve"> </w:t>
      </w:r>
      <w:hyperlink r:id="rId247">
        <w:r>
          <w:rPr>
            <w:rStyle w:val="Hyperlink"/>
          </w:rPr>
          <w:t xml:space="preserve">https://doi.org/10.1016/j.brat.2019.103506</w:t>
        </w:r>
      </w:hyperlink>
    </w:p>
    <w:bookmarkEnd w:id="248"/>
    <w:bookmarkStart w:id="250" w:name="ref-devlinBERTPretrainingDeep2019"/>
    <w:p>
      <w:pPr>
        <w:pStyle w:val="Bibliography"/>
      </w:pPr>
      <w:r>
        <w:t xml:space="preserve">Devlin, J., Chang, M.-W., Lee, K., &amp; Toutanova, K. (2019).</w:t>
      </w:r>
      <w:r>
        <w:t xml:space="preserve"> </w:t>
      </w:r>
      <w:r>
        <w:rPr>
          <w:i/>
          <w:iCs/>
        </w:rPr>
        <w:t xml:space="preserve">BERT</w:t>
      </w:r>
      <w:r>
        <w:rPr>
          <w:i/>
          <w:iCs/>
        </w:rPr>
        <w:t xml:space="preserve">:</w:t>
      </w:r>
      <w:r>
        <w:rPr>
          <w:i/>
          <w:iCs/>
        </w:rPr>
        <w:t xml:space="preserve"> </w:t>
      </w:r>
      <w:r>
        <w:rPr>
          <w:i/>
          <w:iCs/>
        </w:rPr>
        <w:t xml:space="preserve">Pre-training</w:t>
      </w:r>
      <w:r>
        <w:rPr>
          <w:i/>
          <w:iCs/>
        </w:rPr>
        <w:t xml:space="preserve"> </w:t>
      </w:r>
      <w:r>
        <w:rPr>
          <w:i/>
          <w:iCs/>
        </w:rPr>
        <w:t xml:space="preserve">of</w:t>
      </w:r>
      <w:r>
        <w:rPr>
          <w:i/>
          <w:iCs/>
        </w:rPr>
        <w:t xml:space="preserve"> </w:t>
      </w:r>
      <w:r>
        <w:rPr>
          <w:i/>
          <w:iCs/>
        </w:rPr>
        <w:t xml:space="preserve">Deep Bidirectional Transformers</w:t>
      </w:r>
      <w:r>
        <w:rPr>
          <w:i/>
          <w:iCs/>
        </w:rPr>
        <w:t xml:space="preserve"> </w:t>
      </w:r>
      <w:r>
        <w:rPr>
          <w:i/>
          <w:iCs/>
        </w:rPr>
        <w:t xml:space="preserve">for</w:t>
      </w:r>
      <w:r>
        <w:rPr>
          <w:i/>
          <w:iCs/>
        </w:rPr>
        <w:t xml:space="preserve"> </w:t>
      </w:r>
      <w:r>
        <w:rPr>
          <w:i/>
          <w:iCs/>
        </w:rPr>
        <w:t xml:space="preserve">Language Understanding</w:t>
      </w:r>
      <w:r>
        <w:t xml:space="preserve"> </w:t>
      </w:r>
      <w:r>
        <w:t xml:space="preserve">(arXiv:1810.04805). arXiv.</w:t>
      </w:r>
      <w:r>
        <w:t xml:space="preserve"> </w:t>
      </w:r>
      <w:hyperlink r:id="rId249">
        <w:r>
          <w:rPr>
            <w:rStyle w:val="Hyperlink"/>
          </w:rPr>
          <w:t xml:space="preserve">https://doi.org/10.48550/arXiv.1810.04805</w:t>
        </w:r>
      </w:hyperlink>
    </w:p>
    <w:bookmarkEnd w:id="250"/>
    <w:bookmarkStart w:id="252" w:name="X36def7da608f82ff20c3a5db5ab3df1c6dd7645"/>
    <w:p>
      <w:pPr>
        <w:pStyle w:val="Bibliography"/>
      </w:pPr>
      <w:r>
        <w:t xml:space="preserve">Dulin, P. L., &amp; Gonzalez, V. M. (2017). Smartphone-based, momentary intervention for alcohol cravings amongst individuals with an alcohol use disorder.</w:t>
      </w:r>
      <w:r>
        <w:t xml:space="preserve"> </w:t>
      </w:r>
      <w:r>
        <w:rPr>
          <w:i/>
          <w:iCs/>
        </w:rPr>
        <w:t xml:space="preserve">Psychology of Addictive Behaviors: Journal of the Society of Psychologists in Addictive Behaviors</w:t>
      </w:r>
      <w:r>
        <w:t xml:space="preserve">,</w:t>
      </w:r>
      <w:r>
        <w:t xml:space="preserve"> </w:t>
      </w:r>
      <w:r>
        <w:rPr>
          <w:i/>
          <w:iCs/>
        </w:rPr>
        <w:t xml:space="preserve">31</w:t>
      </w:r>
      <w:r>
        <w:t xml:space="preserve">(5), 601–607.</w:t>
      </w:r>
      <w:r>
        <w:t xml:space="preserve"> </w:t>
      </w:r>
      <w:hyperlink r:id="rId251">
        <w:r>
          <w:rPr>
            <w:rStyle w:val="Hyperlink"/>
          </w:rPr>
          <w:t xml:space="preserve">https://doi.org/10.1037/adb0000292</w:t>
        </w:r>
      </w:hyperlink>
    </w:p>
    <w:bookmarkEnd w:id="252"/>
    <w:bookmarkStart w:id="254" w:name="ref-dumortierClassifyingSmokingUrges2016"/>
    <w:p>
      <w:pPr>
        <w:pStyle w:val="Bibliography"/>
      </w:pPr>
      <w:r>
        <w:t xml:space="preserve">Dumortier, A., Beckjord, E., Shiffman, S., &amp; Sejdić, E. (2016). Classifying smoking urges via machine learning.</w:t>
      </w:r>
      <w:r>
        <w:t xml:space="preserve"> </w:t>
      </w:r>
      <w:r>
        <w:rPr>
          <w:i/>
          <w:iCs/>
        </w:rPr>
        <w:t xml:space="preserve">Computer Methods and Programs in Biomedicine</w:t>
      </w:r>
      <w:r>
        <w:t xml:space="preserve">,</w:t>
      </w:r>
      <w:r>
        <w:t xml:space="preserve"> </w:t>
      </w:r>
      <w:r>
        <w:rPr>
          <w:i/>
          <w:iCs/>
        </w:rPr>
        <w:t xml:space="preserve">137</w:t>
      </w:r>
      <w:r>
        <w:t xml:space="preserve">, 203–213.</w:t>
      </w:r>
      <w:r>
        <w:t xml:space="preserve"> </w:t>
      </w:r>
      <w:hyperlink r:id="rId253">
        <w:r>
          <w:rPr>
            <w:rStyle w:val="Hyperlink"/>
          </w:rPr>
          <w:t xml:space="preserve">https://doi.org/10.1016/j.cmpb.2016.09.016</w:t>
        </w:r>
      </w:hyperlink>
    </w:p>
    <w:bookmarkEnd w:id="254"/>
    <w:bookmarkStart w:id="256" w:name="Xa22060a3e519cdcc534dbbf0f37e422a730c9f3"/>
    <w:p>
      <w:pPr>
        <w:pStyle w:val="Bibliography"/>
      </w:pPr>
      <w:r>
        <w:t xml:space="preserve">Dvorak, R. D., Pearson, M. R., &amp; Day, A. M. (2014). Ecological</w:t>
      </w:r>
      <w:r>
        <w:t xml:space="preserve"> </w:t>
      </w:r>
      <w:r>
        <w:t xml:space="preserve">Momentary Assessment</w:t>
      </w:r>
      <w:r>
        <w:t xml:space="preserve"> </w:t>
      </w:r>
      <w:r>
        <w:t xml:space="preserve">of</w:t>
      </w:r>
      <w:r>
        <w:t xml:space="preserve"> </w:t>
      </w:r>
      <w:r>
        <w:t xml:space="preserve">Acute Alcohol Use Disorder Symptoms</w:t>
      </w:r>
      <w:r>
        <w:t xml:space="preserve">:</w:t>
      </w:r>
      <w:r>
        <w:t xml:space="preserve"> </w:t>
      </w:r>
      <w:r>
        <w:t xml:space="preserve">Associations With Mood</w:t>
      </w:r>
      <w:r>
        <w:t xml:space="preserve">,</w:t>
      </w:r>
      <w:r>
        <w:t xml:space="preserve"> </w:t>
      </w:r>
      <w:r>
        <w:t xml:space="preserve">Motives</w:t>
      </w:r>
      <w:r>
        <w:t xml:space="preserve">, and</w:t>
      </w:r>
      <w:r>
        <w:t xml:space="preserve"> </w:t>
      </w:r>
      <w:r>
        <w:t xml:space="preserve">Use</w:t>
      </w:r>
      <w:r>
        <w:t xml:space="preserve"> </w:t>
      </w:r>
      <w:r>
        <w:t xml:space="preserve">on</w:t>
      </w:r>
      <w:r>
        <w:t xml:space="preserve"> </w:t>
      </w:r>
      <w:r>
        <w:t xml:space="preserve">Planned Drinking Days</w:t>
      </w:r>
      <w:r>
        <w:t xml:space="preserve">.</w:t>
      </w:r>
      <w:r>
        <w:t xml:space="preserve"> </w:t>
      </w:r>
      <w:r>
        <w:rPr>
          <w:i/>
          <w:iCs/>
        </w:rPr>
        <w:t xml:space="preserve">Experimental and Clinical Psychopharmacology</w:t>
      </w:r>
      <w:r>
        <w:t xml:space="preserve">,</w:t>
      </w:r>
      <w:r>
        <w:t xml:space="preserve"> </w:t>
      </w:r>
      <w:r>
        <w:rPr>
          <w:i/>
          <w:iCs/>
        </w:rPr>
        <w:t xml:space="preserve">22</w:t>
      </w:r>
      <w:r>
        <w:t xml:space="preserve">(4), 285–297.</w:t>
      </w:r>
      <w:r>
        <w:t xml:space="preserve"> </w:t>
      </w:r>
      <w:hyperlink r:id="rId255">
        <w:r>
          <w:rPr>
            <w:rStyle w:val="Hyperlink"/>
          </w:rPr>
          <w:t xml:space="preserve">https://doi.org/10.1037/a0037157</w:t>
        </w:r>
      </w:hyperlink>
    </w:p>
    <w:bookmarkEnd w:id="256"/>
    <w:bookmarkStart w:id="258" w:name="ref-dvorakTensionReductionAffect2018"/>
    <w:p>
      <w:pPr>
        <w:pStyle w:val="Bibliography"/>
      </w:pPr>
      <w:r>
        <w:t xml:space="preserve">Dvorak, R. D., Stevenson, B. L., Kilwein, T. M., Sargent, E. M., Dunn, M. E., Leary, A. V., &amp; Kramer, M. P. (2018). Tension reduction and affect regulation:</w:t>
      </w:r>
      <w:r>
        <w:t xml:space="preserve"> </w:t>
      </w:r>
      <w:r>
        <w:t xml:space="preserve">An</w:t>
      </w:r>
      <w:r>
        <w:t xml:space="preserve"> </w:t>
      </w:r>
      <w:r>
        <w:t xml:space="preserve">examination of mood indices on drinking and non-drinking days among university student drinkers.</w:t>
      </w:r>
      <w:r>
        <w:t xml:space="preserve"> </w:t>
      </w:r>
      <w:r>
        <w:rPr>
          <w:i/>
          <w:iCs/>
        </w:rPr>
        <w:t xml:space="preserve">Experimental and Clinical Psychopharmacology</w:t>
      </w:r>
      <w:r>
        <w:t xml:space="preserve">,</w:t>
      </w:r>
      <w:r>
        <w:t xml:space="preserve"> </w:t>
      </w:r>
      <w:r>
        <w:rPr>
          <w:i/>
          <w:iCs/>
        </w:rPr>
        <w:t xml:space="preserve">26</w:t>
      </w:r>
      <w:r>
        <w:t xml:space="preserve">(4), 377–390.</w:t>
      </w:r>
      <w:r>
        <w:t xml:space="preserve"> </w:t>
      </w:r>
      <w:hyperlink r:id="rId257">
        <w:r>
          <w:rPr>
            <w:rStyle w:val="Hyperlink"/>
          </w:rPr>
          <w:t xml:space="preserve">https://doi.org/10.1037/pha0000210</w:t>
        </w:r>
      </w:hyperlink>
    </w:p>
    <w:bookmarkEnd w:id="258"/>
    <w:bookmarkStart w:id="260" w:name="ref-dyarSexualMinorityStress2023"/>
    <w:p>
      <w:pPr>
        <w:pStyle w:val="Bibliography"/>
      </w:pPr>
      <w:r>
        <w:t xml:space="preserve">Dyar, C., Lee, C. M., Rhew, I. C., &amp; Kaysen, D. (2023). Sexual minority stress and substance use:</w:t>
      </w:r>
      <w:r>
        <w:t xml:space="preserve"> </w:t>
      </w:r>
      <w:r>
        <w:t xml:space="preserve">An</w:t>
      </w:r>
      <w:r>
        <w:t xml:space="preserve"> </w:t>
      </w:r>
      <w:r>
        <w:t xml:space="preserve">investigation of when and under what circumstances minority stress predicts alcohol and cannabis use at the event-level.</w:t>
      </w:r>
      <w:r>
        <w:t xml:space="preserve"> </w:t>
      </w:r>
      <w:r>
        <w:rPr>
          <w:i/>
          <w:iCs/>
        </w:rPr>
        <w:t xml:space="preserve">Journal of Psychopathology and Clinical Science</w:t>
      </w:r>
      <w:r>
        <w:t xml:space="preserve">,</w:t>
      </w:r>
      <w:r>
        <w:t xml:space="preserve"> </w:t>
      </w:r>
      <w:r>
        <w:rPr>
          <w:i/>
          <w:iCs/>
        </w:rPr>
        <w:t xml:space="preserve">132</w:t>
      </w:r>
      <w:r>
        <w:t xml:space="preserve">(4), 475–489.</w:t>
      </w:r>
      <w:r>
        <w:t xml:space="preserve"> </w:t>
      </w:r>
      <w:hyperlink r:id="rId259">
        <w:r>
          <w:rPr>
            <w:rStyle w:val="Hyperlink"/>
          </w:rPr>
          <w:t xml:space="preserve">https://doi.org/10.1037/abn0000819</w:t>
        </w:r>
      </w:hyperlink>
    </w:p>
    <w:bookmarkEnd w:id="260"/>
    <w:bookmarkStart w:id="261" w:name="X5df69cab398edda98b0028d1d2ef3313da2d6d1"/>
    <w:p>
      <w:pPr>
        <w:pStyle w:val="Bibliography"/>
      </w:pPr>
      <w:r>
        <w:t xml:space="preserve">Economic Research Service US Department of Agriculture. (n.d.).</w:t>
      </w:r>
      <w:r>
        <w:t xml:space="preserve"> </w:t>
      </w:r>
      <w:r>
        <w:rPr>
          <w:i/>
          <w:iCs/>
        </w:rPr>
        <w:t xml:space="preserve">Rural-</w:t>
      </w:r>
      <w:r>
        <w:rPr>
          <w:i/>
          <w:iCs/>
        </w:rPr>
        <w:t xml:space="preserve">Urban Commuting Area Codes</w:t>
      </w:r>
      <w:r>
        <w:rPr>
          <w:i/>
          <w:iCs/>
        </w:rPr>
        <w:t xml:space="preserve"> </w:t>
      </w:r>
      <w:r>
        <w:rPr>
          <w:i/>
          <w:iCs/>
        </w:rPr>
        <w:t xml:space="preserve">-</w:t>
      </w:r>
      <w:r>
        <w:rPr>
          <w:i/>
          <w:iCs/>
        </w:rPr>
        <w:t xml:space="preserve"> </w:t>
      </w:r>
      <w:r>
        <w:rPr>
          <w:i/>
          <w:iCs/>
        </w:rPr>
        <w:t xml:space="preserve">Users</w:t>
      </w:r>
      <w:r>
        <w:rPr>
          <w:i/>
          <w:iCs/>
        </w:rPr>
        <w:t xml:space="preserve">’</w:t>
      </w:r>
      <w:r>
        <w:rPr>
          <w:i/>
          <w:iCs/>
        </w:rPr>
        <w:t xml:space="preserve"> </w:t>
      </w:r>
      <w:r>
        <w:rPr>
          <w:i/>
          <w:iCs/>
        </w:rPr>
        <w:t xml:space="preserve">Guide</w:t>
      </w:r>
      <w:r>
        <w:t xml:space="preserve">. https://www.ers.usda.gov/data-products/rural-urban-commuting-area-codes/users-guide.</w:t>
      </w:r>
    </w:p>
    <w:bookmarkEnd w:id="261"/>
    <w:bookmarkStart w:id="263" w:name="ref-epsteinPredictionStressDrug2020"/>
    <w:p>
      <w:pPr>
        <w:pStyle w:val="Bibliography"/>
      </w:pPr>
      <w:r>
        <w:t xml:space="preserve">Epstein, D. H., Tyburski, M., Kowalczyk, W. J., Burgess-Hull, A. J., Phillips, K. A., Curtis, B. L., &amp; Preston, K. L. (2020). Prediction of stress and drug craving ninety minutes in the future with passively collected</w:t>
      </w:r>
      <w:r>
        <w:t xml:space="preserve"> </w:t>
      </w:r>
      <w:r>
        <w:t xml:space="preserve">GPS</w:t>
      </w:r>
      <w:r>
        <w:t xml:space="preserve"> </w:t>
      </w:r>
      <w:r>
        <w:t xml:space="preserve">data.</w:t>
      </w:r>
      <w:r>
        <w:t xml:space="preserve"> </w:t>
      </w:r>
      <w:r>
        <w:rPr>
          <w:i/>
          <w:iCs/>
        </w:rPr>
        <w:t xml:space="preserve">Npj Digital Medicine</w:t>
      </w:r>
      <w:r>
        <w:t xml:space="preserve">,</w:t>
      </w:r>
      <w:r>
        <w:t xml:space="preserve"> </w:t>
      </w:r>
      <w:r>
        <w:rPr>
          <w:i/>
          <w:iCs/>
        </w:rPr>
        <w:t xml:space="preserve">3</w:t>
      </w:r>
      <w:r>
        <w:t xml:space="preserve">(1), 26.</w:t>
      </w:r>
      <w:r>
        <w:t xml:space="preserve"> </w:t>
      </w:r>
      <w:hyperlink r:id="rId262">
        <w:r>
          <w:rPr>
            <w:rStyle w:val="Hyperlink"/>
          </w:rPr>
          <w:t xml:space="preserve">https://doi.org/10/ghqvcw</w:t>
        </w:r>
      </w:hyperlink>
    </w:p>
    <w:bookmarkEnd w:id="263"/>
    <w:bookmarkStart w:id="265" w:name="ref-fagerlinMakingNumbersMatter2007"/>
    <w:p>
      <w:pPr>
        <w:pStyle w:val="Bibliography"/>
      </w:pPr>
      <w:r>
        <w:t xml:space="preserve">Fagerlin, A., Ubel, P. A., Smith, D. M., &amp; Zikmund-Fisher, B. J. (2007). Making numbers matter: Present and future research in risk communication.</w:t>
      </w:r>
      <w:r>
        <w:t xml:space="preserve"> </w:t>
      </w:r>
      <w:r>
        <w:rPr>
          <w:i/>
          <w:iCs/>
        </w:rPr>
        <w:t xml:space="preserve">American Journal of Health Behavior</w:t>
      </w:r>
      <w:r>
        <w:t xml:space="preserve">,</w:t>
      </w:r>
      <w:r>
        <w:t xml:space="preserve"> </w:t>
      </w:r>
      <w:r>
        <w:rPr>
          <w:i/>
          <w:iCs/>
        </w:rPr>
        <w:t xml:space="preserve">31 Suppl 1</w:t>
      </w:r>
      <w:r>
        <w:t xml:space="preserve">, S47–56.</w:t>
      </w:r>
      <w:r>
        <w:t xml:space="preserve"> </w:t>
      </w:r>
      <w:hyperlink r:id="rId264">
        <w:r>
          <w:rPr>
            <w:rStyle w:val="Hyperlink"/>
          </w:rPr>
          <w:t xml:space="preserve">https://doi.org/10.5555/ajhb.2007.31.supp.S47</w:t>
        </w:r>
      </w:hyperlink>
    </w:p>
    <w:bookmarkEnd w:id="265"/>
    <w:bookmarkStart w:id="267" w:name="ref-fisherDynamicModelPsychological2015"/>
    <w:p>
      <w:pPr>
        <w:pStyle w:val="Bibliography"/>
      </w:pPr>
      <w:r>
        <w:t xml:space="preserve">Fisher, A. J. (2015). Toward a dynamic model of psychological assessment:</w:t>
      </w:r>
      <w:r>
        <w:t xml:space="preserve"> </w:t>
      </w:r>
      <w:r>
        <w:t xml:space="preserve">Implications</w:t>
      </w:r>
      <w:r>
        <w:t xml:space="preserve"> </w:t>
      </w:r>
      <w:r>
        <w:t xml:space="preserve">for personalized care.</w:t>
      </w:r>
      <w:r>
        <w:t xml:space="preserve"> </w:t>
      </w:r>
      <w:r>
        <w:rPr>
          <w:i/>
          <w:iCs/>
        </w:rPr>
        <w:t xml:space="preserve">Journal of Consulting and Clinical Psychology</w:t>
      </w:r>
      <w:r>
        <w:t xml:space="preserve">,</w:t>
      </w:r>
      <w:r>
        <w:t xml:space="preserve"> </w:t>
      </w:r>
      <w:r>
        <w:rPr>
          <w:i/>
          <w:iCs/>
        </w:rPr>
        <w:t xml:space="preserve">83</w:t>
      </w:r>
      <w:r>
        <w:t xml:space="preserve">(4), 825–836.</w:t>
      </w:r>
      <w:r>
        <w:t xml:space="preserve"> </w:t>
      </w:r>
      <w:hyperlink r:id="rId266">
        <w:r>
          <w:rPr>
            <w:rStyle w:val="Hyperlink"/>
          </w:rPr>
          <w:t xml:space="preserve">https://doi.org/10.1037/ccp0000026</w:t>
        </w:r>
      </w:hyperlink>
    </w:p>
    <w:bookmarkEnd w:id="267"/>
    <w:bookmarkStart w:id="269" w:name="ref-fisherOpenTrialPersonalized2019"/>
    <w:p>
      <w:pPr>
        <w:pStyle w:val="Bibliography"/>
      </w:pPr>
      <w:r>
        <w:t xml:space="preserve">Fisher, A. J., Bosley, H. G., Fernandez, K. C., Reeves, J. W., Soyster, P. D., Diamond, A. E., &amp; Barkin, J. (2019). Open trial of a personalized modular treatment for mood and anxiety.</w:t>
      </w:r>
      <w:r>
        <w:t xml:space="preserve"> </w:t>
      </w:r>
      <w:r>
        <w:rPr>
          <w:i/>
          <w:iCs/>
        </w:rPr>
        <w:t xml:space="preserve">Behaviour Research and Therapy</w:t>
      </w:r>
      <w:r>
        <w:t xml:space="preserve">,</w:t>
      </w:r>
      <w:r>
        <w:t xml:space="preserve"> </w:t>
      </w:r>
      <w:r>
        <w:rPr>
          <w:i/>
          <w:iCs/>
        </w:rPr>
        <w:t xml:space="preserve">116</w:t>
      </w:r>
      <w:r>
        <w:t xml:space="preserve">, 69–79.</w:t>
      </w:r>
      <w:r>
        <w:t xml:space="preserve"> </w:t>
      </w:r>
      <w:hyperlink r:id="rId268">
        <w:r>
          <w:rPr>
            <w:rStyle w:val="Hyperlink"/>
          </w:rPr>
          <w:t xml:space="preserve">https://doi.org/10.1016/j.brat.2019.01.010</w:t>
        </w:r>
      </w:hyperlink>
    </w:p>
    <w:bookmarkEnd w:id="269"/>
    <w:bookmarkStart w:id="271" w:name="ref-florenceEconomicBurdenOpioid2021"/>
    <w:p>
      <w:pPr>
        <w:pStyle w:val="Bibliography"/>
      </w:pPr>
      <w:r>
        <w:t xml:space="preserve">Florence, C., Luo, F., &amp; Rice, K. (2021). The economic burden of opioid use disorder and fatal opioid overdose in the</w:t>
      </w:r>
      <w:r>
        <w:t xml:space="preserve"> </w:t>
      </w:r>
      <w:r>
        <w:t xml:space="preserve">United States</w:t>
      </w:r>
      <w:r>
        <w:t xml:space="preserve">, 2017.</w:t>
      </w:r>
      <w:r>
        <w:t xml:space="preserve"> </w:t>
      </w:r>
      <w:r>
        <w:rPr>
          <w:i/>
          <w:iCs/>
        </w:rPr>
        <w:t xml:space="preserve">Drug and Alcohol Dependence</w:t>
      </w:r>
      <w:r>
        <w:t xml:space="preserve">,</w:t>
      </w:r>
      <w:r>
        <w:t xml:space="preserve"> </w:t>
      </w:r>
      <w:r>
        <w:rPr>
          <w:i/>
          <w:iCs/>
        </w:rPr>
        <w:t xml:space="preserve">218</w:t>
      </w:r>
      <w:r>
        <w:t xml:space="preserve">, 108350.</w:t>
      </w:r>
      <w:r>
        <w:t xml:space="preserve"> </w:t>
      </w:r>
      <w:hyperlink r:id="rId270">
        <w:r>
          <w:rPr>
            <w:rStyle w:val="Hyperlink"/>
          </w:rPr>
          <w:t xml:space="preserve">https://doi.org/10.1016/j.drugalcdep.2020.108350</w:t>
        </w:r>
      </w:hyperlink>
    </w:p>
    <w:bookmarkEnd w:id="271"/>
    <w:bookmarkStart w:id="273" w:name="ref-freitagVariationsSubstanceUse2021"/>
    <w:p>
      <w:pPr>
        <w:pStyle w:val="Bibliography"/>
      </w:pPr>
      <w:r>
        <w:t xml:space="preserve">Freitag, T. M., Chen-Sankey, J. C., Duarte, D. A., Ramsey, M. W., &amp; Choi, K. (2021). Variations in</w:t>
      </w:r>
      <w:r>
        <w:t xml:space="preserve"> </w:t>
      </w:r>
      <w:r>
        <w:t xml:space="preserve">Substance Use</w:t>
      </w:r>
      <w:r>
        <w:t xml:space="preserve"> </w:t>
      </w:r>
      <w:r>
        <w:t xml:space="preserve">and</w:t>
      </w:r>
      <w:r>
        <w:t xml:space="preserve"> </w:t>
      </w:r>
      <w:r>
        <w:t xml:space="preserve">Disorders Among Sexual Minorities</w:t>
      </w:r>
      <w:r>
        <w:t xml:space="preserve"> </w:t>
      </w:r>
      <w:r>
        <w:t xml:space="preserve">by</w:t>
      </w:r>
      <w:r>
        <w:t xml:space="preserve"> </w:t>
      </w:r>
      <w:r>
        <w:t xml:space="preserve">Race</w:t>
      </w:r>
      <w:r>
        <w:t xml:space="preserve">/</w:t>
      </w:r>
      <w:r>
        <w:t xml:space="preserve">Ethnicity</w:t>
      </w:r>
      <w:r>
        <w:t xml:space="preserve">.</w:t>
      </w:r>
      <w:r>
        <w:t xml:space="preserve"> </w:t>
      </w:r>
      <w:r>
        <w:rPr>
          <w:i/>
          <w:iCs/>
        </w:rPr>
        <w:t xml:space="preserve">Substance Use &amp; Misuse</w:t>
      </w:r>
      <w:r>
        <w:t xml:space="preserve">,</w:t>
      </w:r>
      <w:r>
        <w:t xml:space="preserve"> </w:t>
      </w:r>
      <w:r>
        <w:rPr>
          <w:i/>
          <w:iCs/>
        </w:rPr>
        <w:t xml:space="preserve">56</w:t>
      </w:r>
      <w:r>
        <w:t xml:space="preserve">(7), 921–928.</w:t>
      </w:r>
      <w:r>
        <w:t xml:space="preserve"> </w:t>
      </w:r>
      <w:hyperlink r:id="rId272">
        <w:r>
          <w:rPr>
            <w:rStyle w:val="Hyperlink"/>
          </w:rPr>
          <w:t xml:space="preserve">https://doi.org/10.1080/10826084.2021.1899225</w:t>
        </w:r>
      </w:hyperlink>
    </w:p>
    <w:bookmarkEnd w:id="273"/>
    <w:bookmarkStart w:id="275" w:name="ref-friedmanTrendsDrugOverdose2022"/>
    <w:p>
      <w:pPr>
        <w:pStyle w:val="Bibliography"/>
      </w:pPr>
      <w:r>
        <w:t xml:space="preserve">Friedman, J., Godvin, M., Shover, C. L., Gone, J. P., Hansen, H., &amp; Schriger, D. L. (2022). Trends in</w:t>
      </w:r>
      <w:r>
        <w:t xml:space="preserve"> </w:t>
      </w:r>
      <w:r>
        <w:t xml:space="preserve">Drug Overdose Deaths Among US Adolescents</w:t>
      </w:r>
      <w:r>
        <w:t xml:space="preserve">,</w:t>
      </w:r>
      <w:r>
        <w:t xml:space="preserve"> </w:t>
      </w:r>
      <w:r>
        <w:t xml:space="preserve">January</w:t>
      </w:r>
      <w:r>
        <w:t xml:space="preserve"> </w:t>
      </w:r>
      <w:r>
        <w:t xml:space="preserve">2010 to</w:t>
      </w:r>
      <w:r>
        <w:t xml:space="preserve"> </w:t>
      </w:r>
      <w:r>
        <w:t xml:space="preserve">June</w:t>
      </w:r>
      <w:r>
        <w:t xml:space="preserve"> </w:t>
      </w:r>
      <w:r>
        <w:t xml:space="preserve">2021.</w:t>
      </w:r>
      <w:r>
        <w:t xml:space="preserve"> </w:t>
      </w:r>
      <w:r>
        <w:rPr>
          <w:i/>
          <w:iCs/>
        </w:rPr>
        <w:t xml:space="preserve">JAMA</w:t>
      </w:r>
      <w:r>
        <w:t xml:space="preserve">,</w:t>
      </w:r>
      <w:r>
        <w:t xml:space="preserve"> </w:t>
      </w:r>
      <w:r>
        <w:rPr>
          <w:i/>
          <w:iCs/>
        </w:rPr>
        <w:t xml:space="preserve">327</w:t>
      </w:r>
      <w:r>
        <w:t xml:space="preserve">(14), 1398–1400.</w:t>
      </w:r>
      <w:r>
        <w:t xml:space="preserve"> </w:t>
      </w:r>
      <w:hyperlink r:id="rId274">
        <w:r>
          <w:rPr>
            <w:rStyle w:val="Hyperlink"/>
          </w:rPr>
          <w:t xml:space="preserve">https://doi.org/10.1001/jama.2022.2847</w:t>
        </w:r>
      </w:hyperlink>
    </w:p>
    <w:bookmarkEnd w:id="275"/>
    <w:bookmarkStart w:id="277" w:name="ref-fronkStressAllostasisSubstance2020"/>
    <w:p>
      <w:pPr>
        <w:pStyle w:val="Bibliography"/>
      </w:pPr>
      <w:r>
        <w:t xml:space="preserve">Fronk, G. E., Sant’Ana, S. J., Kaye, J. T., &amp; Curtin, J. J. (2020). Stress</w:t>
      </w:r>
      <w:r>
        <w:t xml:space="preserve"> </w:t>
      </w:r>
      <w:r>
        <w:t xml:space="preserve">Allostasis</w:t>
      </w:r>
      <w:r>
        <w:t xml:space="preserve"> </w:t>
      </w:r>
      <w:r>
        <w:t xml:space="preserve">in</w:t>
      </w:r>
      <w:r>
        <w:t xml:space="preserve"> </w:t>
      </w:r>
      <w:r>
        <w:t xml:space="preserve">Substance Use Disorders</w:t>
      </w:r>
      <w:r>
        <w:t xml:space="preserve">:</w:t>
      </w:r>
      <w:r>
        <w:t xml:space="preserve"> </w:t>
      </w:r>
      <w:r>
        <w:t xml:space="preserve">Promise</w:t>
      </w:r>
      <w:r>
        <w:t xml:space="preserve">,</w:t>
      </w:r>
      <w:r>
        <w:t xml:space="preserve"> </w:t>
      </w:r>
      <w:r>
        <w:t xml:space="preserve">Progress</w:t>
      </w:r>
      <w:r>
        <w:t xml:space="preserve">, and</w:t>
      </w:r>
      <w:r>
        <w:t xml:space="preserve"> </w:t>
      </w:r>
      <w:r>
        <w:t xml:space="preserve">Emerging Priorities</w:t>
      </w:r>
      <w:r>
        <w:t xml:space="preserve"> </w:t>
      </w:r>
      <w:r>
        <w:t xml:space="preserve">in</w:t>
      </w:r>
      <w:r>
        <w:t xml:space="preserve"> </w:t>
      </w:r>
      <w:r>
        <w:t xml:space="preserve">Clinical Research</w:t>
      </w:r>
      <w:r>
        <w:t xml:space="preserve">.</w:t>
      </w:r>
      <w:r>
        <w:t xml:space="preserve"> </w:t>
      </w:r>
      <w:r>
        <w:rPr>
          <w:i/>
          <w:iCs/>
        </w:rPr>
        <w:t xml:space="preserve">Annual Review of Clinical Psychology</w:t>
      </w:r>
      <w:r>
        <w:t xml:space="preserve">,</w:t>
      </w:r>
      <w:r>
        <w:t xml:space="preserve"> </w:t>
      </w:r>
      <w:r>
        <w:rPr>
          <w:i/>
          <w:iCs/>
        </w:rPr>
        <w:t xml:space="preserve">16</w:t>
      </w:r>
      <w:r>
        <w:t xml:space="preserve">(1), 401–430.</w:t>
      </w:r>
      <w:r>
        <w:t xml:space="preserve"> </w:t>
      </w:r>
      <w:hyperlink r:id="rId276">
        <w:r>
          <w:rPr>
            <w:rStyle w:val="Hyperlink"/>
          </w:rPr>
          <w:t xml:space="preserve">https://doi.org/10.1146/annurev-clinpsy-102419-125016</w:t>
        </w:r>
      </w:hyperlink>
    </w:p>
    <w:bookmarkEnd w:id="277"/>
    <w:bookmarkStart w:id="278" w:name="ref-gabryPriorDistributionsRstanarm2023"/>
    <w:p>
      <w:pPr>
        <w:pStyle w:val="Bibliography"/>
      </w:pPr>
      <w:r>
        <w:t xml:space="preserve">Gabry, J., &amp; Goodrich, B. (2023). Prior</w:t>
      </w:r>
      <w:r>
        <w:t xml:space="preserve"> </w:t>
      </w:r>
      <w:r>
        <w:t xml:space="preserve">Distributions</w:t>
      </w:r>
      <w:r>
        <w:t xml:space="preserve"> </w:t>
      </w:r>
      <w:r>
        <w:t xml:space="preserve">for rstanarm</w:t>
      </w:r>
      <w:r>
        <w:t xml:space="preserve"> </w:t>
      </w:r>
      <w:r>
        <w:t xml:space="preserve">Models</w:t>
      </w:r>
      <w:r>
        <w:t xml:space="preserve">. In</w:t>
      </w:r>
      <w:r>
        <w:t xml:space="preserve"> </w:t>
      </w:r>
      <w:r>
        <w:rPr>
          <w:i/>
          <w:iCs/>
        </w:rPr>
        <w:t xml:space="preserve">CRAN R-Project</w:t>
      </w:r>
      <w:r>
        <w:t xml:space="preserve">. https://cran.r-project.org/web/packages/rstanarm/vignettes/priors.html.</w:t>
      </w:r>
    </w:p>
    <w:bookmarkEnd w:id="278"/>
    <w:bookmarkStart w:id="279" w:name="ref-goodrichRstanarmBayesianApplied2023"/>
    <w:p>
      <w:pPr>
        <w:pStyle w:val="Bibliography"/>
      </w:pPr>
      <w:r>
        <w:t xml:space="preserve">Goodrich, B., Gabry, J., Ali, I., &amp; Brilleman, S. (2023).</w:t>
      </w:r>
      <w:r>
        <w:t xml:space="preserve"> </w:t>
      </w:r>
      <w:r>
        <w:rPr>
          <w:i/>
          <w:iCs/>
        </w:rPr>
        <w:t xml:space="preserve">Rstanarm:</w:t>
      </w:r>
      <w:r>
        <w:rPr>
          <w:i/>
          <w:iCs/>
        </w:rPr>
        <w:t xml:space="preserve"> </w:t>
      </w:r>
      <w:r>
        <w:rPr>
          <w:i/>
          <w:iCs/>
        </w:rPr>
        <w:t xml:space="preserve">Bayesian Applied Regression Modeling</w:t>
      </w:r>
      <w:r>
        <w:rPr>
          <w:i/>
          <w:iCs/>
        </w:rPr>
        <w:t xml:space="preserve"> </w:t>
      </w:r>
      <w:r>
        <w:rPr>
          <w:i/>
          <w:iCs/>
        </w:rPr>
        <w:t xml:space="preserve">via</w:t>
      </w:r>
      <w:r>
        <w:rPr>
          <w:i/>
          <w:iCs/>
        </w:rPr>
        <w:t xml:space="preserve"> </w:t>
      </w:r>
      <w:r>
        <w:rPr>
          <w:i/>
          <w:iCs/>
        </w:rPr>
        <w:t xml:space="preserve">Stan</w:t>
      </w:r>
      <w:r>
        <w:t xml:space="preserve">.</w:t>
      </w:r>
    </w:p>
    <w:bookmarkEnd w:id="279"/>
    <w:bookmarkStart w:id="281" w:name="ref-grantEpidemiologyDSM5Alcohol2015b"/>
    <w:p>
      <w:pPr>
        <w:pStyle w:val="Bibliography"/>
      </w:pPr>
      <w:r>
        <w:t xml:space="preserve">Grant, B. F., Goldstein, R. B., Saha, T. D., Chou, S. P., Jung, J., Zhang, H., Pickering, R. P., Ruan, W. J., Smith, S. M., Huang, B., &amp; Hasin, D. S. (2015). Epidemiology of</w:t>
      </w:r>
      <w:r>
        <w:t xml:space="preserve"> </w:t>
      </w:r>
      <w:r>
        <w:t xml:space="preserve">DSM-5 Alcohol Use Disorder</w:t>
      </w:r>
      <w:r>
        <w:t xml:space="preserve">:</w:t>
      </w:r>
      <w:r>
        <w:t xml:space="preserve"> </w:t>
      </w:r>
      <w:r>
        <w:t xml:space="preserve">Results From</w:t>
      </w:r>
      <w:r>
        <w:t xml:space="preserve"> </w:t>
      </w:r>
      <w:r>
        <w:t xml:space="preserve">the</w:t>
      </w:r>
      <w:r>
        <w:t xml:space="preserve"> </w:t>
      </w:r>
      <w:r>
        <w:t xml:space="preserve">National Epidemiologic Survey</w:t>
      </w:r>
      <w:r>
        <w:t xml:space="preserve"> </w:t>
      </w:r>
      <w:r>
        <w:t xml:space="preserve">on</w:t>
      </w:r>
      <w:r>
        <w:t xml:space="preserve"> </w:t>
      </w:r>
      <w:r>
        <w:t xml:space="preserve">Alcohol</w:t>
      </w:r>
      <w:r>
        <w:t xml:space="preserve"> </w:t>
      </w:r>
      <w:r>
        <w:t xml:space="preserve">and</w:t>
      </w:r>
      <w:r>
        <w:t xml:space="preserve"> </w:t>
      </w:r>
      <w:r>
        <w:t xml:space="preserve">Related Conditions III</w:t>
      </w:r>
      <w:r>
        <w:t xml:space="preserve">.</w:t>
      </w:r>
      <w:r>
        <w:t xml:space="preserve"> </w:t>
      </w:r>
      <w:r>
        <w:rPr>
          <w:i/>
          <w:iCs/>
        </w:rPr>
        <w:t xml:space="preserve">JAMA Psychiatry</w:t>
      </w:r>
      <w:r>
        <w:t xml:space="preserve">,</w:t>
      </w:r>
      <w:r>
        <w:t xml:space="preserve"> </w:t>
      </w:r>
      <w:r>
        <w:rPr>
          <w:i/>
          <w:iCs/>
        </w:rPr>
        <w:t xml:space="preserve">72</w:t>
      </w:r>
      <w:r>
        <w:t xml:space="preserve">(8), 757–766.</w:t>
      </w:r>
      <w:r>
        <w:t xml:space="preserve"> </w:t>
      </w:r>
      <w:hyperlink r:id="rId280">
        <w:r>
          <w:rPr>
            <w:rStyle w:val="Hyperlink"/>
          </w:rPr>
          <w:t xml:space="preserve">https://doi.org/10.1001/jamapsychiatry.2015.0584</w:t>
        </w:r>
      </w:hyperlink>
    </w:p>
    <w:bookmarkEnd w:id="281"/>
    <w:bookmarkStart w:id="283" w:name="Xa203ab3abd150ead1a7854a9fa5726c8a273f52"/>
    <w:p>
      <w:pPr>
        <w:pStyle w:val="Bibliography"/>
      </w:pPr>
      <w:r>
        <w:t xml:space="preserve">Greenfield, S. F., Brooks, A. J., Gordon, S. M., Green, C. A., Kropp, F., McHugh, R. K., Lincoln, M., Hien, D., &amp; Miele, G. M. (2007). Substance abuse treatment entry, retention, and outcome in women:</w:t>
      </w:r>
      <w:r>
        <w:t xml:space="preserve"> </w:t>
      </w:r>
      <w:r>
        <w:t xml:space="preserve">A</w:t>
      </w:r>
      <w:r>
        <w:t xml:space="preserve"> </w:t>
      </w:r>
      <w:r>
        <w:t xml:space="preserve">review of the literature.</w:t>
      </w:r>
      <w:r>
        <w:t xml:space="preserve"> </w:t>
      </w:r>
      <w:r>
        <w:rPr>
          <w:i/>
          <w:iCs/>
        </w:rPr>
        <w:t xml:space="preserve">Drug and Alcohol Dependence</w:t>
      </w:r>
      <w:r>
        <w:t xml:space="preserve">,</w:t>
      </w:r>
      <w:r>
        <w:t xml:space="preserve"> </w:t>
      </w:r>
      <w:r>
        <w:rPr>
          <w:i/>
          <w:iCs/>
        </w:rPr>
        <w:t xml:space="preserve">86</w:t>
      </w:r>
      <w:r>
        <w:t xml:space="preserve">(1), 1–21.</w:t>
      </w:r>
      <w:r>
        <w:t xml:space="preserve"> </w:t>
      </w:r>
      <w:hyperlink r:id="rId282">
        <w:r>
          <w:rPr>
            <w:rStyle w:val="Hyperlink"/>
          </w:rPr>
          <w:t xml:space="preserve">https://doi.org/10.1016/j.drugalcdep.2006.05.012</w:t>
        </w:r>
      </w:hyperlink>
    </w:p>
    <w:bookmarkEnd w:id="283"/>
    <w:bookmarkStart w:id="285" w:name="X6b4ed3beef40dcba9764db2c38b474dc4669eb8"/>
    <w:p>
      <w:pPr>
        <w:pStyle w:val="Bibliography"/>
      </w:pPr>
      <w:r>
        <w:t xml:space="preserve">Guerrero, E. G., Marsh, J. C., Khachikian, T., Amaro, H., &amp; Vega, W. A. (2013). Disparities in</w:t>
      </w:r>
      <w:r>
        <w:t xml:space="preserve"> </w:t>
      </w:r>
      <w:r>
        <w:t xml:space="preserve">Latino</w:t>
      </w:r>
      <w:r>
        <w:t xml:space="preserve"> </w:t>
      </w:r>
      <w:r>
        <w:t xml:space="preserve">substance use, service use, and treatment:</w:t>
      </w:r>
      <w:r>
        <w:t xml:space="preserve"> </w:t>
      </w:r>
      <w:r>
        <w:t xml:space="preserve">Implications</w:t>
      </w:r>
      <w:r>
        <w:t xml:space="preserve"> </w:t>
      </w:r>
      <w:r>
        <w:t xml:space="preserve">for culturally and evidence-based interventions under health care reform.</w:t>
      </w:r>
      <w:r>
        <w:t xml:space="preserve"> </w:t>
      </w:r>
      <w:r>
        <w:rPr>
          <w:i/>
          <w:iCs/>
        </w:rPr>
        <w:t xml:space="preserve">Drug and Alcohol Dependence</w:t>
      </w:r>
      <w:r>
        <w:t xml:space="preserve">,</w:t>
      </w:r>
      <w:r>
        <w:t xml:space="preserve"> </w:t>
      </w:r>
      <w:r>
        <w:rPr>
          <w:i/>
          <w:iCs/>
        </w:rPr>
        <w:t xml:space="preserve">133</w:t>
      </w:r>
      <w:r>
        <w:t xml:space="preserve">(3), 805–813.</w:t>
      </w:r>
      <w:r>
        <w:t xml:space="preserve"> </w:t>
      </w:r>
      <w:hyperlink r:id="rId284">
        <w:r>
          <w:rPr>
            <w:rStyle w:val="Hyperlink"/>
          </w:rPr>
          <w:t xml:space="preserve">https://doi.org/10.1016/j.drugalcdep.2013.07.027</w:t>
        </w:r>
      </w:hyperlink>
    </w:p>
    <w:bookmarkEnd w:id="285"/>
    <w:bookmarkStart w:id="287" w:name="X805b64c6cb0e2e29672f0738918e5324c4e18a1"/>
    <w:p>
      <w:pPr>
        <w:pStyle w:val="Bibliography"/>
      </w:pPr>
      <w:r>
        <w:t xml:space="preserve">Gustafson, D. H., McTavish, F. M., Chih, M.-Y., Atwood, A. K., Johnson, R. A., Boyle, M. G., Levy, M. S., Driscoll, H., Chisholm, S. M., Dillenburg, L., Isham, A., &amp; Shah, D. (2014). A smartphone application to support recovery from alcoholism: A randomized clinical trial.</w:t>
      </w:r>
      <w:r>
        <w:t xml:space="preserve"> </w:t>
      </w:r>
      <w:r>
        <w:rPr>
          <w:i/>
          <w:iCs/>
        </w:rPr>
        <w:t xml:space="preserve">JAMA Psychiatry</w:t>
      </w:r>
      <w:r>
        <w:t xml:space="preserve">,</w:t>
      </w:r>
      <w:r>
        <w:t xml:space="preserve"> </w:t>
      </w:r>
      <w:r>
        <w:rPr>
          <w:i/>
          <w:iCs/>
        </w:rPr>
        <w:t xml:space="preserve">71</w:t>
      </w:r>
      <w:r>
        <w:t xml:space="preserve">(5), 566–572.</w:t>
      </w:r>
      <w:r>
        <w:t xml:space="preserve"> </w:t>
      </w:r>
      <w:hyperlink r:id="rId286">
        <w:r>
          <w:rPr>
            <w:rStyle w:val="Hyperlink"/>
          </w:rPr>
          <w:t xml:space="preserve">https://doi.org/10.1001/jamapsychiatry.2013.4642</w:t>
        </w:r>
      </w:hyperlink>
    </w:p>
    <w:bookmarkEnd w:id="287"/>
    <w:bookmarkStart w:id="289" w:name="ref-hagmanDefiningRecoveryAlcohol2022"/>
    <w:p>
      <w:pPr>
        <w:pStyle w:val="Bibliography"/>
      </w:pPr>
      <w:r>
        <w:t xml:space="preserve">Hagman, B. T., Falk, D., Litten, R., &amp; Koob, G. F. (2022). Defining</w:t>
      </w:r>
      <w:r>
        <w:t xml:space="preserve"> </w:t>
      </w:r>
      <w:r>
        <w:t xml:space="preserve">Recovery From Alcohol Use Disorder</w:t>
      </w:r>
      <w:r>
        <w:t xml:space="preserve">:</w:t>
      </w:r>
      <w:r>
        <w:t xml:space="preserve"> </w:t>
      </w:r>
      <w:r>
        <w:t xml:space="preserve">Development</w:t>
      </w:r>
      <w:r>
        <w:t xml:space="preserve"> </w:t>
      </w:r>
      <w:r>
        <w:t xml:space="preserve">of an</w:t>
      </w:r>
      <w:r>
        <w:t xml:space="preserve"> </w:t>
      </w:r>
      <w:r>
        <w:t xml:space="preserve">NIAAA Research Definition</w:t>
      </w:r>
      <w:r>
        <w:t xml:space="preserve">.</w:t>
      </w:r>
      <w:r>
        <w:t xml:space="preserve"> </w:t>
      </w:r>
      <w:r>
        <w:rPr>
          <w:i/>
          <w:iCs/>
        </w:rPr>
        <w:t xml:space="preserve">The American Journal of Psychiatry</w:t>
      </w:r>
      <w:r>
        <w:t xml:space="preserve">,</w:t>
      </w:r>
      <w:r>
        <w:t xml:space="preserve"> </w:t>
      </w:r>
      <w:r>
        <w:rPr>
          <w:i/>
          <w:iCs/>
        </w:rPr>
        <w:t xml:space="preserve">179</w:t>
      </w:r>
      <w:r>
        <w:t xml:space="preserve">(11), 807–813.</w:t>
      </w:r>
      <w:r>
        <w:t xml:space="preserve"> </w:t>
      </w:r>
      <w:hyperlink r:id="rId288">
        <w:r>
          <w:rPr>
            <w:rStyle w:val="Hyperlink"/>
          </w:rPr>
          <w:t xml:space="preserve">https://doi.org/10.1176/appi.ajp.21090963</w:t>
        </w:r>
      </w:hyperlink>
    </w:p>
    <w:bookmarkEnd w:id="289"/>
    <w:bookmarkStart w:id="290" w:name="X76c131a5b0a374a6ad1e33cf8e2c0563392269f"/>
    <w:p>
      <w:pPr>
        <w:pStyle w:val="Bibliography"/>
      </w:pPr>
      <w:r>
        <w:t xml:space="preserve">Hastie, T., Tibshirani, R., &amp; Friedman, J. H. (2009).</w:t>
      </w:r>
      <w:r>
        <w:t xml:space="preserve"> </w:t>
      </w:r>
      <w:r>
        <w:rPr>
          <w:i/>
          <w:iCs/>
        </w:rPr>
        <w:t xml:space="preserve">The elements of statistical learning: Data mining, inference, and prediction</w:t>
      </w:r>
      <w:r>
        <w:t xml:space="preserve"> </w:t>
      </w:r>
      <w:r>
        <w:t xml:space="preserve">(2nd ed). Springer.</w:t>
      </w:r>
    </w:p>
    <w:bookmarkEnd w:id="290"/>
    <w:bookmarkStart w:id="292" w:name="ref-hatchExpertConsensusSurvey2018"/>
    <w:p>
      <w:pPr>
        <w:pStyle w:val="Bibliography"/>
      </w:pPr>
      <w:r>
        <w:t xml:space="preserve">Hatch, A., Hoffman, J. E., Ross, R., &amp; Docherty, J. P. (2018). Expert</w:t>
      </w:r>
      <w:r>
        <w:t xml:space="preserve"> </w:t>
      </w:r>
      <w:r>
        <w:t xml:space="preserve">Consensus Survey</w:t>
      </w:r>
      <w:r>
        <w:t xml:space="preserve"> </w:t>
      </w:r>
      <w:r>
        <w:t xml:space="preserve">on</w:t>
      </w:r>
      <w:r>
        <w:t xml:space="preserve"> </w:t>
      </w:r>
      <w:r>
        <w:t xml:space="preserve">Digital Health Tools</w:t>
      </w:r>
      <w:r>
        <w:t xml:space="preserve"> </w:t>
      </w:r>
      <w:r>
        <w:t xml:space="preserve">for</w:t>
      </w:r>
      <w:r>
        <w:t xml:space="preserve"> </w:t>
      </w:r>
      <w:r>
        <w:t xml:space="preserve">Patients With Serious Mental Illness</w:t>
      </w:r>
      <w:r>
        <w:t xml:space="preserve">:</w:t>
      </w:r>
      <w:r>
        <w:t xml:space="preserve"> </w:t>
      </w:r>
      <w:r>
        <w:t xml:space="preserve">Optimizing</w:t>
      </w:r>
      <w:r>
        <w:t xml:space="preserve"> </w:t>
      </w:r>
      <w:r>
        <w:t xml:space="preserve">for</w:t>
      </w:r>
      <w:r>
        <w:t xml:space="preserve"> </w:t>
      </w:r>
      <w:r>
        <w:t xml:space="preserve">User Characteristics</w:t>
      </w:r>
      <w:r>
        <w:t xml:space="preserve"> </w:t>
      </w:r>
      <w:r>
        <w:t xml:space="preserve">and</w:t>
      </w:r>
      <w:r>
        <w:t xml:space="preserve"> </w:t>
      </w:r>
      <w:r>
        <w:t xml:space="preserve">User Support</w:t>
      </w:r>
      <w:r>
        <w:t xml:space="preserve">.</w:t>
      </w:r>
      <w:r>
        <w:t xml:space="preserve"> </w:t>
      </w:r>
      <w:r>
        <w:rPr>
          <w:i/>
          <w:iCs/>
        </w:rPr>
        <w:t xml:space="preserve">JMIR Mental Health</w:t>
      </w:r>
      <w:r>
        <w:t xml:space="preserve">,</w:t>
      </w:r>
      <w:r>
        <w:t xml:space="preserve"> </w:t>
      </w:r>
      <w:r>
        <w:rPr>
          <w:i/>
          <w:iCs/>
        </w:rPr>
        <w:t xml:space="preserve">5</w:t>
      </w:r>
      <w:r>
        <w:t xml:space="preserve">(2), e46.</w:t>
      </w:r>
      <w:r>
        <w:t xml:space="preserve"> </w:t>
      </w:r>
      <w:hyperlink r:id="rId291">
        <w:r>
          <w:rPr>
            <w:rStyle w:val="Hyperlink"/>
          </w:rPr>
          <w:t xml:space="preserve">https://doi.org/10.2196/mental.9777</w:t>
        </w:r>
      </w:hyperlink>
    </w:p>
    <w:bookmarkEnd w:id="292"/>
    <w:bookmarkStart w:id="293" w:name="X8b12ef138ca23b48f269e0b446537ae876fd725"/>
    <w:p>
      <w:pPr>
        <w:pStyle w:val="Bibliography"/>
      </w:pPr>
      <w:r>
        <w:t xml:space="preserve">Health Resources and Services Administration. (n.d.).</w:t>
      </w:r>
      <w:r>
        <w:t xml:space="preserve"> </w:t>
      </w:r>
      <w:r>
        <w:rPr>
          <w:i/>
          <w:iCs/>
        </w:rPr>
        <w:t xml:space="preserve">How</w:t>
      </w:r>
      <w:r>
        <w:rPr>
          <w:i/>
          <w:iCs/>
        </w:rPr>
        <w:t xml:space="preserve"> </w:t>
      </w:r>
      <w:r>
        <w:rPr>
          <w:i/>
          <w:iCs/>
        </w:rPr>
        <w:t xml:space="preserve">We Define Rural</w:t>
      </w:r>
      <w:r>
        <w:t xml:space="preserve">. https://www.hrsa.gov/rural-health/about-us/what-is-rural.</w:t>
      </w:r>
    </w:p>
    <w:bookmarkEnd w:id="293"/>
    <w:bookmarkStart w:id="294" w:name="ref-hedegaardDrugOverdoseDeaths2021"/>
    <w:p>
      <w:pPr>
        <w:pStyle w:val="Bibliography"/>
      </w:pPr>
      <w:r>
        <w:t xml:space="preserve">Hedegaard, H., Miniño, A. M., Spencer, M. R., &amp; Warner, M. (2021).</w:t>
      </w:r>
      <w:r>
        <w:t xml:space="preserve"> </w:t>
      </w:r>
      <w:r>
        <w:rPr>
          <w:i/>
          <w:iCs/>
        </w:rPr>
        <w:t xml:space="preserve">Drug overdose deaths in the</w:t>
      </w:r>
      <w:r>
        <w:rPr>
          <w:i/>
          <w:iCs/>
        </w:rPr>
        <w:t xml:space="preserve"> </w:t>
      </w:r>
      <w:r>
        <w:rPr>
          <w:i/>
          <w:iCs/>
        </w:rPr>
        <w:t xml:space="preserve">United States</w:t>
      </w:r>
      <w:r>
        <w:rPr>
          <w:i/>
          <w:iCs/>
        </w:rPr>
        <w:t xml:space="preserve">, 1999–2020</w:t>
      </w:r>
      <w:r>
        <w:t xml:space="preserve">.</w:t>
      </w:r>
    </w:p>
    <w:bookmarkEnd w:id="294"/>
    <w:bookmarkStart w:id="296" w:name="X124ba946b4d19c4d3454f7989a2955eb824b98a"/>
    <w:p>
      <w:pPr>
        <w:pStyle w:val="Bibliography"/>
      </w:pPr>
      <w:r>
        <w:t xml:space="preserve">Heinz, M. V., Price, G. D., Singh, A., Bhattacharya, S., Chen, C.-H., Asyyed, A., Does, M. B., Hassanpour, S., Hichborn, E., Kotz, D., Lambert-Harris, C. A., Li, Z., McLeman, B., Mishra, V., Stanger, C., Subramaniam, G., Wu, W., Campbell, C. I., Marsch, L. A., &amp; Jacobson, N. C. (2025). A longitudinal observational study with ecological momentary assessment and deep learning to predict non-prescribed opioid use, treatment retention, and medication nonadherence among persons receiving medication treatment for opioid use disorder.</w:t>
      </w:r>
      <w:r>
        <w:t xml:space="preserve"> </w:t>
      </w:r>
      <w:r>
        <w:rPr>
          <w:i/>
          <w:iCs/>
        </w:rPr>
        <w:t xml:space="preserve">Journal of Substance Use &amp; Addiction Treatment</w:t>
      </w:r>
      <w:r>
        <w:t xml:space="preserve">,</w:t>
      </w:r>
      <w:r>
        <w:t xml:space="preserve"> </w:t>
      </w:r>
      <w:r>
        <w:rPr>
          <w:i/>
          <w:iCs/>
        </w:rPr>
        <w:t xml:space="preserve">173</w:t>
      </w:r>
      <w:r>
        <w:t xml:space="preserve">.</w:t>
      </w:r>
      <w:r>
        <w:t xml:space="preserve"> </w:t>
      </w:r>
      <w:hyperlink r:id="rId295">
        <w:r>
          <w:rPr>
            <w:rStyle w:val="Hyperlink"/>
          </w:rPr>
          <w:t xml:space="preserve">https://doi.org/10.1016/j.josat.2025.209685</w:t>
        </w:r>
      </w:hyperlink>
    </w:p>
    <w:bookmarkEnd w:id="296"/>
    <w:bookmarkStart w:id="298" w:name="ref-hserHighMortalityPatients2017"/>
    <w:p>
      <w:pPr>
        <w:pStyle w:val="Bibliography"/>
      </w:pPr>
      <w:r>
        <w:t xml:space="preserve">Hser, Y.-I., Mooney, L. J., Saxon, A. J., Miotto, K., Bell, D. S., Zhu, Y., Liang, D., &amp; Huang, D. (2017). High</w:t>
      </w:r>
      <w:r>
        <w:t xml:space="preserve"> </w:t>
      </w:r>
      <w:r>
        <w:t xml:space="preserve">Mortality Among Patients With Opioid Use Disorder</w:t>
      </w:r>
      <w:r>
        <w:t xml:space="preserve"> </w:t>
      </w:r>
      <w:r>
        <w:t xml:space="preserve">in a</w:t>
      </w:r>
      <w:r>
        <w:t xml:space="preserve"> </w:t>
      </w:r>
      <w:r>
        <w:t xml:space="preserve">Large Healthcare System</w:t>
      </w:r>
      <w:r>
        <w:t xml:space="preserve">.</w:t>
      </w:r>
      <w:r>
        <w:t xml:space="preserve"> </w:t>
      </w:r>
      <w:r>
        <w:rPr>
          <w:i/>
          <w:iCs/>
        </w:rPr>
        <w:t xml:space="preserve">Journal of Addiction Medicine</w:t>
      </w:r>
      <w:r>
        <w:t xml:space="preserve">,</w:t>
      </w:r>
      <w:r>
        <w:t xml:space="preserve"> </w:t>
      </w:r>
      <w:r>
        <w:rPr>
          <w:i/>
          <w:iCs/>
        </w:rPr>
        <w:t xml:space="preserve">11</w:t>
      </w:r>
      <w:r>
        <w:t xml:space="preserve">(4), 315.</w:t>
      </w:r>
      <w:r>
        <w:t xml:space="preserve"> </w:t>
      </w:r>
      <w:hyperlink r:id="rId297">
        <w:r>
          <w:rPr>
            <w:rStyle w:val="Hyperlink"/>
          </w:rPr>
          <w:t xml:space="preserve">https://doi.org/10.1097/ADM.0000000000000312</w:t>
        </w:r>
      </w:hyperlink>
    </w:p>
    <w:bookmarkEnd w:id="298"/>
    <w:bookmarkStart w:id="299" w:name="ref-hsiehSampleSizeTables1989"/>
    <w:p>
      <w:pPr>
        <w:pStyle w:val="Bibliography"/>
      </w:pPr>
      <w:r>
        <w:t xml:space="preserve">Hsieh, F. (1989). Sample size tables for logistic regression.</w:t>
      </w:r>
      <w:r>
        <w:t xml:space="preserve"> </w:t>
      </w:r>
      <w:r>
        <w:rPr>
          <w:i/>
          <w:iCs/>
        </w:rPr>
        <w:t xml:space="preserve">Statistics in Medicine</w:t>
      </w:r>
      <w:r>
        <w:t xml:space="preserve">,</w:t>
      </w:r>
      <w:r>
        <w:t xml:space="preserve"> </w:t>
      </w:r>
      <w:r>
        <w:rPr>
          <w:i/>
          <w:iCs/>
        </w:rPr>
        <w:t xml:space="preserve">8</w:t>
      </w:r>
      <w:r>
        <w:t xml:space="preserve">, 795–802.</w:t>
      </w:r>
    </w:p>
    <w:bookmarkEnd w:id="299"/>
    <w:bookmarkStart w:id="301" w:name="ref-huangActivityIdentificationGPS2010"/>
    <w:p>
      <w:pPr>
        <w:pStyle w:val="Bibliography"/>
      </w:pPr>
      <w:r>
        <w:t xml:space="preserve">Huang, L., Li, Q., &amp; Yue, Y. (2010). Activity identification from</w:t>
      </w:r>
      <w:r>
        <w:t xml:space="preserve"> </w:t>
      </w:r>
      <w:r>
        <w:t xml:space="preserve">GPS</w:t>
      </w:r>
      <w:r>
        <w:t xml:space="preserve"> </w:t>
      </w:r>
      <w:r>
        <w:t xml:space="preserve">trajectories using spatial temporal</w:t>
      </w:r>
      <w:r>
        <w:t xml:space="preserve"> </w:t>
      </w:r>
      <w:r>
        <w:t xml:space="preserve">POIs</w:t>
      </w:r>
      <w:r>
        <w:t xml:space="preserve">’ attractiveness.</w:t>
      </w:r>
      <w:r>
        <w:t xml:space="preserve"> </w:t>
      </w:r>
      <w:r>
        <w:rPr>
          <w:i/>
          <w:iCs/>
        </w:rPr>
        <w:t xml:space="preserve">Proceedings of the 2nd</w:t>
      </w:r>
      <w:r>
        <w:rPr>
          <w:i/>
          <w:iCs/>
        </w:rPr>
        <w:t xml:space="preserve"> </w:t>
      </w:r>
      <w:r>
        <w:rPr>
          <w:i/>
          <w:iCs/>
        </w:rPr>
        <w:t xml:space="preserve">ACM SIGSPATIAL International Workshop</w:t>
      </w:r>
      <w:r>
        <w:rPr>
          <w:i/>
          <w:iCs/>
        </w:rPr>
        <w:t xml:space="preserve"> </w:t>
      </w:r>
      <w:r>
        <w:rPr>
          <w:i/>
          <w:iCs/>
        </w:rPr>
        <w:t xml:space="preserve">on</w:t>
      </w:r>
      <w:r>
        <w:rPr>
          <w:i/>
          <w:iCs/>
        </w:rPr>
        <w:t xml:space="preserve"> </w:t>
      </w:r>
      <w:r>
        <w:rPr>
          <w:i/>
          <w:iCs/>
        </w:rPr>
        <w:t xml:space="preserve">Location Based Social Networks</w:t>
      </w:r>
      <w:r>
        <w:rPr>
          <w:i/>
          <w:iCs/>
        </w:rPr>
        <w:t xml:space="preserve">,</w:t>
      </w:r>
      <w:r>
        <w:rPr>
          <w:i/>
          <w:iCs/>
        </w:rPr>
        <w:t xml:space="preserve"> </w:t>
      </w:r>
      <w:r>
        <w:rPr>
          <w:i/>
          <w:iCs/>
        </w:rPr>
        <w:t xml:space="preserve">LBSN</w:t>
      </w:r>
      <w:r>
        <w:rPr>
          <w:i/>
          <w:iCs/>
        </w:rPr>
        <w:t xml:space="preserve"> </w:t>
      </w:r>
      <w:r>
        <w:rPr>
          <w:i/>
          <w:iCs/>
        </w:rPr>
        <w:t xml:space="preserve">’10</w:t>
      </w:r>
      <w:r>
        <w:t xml:space="preserve">, 27–30.</w:t>
      </w:r>
      <w:r>
        <w:t xml:space="preserve"> </w:t>
      </w:r>
      <w:hyperlink r:id="rId300">
        <w:r>
          <w:rPr>
            <w:rStyle w:val="Hyperlink"/>
          </w:rPr>
          <w:t xml:space="preserve">https://doi.org/10.1145/1867699.1867704</w:t>
        </w:r>
      </w:hyperlink>
    </w:p>
    <w:bookmarkEnd w:id="301"/>
    <w:bookmarkStart w:id="302" w:name="ref-IncreasesDrugOpioid"/>
    <w:p>
      <w:pPr>
        <w:pStyle w:val="Bibliography"/>
      </w:pPr>
      <w:r>
        <w:rPr>
          <w:i/>
          <w:iCs/>
        </w:rPr>
        <w:t xml:space="preserve">Increases in</w:t>
      </w:r>
      <w:r>
        <w:rPr>
          <w:i/>
          <w:iCs/>
        </w:rPr>
        <w:t xml:space="preserve"> </w:t>
      </w:r>
      <w:r>
        <w:rPr>
          <w:i/>
          <w:iCs/>
        </w:rPr>
        <w:t xml:space="preserve">Drug</w:t>
      </w:r>
      <w:r>
        <w:rPr>
          <w:i/>
          <w:iCs/>
        </w:rPr>
        <w:t xml:space="preserve"> </w:t>
      </w:r>
      <w:r>
        <w:rPr>
          <w:i/>
          <w:iCs/>
        </w:rPr>
        <w:t xml:space="preserve">and</w:t>
      </w:r>
      <w:r>
        <w:rPr>
          <w:i/>
          <w:iCs/>
        </w:rPr>
        <w:t xml:space="preserve"> </w:t>
      </w:r>
      <w:r>
        <w:rPr>
          <w:i/>
          <w:iCs/>
        </w:rPr>
        <w:t xml:space="preserve">Opioid Overdose Deaths</w:t>
      </w:r>
      <w:r>
        <w:rPr>
          <w:i/>
          <w:iCs/>
        </w:rPr>
        <w:t xml:space="preserve"> </w:t>
      </w:r>
      <w:r>
        <w:rPr>
          <w:i/>
          <w:iCs/>
        </w:rPr>
        <w:t xml:space="preserve">—</w:t>
      </w:r>
      <w:r>
        <w:rPr>
          <w:i/>
          <w:iCs/>
        </w:rPr>
        <w:t xml:space="preserve"> </w:t>
      </w:r>
      <w:r>
        <w:rPr>
          <w:i/>
          <w:iCs/>
        </w:rPr>
        <w:t xml:space="preserve">United States</w:t>
      </w:r>
      <w:r>
        <w:rPr>
          <w:i/>
          <w:iCs/>
        </w:rPr>
        <w:t xml:space="preserve">, 2000–2014</w:t>
      </w:r>
      <w:r>
        <w:t xml:space="preserve">. (n.d.). https://www.cdc.gov/mmwr/preview/mmwrhtml/mm6450a3.htm.</w:t>
      </w:r>
    </w:p>
    <w:bookmarkEnd w:id="302"/>
    <w:bookmarkStart w:id="303" w:name="Xef7a5e60d60ebc1c36ae80e8d3e603027eb0b63"/>
    <w:p>
      <w:pPr>
        <w:pStyle w:val="Bibliography"/>
      </w:pPr>
      <w:r>
        <w:t xml:space="preserve">Jacobson, N. C., Kowatsch, T., &amp; Marsch, L. A. (Eds.). (2022).</w:t>
      </w:r>
      <w:r>
        <w:t xml:space="preserve"> </w:t>
      </w:r>
      <w:r>
        <w:rPr>
          <w:i/>
          <w:iCs/>
        </w:rPr>
        <w:t xml:space="preserve">Digital</w:t>
      </w:r>
      <w:r>
        <w:rPr>
          <w:i/>
          <w:iCs/>
        </w:rPr>
        <w:t xml:space="preserve"> </w:t>
      </w:r>
      <w:r>
        <w:rPr>
          <w:i/>
          <w:iCs/>
        </w:rPr>
        <w:t xml:space="preserve">Therapeutics</w:t>
      </w:r>
      <w:r>
        <w:rPr>
          <w:i/>
          <w:iCs/>
        </w:rPr>
        <w:t xml:space="preserve"> </w:t>
      </w:r>
      <w:r>
        <w:rPr>
          <w:i/>
          <w:iCs/>
        </w:rPr>
        <w:t xml:space="preserve">for</w:t>
      </w:r>
      <w:r>
        <w:rPr>
          <w:i/>
          <w:iCs/>
        </w:rPr>
        <w:t xml:space="preserve"> </w:t>
      </w:r>
      <w:r>
        <w:rPr>
          <w:i/>
          <w:iCs/>
        </w:rPr>
        <w:t xml:space="preserve">Mental Health</w:t>
      </w:r>
      <w:r>
        <w:rPr>
          <w:i/>
          <w:iCs/>
        </w:rPr>
        <w:t xml:space="preserve"> </w:t>
      </w:r>
      <w:r>
        <w:rPr>
          <w:i/>
          <w:iCs/>
        </w:rPr>
        <w:t xml:space="preserve">and</w:t>
      </w:r>
      <w:r>
        <w:rPr>
          <w:i/>
          <w:iCs/>
        </w:rPr>
        <w:t xml:space="preserve"> </w:t>
      </w:r>
      <w:r>
        <w:rPr>
          <w:i/>
          <w:iCs/>
        </w:rPr>
        <w:t xml:space="preserve">Addiction</w:t>
      </w:r>
      <w:r>
        <w:rPr>
          <w:i/>
          <w:iCs/>
        </w:rPr>
        <w:t xml:space="preserve">:</w:t>
      </w:r>
      <w:r>
        <w:rPr>
          <w:i/>
          <w:iCs/>
        </w:rPr>
        <w:t xml:space="preserve"> </w:t>
      </w:r>
      <w:r>
        <w:rPr>
          <w:i/>
          <w:iCs/>
        </w:rPr>
        <w:t xml:space="preserve">The State</w:t>
      </w:r>
      <w:r>
        <w:rPr>
          <w:i/>
          <w:iCs/>
        </w:rPr>
        <w:t xml:space="preserve"> </w:t>
      </w:r>
      <w:r>
        <w:rPr>
          <w:i/>
          <w:iCs/>
        </w:rPr>
        <w:t xml:space="preserve">of the</w:t>
      </w:r>
      <w:r>
        <w:rPr>
          <w:i/>
          <w:iCs/>
        </w:rPr>
        <w:t xml:space="preserve"> </w:t>
      </w:r>
      <w:r>
        <w:rPr>
          <w:i/>
          <w:iCs/>
        </w:rPr>
        <w:t xml:space="preserve">Science</w:t>
      </w:r>
      <w:r>
        <w:rPr>
          <w:i/>
          <w:iCs/>
        </w:rPr>
        <w:t xml:space="preserve"> </w:t>
      </w:r>
      <w:r>
        <w:rPr>
          <w:i/>
          <w:iCs/>
        </w:rPr>
        <w:t xml:space="preserve">and</w:t>
      </w:r>
      <w:r>
        <w:rPr>
          <w:i/>
          <w:iCs/>
        </w:rPr>
        <w:t xml:space="preserve"> </w:t>
      </w:r>
      <w:r>
        <w:rPr>
          <w:i/>
          <w:iCs/>
        </w:rPr>
        <w:t xml:space="preserve">Vision</w:t>
      </w:r>
      <w:r>
        <w:rPr>
          <w:i/>
          <w:iCs/>
        </w:rPr>
        <w:t xml:space="preserve"> </w:t>
      </w:r>
      <w:r>
        <w:rPr>
          <w:i/>
          <w:iCs/>
        </w:rPr>
        <w:t xml:space="preserve">for the</w:t>
      </w:r>
      <w:r>
        <w:rPr>
          <w:i/>
          <w:iCs/>
        </w:rPr>
        <w:t xml:space="preserve"> </w:t>
      </w:r>
      <w:r>
        <w:rPr>
          <w:i/>
          <w:iCs/>
        </w:rPr>
        <w:t xml:space="preserve">Future</w:t>
      </w:r>
      <w:r>
        <w:t xml:space="preserve"> </w:t>
      </w:r>
      <w:r>
        <w:t xml:space="preserve">(1st edition). Academic Press.</w:t>
      </w:r>
    </w:p>
    <w:bookmarkEnd w:id="303"/>
    <w:bookmarkStart w:id="305" w:name="ref-jonathanUseCrossvalidationAssess2000"/>
    <w:p>
      <w:pPr>
        <w:pStyle w:val="Bibliography"/>
      </w:pPr>
      <w:r>
        <w:t xml:space="preserve">Jonathan, P., Krzanowski, W. J., &amp; McCarthy, W. V. (2000). On the use of cross-validation to assess performance in multivariate prediction.</w:t>
      </w:r>
      <w:r>
        <w:t xml:space="preserve"> </w:t>
      </w:r>
      <w:r>
        <w:rPr>
          <w:i/>
          <w:iCs/>
        </w:rPr>
        <w:t xml:space="preserve">Statistics and Computing</w:t>
      </w:r>
      <w:r>
        <w:t xml:space="preserve">,</w:t>
      </w:r>
      <w:r>
        <w:t xml:space="preserve"> </w:t>
      </w:r>
      <w:r>
        <w:rPr>
          <w:i/>
          <w:iCs/>
        </w:rPr>
        <w:t xml:space="preserve">10</w:t>
      </w:r>
      <w:r>
        <w:t xml:space="preserve">(3), 209–229.</w:t>
      </w:r>
      <w:r>
        <w:t xml:space="preserve"> </w:t>
      </w:r>
      <w:hyperlink r:id="rId304">
        <w:r>
          <w:rPr>
            <w:rStyle w:val="Hyperlink"/>
          </w:rPr>
          <w:t xml:space="preserve">https://doi.org/10.1023/A:1008987426876</w:t>
        </w:r>
      </w:hyperlink>
    </w:p>
    <w:bookmarkEnd w:id="305"/>
    <w:bookmarkStart w:id="307" w:name="X9dfa929848d202736296032659cec14e42606bb"/>
    <w:p>
      <w:pPr>
        <w:pStyle w:val="Bibliography"/>
      </w:pPr>
      <w:r>
        <w:t xml:space="preserve">Jones, A., Remmerswaal, D., Verveer, I., Robinson, E., Franken, I. H. A., Wen, C. K. F., &amp; Field, M. (2019). Compliance with ecological momentary assessment protocols in substance users: A meta-analysis.</w:t>
      </w:r>
      <w:r>
        <w:t xml:space="preserve"> </w:t>
      </w:r>
      <w:r>
        <w:rPr>
          <w:i/>
          <w:iCs/>
        </w:rPr>
        <w:t xml:space="preserve">Addiction (Abingdon, England)</w:t>
      </w:r>
      <w:r>
        <w:t xml:space="preserve">,</w:t>
      </w:r>
      <w:r>
        <w:t xml:space="preserve"> </w:t>
      </w:r>
      <w:r>
        <w:rPr>
          <w:i/>
          <w:iCs/>
        </w:rPr>
        <w:t xml:space="preserve">114</w:t>
      </w:r>
      <w:r>
        <w:t xml:space="preserve">(4), 609–619.</w:t>
      </w:r>
      <w:r>
        <w:t xml:space="preserve"> </w:t>
      </w:r>
      <w:hyperlink r:id="rId306">
        <w:r>
          <w:rPr>
            <w:rStyle w:val="Hyperlink"/>
          </w:rPr>
          <w:t xml:space="preserve">https://doi.org/10/gfsjzg</w:t>
        </w:r>
      </w:hyperlink>
    </w:p>
    <w:bookmarkEnd w:id="307"/>
    <w:bookmarkStart w:id="308" w:name="ref-kaiserObamaGivesEast2015"/>
    <w:p>
      <w:pPr>
        <w:pStyle w:val="Bibliography"/>
      </w:pPr>
      <w:r>
        <w:t xml:space="preserve">Kaiser, J. (2015). Obama gives</w:t>
      </w:r>
      <w:r>
        <w:t xml:space="preserve"> </w:t>
      </w:r>
      <w:r>
        <w:t xml:space="preserve">East Room</w:t>
      </w:r>
      <w:r>
        <w:t xml:space="preserve"> </w:t>
      </w:r>
      <w:r>
        <w:t xml:space="preserve">rollout to</w:t>
      </w:r>
      <w:r>
        <w:t xml:space="preserve"> </w:t>
      </w:r>
      <w:r>
        <w:t xml:space="preserve">Precision Medicine Initiative</w:t>
      </w:r>
      <w:r>
        <w:t xml:space="preserve">. In</w:t>
      </w:r>
      <w:r>
        <w:t xml:space="preserve"> </w:t>
      </w:r>
      <w:r>
        <w:rPr>
          <w:i/>
          <w:iCs/>
        </w:rPr>
        <w:t xml:space="preserve">Science</w:t>
      </w:r>
      <w:r>
        <w:t xml:space="preserve">. https://www.science.org/content/article/obama-gives-east-room-rollout-precision-medicine-initiative.</w:t>
      </w:r>
    </w:p>
    <w:bookmarkEnd w:id="308"/>
    <w:bookmarkStart w:id="310" w:name="X3768089d0f608b32cd0f07357b3dcdb23d41fe8"/>
    <w:p>
      <w:pPr>
        <w:pStyle w:val="Bibliography"/>
      </w:pPr>
      <w:r>
        <w:t xml:space="preserve">Kerridge, B. T., Pickering, R. P., Saha, T. D., Ruan, W. J., Chou, S. P., Zhang, H., Jung, J., &amp; Hasin, D. S. (2017). Prevalence, sociodemographic correlates and</w:t>
      </w:r>
      <w:r>
        <w:t xml:space="preserve"> </w:t>
      </w:r>
      <w:r>
        <w:t xml:space="preserve">DSM-5</w:t>
      </w:r>
      <w:r>
        <w:t xml:space="preserve"> </w:t>
      </w:r>
      <w:r>
        <w:t xml:space="preserve">substance use disorders and other psychiatric disorders among sexual minorities in the</w:t>
      </w:r>
      <w:r>
        <w:t xml:space="preserve"> </w:t>
      </w:r>
      <w:r>
        <w:t xml:space="preserve">United States</w:t>
      </w:r>
      <w:r>
        <w:t xml:space="preserve">.</w:t>
      </w:r>
      <w:r>
        <w:t xml:space="preserve"> </w:t>
      </w:r>
      <w:r>
        <w:rPr>
          <w:i/>
          <w:iCs/>
        </w:rPr>
        <w:t xml:space="preserve">Drug and Alcohol Dependence</w:t>
      </w:r>
      <w:r>
        <w:t xml:space="preserve">,</w:t>
      </w:r>
      <w:r>
        <w:t xml:space="preserve"> </w:t>
      </w:r>
      <w:r>
        <w:rPr>
          <w:i/>
          <w:iCs/>
        </w:rPr>
        <w:t xml:space="preserve">170</w:t>
      </w:r>
      <w:r>
        <w:t xml:space="preserve">, 82–92.</w:t>
      </w:r>
      <w:r>
        <w:t xml:space="preserve"> </w:t>
      </w:r>
      <w:hyperlink r:id="rId309">
        <w:r>
          <w:rPr>
            <w:rStyle w:val="Hyperlink"/>
          </w:rPr>
          <w:t xml:space="preserve">https://doi.org/10.1016/j.drugalcdep.2016.10.038</w:t>
        </w:r>
      </w:hyperlink>
    </w:p>
    <w:bookmarkEnd w:id="310"/>
    <w:bookmarkStart w:id="312" w:name="ref-kilaruIncidenceTreatmentOpioid2020"/>
    <w:p>
      <w:pPr>
        <w:pStyle w:val="Bibliography"/>
      </w:pPr>
      <w:r>
        <w:t xml:space="preserve">Kilaru, A. S., Xiong, A., Lowenstein, M., Meisel, Z. F., Perrone, J., Khatri, U., Mitra, N., &amp; Delgado, M. K. (2020). Incidence of</w:t>
      </w:r>
      <w:r>
        <w:t xml:space="preserve"> </w:t>
      </w:r>
      <w:r>
        <w:t xml:space="preserve">Treatment</w:t>
      </w:r>
      <w:r>
        <w:t xml:space="preserve"> </w:t>
      </w:r>
      <w:r>
        <w:t xml:space="preserve">for</w:t>
      </w:r>
      <w:r>
        <w:t xml:space="preserve"> </w:t>
      </w:r>
      <w:r>
        <w:t xml:space="preserve">Opioid Use Disorder Following Nonfatal Overdose</w:t>
      </w:r>
      <w:r>
        <w:t xml:space="preserve"> </w:t>
      </w:r>
      <w:r>
        <w:t xml:space="preserve">in</w:t>
      </w:r>
      <w:r>
        <w:t xml:space="preserve"> </w:t>
      </w:r>
      <w:r>
        <w:t xml:space="preserve">Commercially Insured Patients</w:t>
      </w:r>
      <w:r>
        <w:t xml:space="preserve">.</w:t>
      </w:r>
      <w:r>
        <w:t xml:space="preserve"> </w:t>
      </w:r>
      <w:r>
        <w:rPr>
          <w:i/>
          <w:iCs/>
        </w:rPr>
        <w:t xml:space="preserve">JAMA Network Open</w:t>
      </w:r>
      <w:r>
        <w:t xml:space="preserve">,</w:t>
      </w:r>
      <w:r>
        <w:t xml:space="preserve"> </w:t>
      </w:r>
      <w:r>
        <w:rPr>
          <w:i/>
          <w:iCs/>
        </w:rPr>
        <w:t xml:space="preserve">3</w:t>
      </w:r>
      <w:r>
        <w:t xml:space="preserve">(5), e205852.</w:t>
      </w:r>
      <w:r>
        <w:t xml:space="preserve"> </w:t>
      </w:r>
      <w:hyperlink r:id="rId311">
        <w:r>
          <w:rPr>
            <w:rStyle w:val="Hyperlink"/>
          </w:rPr>
          <w:t xml:space="preserve">https://doi.org/10.1001/jamanetworkopen.2020.5852</w:t>
        </w:r>
      </w:hyperlink>
    </w:p>
    <w:bookmarkEnd w:id="312"/>
    <w:bookmarkStart w:id="314" w:name="X79dffb24bc183d6bf6fe142dbf048fe8e5a5dd0"/>
    <w:p>
      <w:pPr>
        <w:pStyle w:val="Bibliography"/>
      </w:pPr>
      <w:r>
        <w:t xml:space="preserve">Kranzler, H. R., &amp; McKay, J. R. (2012). Personalized</w:t>
      </w:r>
      <w:r>
        <w:t xml:space="preserve"> </w:t>
      </w:r>
      <w:r>
        <w:t xml:space="preserve">Treatment</w:t>
      </w:r>
      <w:r>
        <w:t xml:space="preserve"> </w:t>
      </w:r>
      <w:r>
        <w:t xml:space="preserve">of</w:t>
      </w:r>
      <w:r>
        <w:t xml:space="preserve"> </w:t>
      </w:r>
      <w:r>
        <w:t xml:space="preserve">Alcohol Dependence</w:t>
      </w:r>
      <w:r>
        <w:t xml:space="preserve">.</w:t>
      </w:r>
      <w:r>
        <w:t xml:space="preserve"> </w:t>
      </w:r>
      <w:r>
        <w:rPr>
          <w:i/>
          <w:iCs/>
        </w:rPr>
        <w:t xml:space="preserve">Current Psychiatry Reports</w:t>
      </w:r>
      <w:r>
        <w:t xml:space="preserve">,</w:t>
      </w:r>
      <w:r>
        <w:t xml:space="preserve"> </w:t>
      </w:r>
      <w:r>
        <w:rPr>
          <w:i/>
          <w:iCs/>
        </w:rPr>
        <w:t xml:space="preserve">14</w:t>
      </w:r>
      <w:r>
        <w:t xml:space="preserve">(5), 486–493.</w:t>
      </w:r>
      <w:r>
        <w:t xml:space="preserve"> </w:t>
      </w:r>
      <w:hyperlink r:id="rId313">
        <w:r>
          <w:rPr>
            <w:rStyle w:val="Hyperlink"/>
          </w:rPr>
          <w:t xml:space="preserve">https://doi.org/10.1007/s11920-012-0296-5</w:t>
        </w:r>
      </w:hyperlink>
    </w:p>
    <w:bookmarkEnd w:id="314"/>
    <w:bookmarkStart w:id="316" w:name="X171ec2f04b2c6116de0be2674e3661d8c558d74"/>
    <w:p>
      <w:pPr>
        <w:pStyle w:val="Bibliography"/>
      </w:pPr>
      <w:r>
        <w:t xml:space="preserve">Krueger, E. A., Fish, J. N., &amp; Upchurch, D. M. (2020). Sexual</w:t>
      </w:r>
      <w:r>
        <w:t xml:space="preserve"> </w:t>
      </w:r>
      <w:r>
        <w:t xml:space="preserve">Orientation Disparities</w:t>
      </w:r>
      <w:r>
        <w:t xml:space="preserve"> </w:t>
      </w:r>
      <w:r>
        <w:t xml:space="preserve">in</w:t>
      </w:r>
      <w:r>
        <w:t xml:space="preserve"> </w:t>
      </w:r>
      <w:r>
        <w:t xml:space="preserve">Substance Use</w:t>
      </w:r>
      <w:r>
        <w:t xml:space="preserve">:</w:t>
      </w:r>
      <w:r>
        <w:t xml:space="preserve"> </w:t>
      </w:r>
      <w:r>
        <w:t xml:space="preserve">Investigating Social Stress Mechanisms</w:t>
      </w:r>
      <w:r>
        <w:t xml:space="preserve"> </w:t>
      </w:r>
      <w:r>
        <w:t xml:space="preserve">in a</w:t>
      </w:r>
      <w:r>
        <w:t xml:space="preserve"> </w:t>
      </w:r>
      <w:r>
        <w:t xml:space="preserve">National Sample</w:t>
      </w:r>
      <w:r>
        <w:t xml:space="preserve">.</w:t>
      </w:r>
      <w:r>
        <w:t xml:space="preserve"> </w:t>
      </w:r>
      <w:r>
        <w:rPr>
          <w:i/>
          <w:iCs/>
        </w:rPr>
        <w:t xml:space="preserve">American Journal of Preventive Medicine</w:t>
      </w:r>
      <w:r>
        <w:t xml:space="preserve">,</w:t>
      </w:r>
      <w:r>
        <w:t xml:space="preserve"> </w:t>
      </w:r>
      <w:r>
        <w:rPr>
          <w:i/>
          <w:iCs/>
        </w:rPr>
        <w:t xml:space="preserve">58</w:t>
      </w:r>
      <w:r>
        <w:t xml:space="preserve">(1), 59–68.</w:t>
      </w:r>
      <w:r>
        <w:t xml:space="preserve"> </w:t>
      </w:r>
      <w:hyperlink r:id="rId315">
        <w:r>
          <w:rPr>
            <w:rStyle w:val="Hyperlink"/>
          </w:rPr>
          <w:t xml:space="preserve">https://doi.org/10.1016/j.amepre.2019.08.034</w:t>
        </w:r>
      </w:hyperlink>
    </w:p>
    <w:bookmarkEnd w:id="316"/>
    <w:bookmarkStart w:id="318" w:name="ref-kuerbisSubstanceAbuseOlder2014"/>
    <w:p>
      <w:pPr>
        <w:pStyle w:val="Bibliography"/>
      </w:pPr>
      <w:r>
        <w:t xml:space="preserve">Kuerbis, A., Sacco, P., Blazer, D. G., &amp; Moore, A. A. (2014). Substance</w:t>
      </w:r>
      <w:r>
        <w:t xml:space="preserve"> </w:t>
      </w:r>
      <w:r>
        <w:t xml:space="preserve">Abuse Among Older Adults</w:t>
      </w:r>
      <w:r>
        <w:t xml:space="preserve">.</w:t>
      </w:r>
      <w:r>
        <w:t xml:space="preserve"> </w:t>
      </w:r>
      <w:r>
        <w:rPr>
          <w:i/>
          <w:iCs/>
        </w:rPr>
        <w:t xml:space="preserve">Clinics in Geriatric Medicine</w:t>
      </w:r>
      <w:r>
        <w:t xml:space="preserve">,</w:t>
      </w:r>
      <w:r>
        <w:t xml:space="preserve"> </w:t>
      </w:r>
      <w:r>
        <w:rPr>
          <w:i/>
          <w:iCs/>
        </w:rPr>
        <w:t xml:space="preserve">30</w:t>
      </w:r>
      <w:r>
        <w:t xml:space="preserve">(3), 629–654.</w:t>
      </w:r>
      <w:r>
        <w:t xml:space="preserve"> </w:t>
      </w:r>
      <w:hyperlink r:id="rId317">
        <w:r>
          <w:rPr>
            <w:rStyle w:val="Hyperlink"/>
          </w:rPr>
          <w:t xml:space="preserve">https://doi.org/10.1016/j.cger.2014.04.008</w:t>
        </w:r>
      </w:hyperlink>
    </w:p>
    <w:bookmarkEnd w:id="318"/>
    <w:bookmarkStart w:id="319" w:name="Xa93a98d1ce255982a5ea923c39451c32053b2a2"/>
    <w:p>
      <w:pPr>
        <w:pStyle w:val="Bibliography"/>
      </w:pPr>
      <w:r>
        <w:t xml:space="preserve">Kuhn, M. (2022).</w:t>
      </w:r>
      <w:r>
        <w:t xml:space="preserve"> </w:t>
      </w:r>
      <w:r>
        <w:rPr>
          <w:i/>
          <w:iCs/>
        </w:rPr>
        <w:t xml:space="preserve">Tidyposterior:</w:t>
      </w:r>
      <w:r>
        <w:rPr>
          <w:i/>
          <w:iCs/>
        </w:rPr>
        <w:t xml:space="preserve"> </w:t>
      </w:r>
      <w:r>
        <w:rPr>
          <w:i/>
          <w:iCs/>
        </w:rPr>
        <w:t xml:space="preserve">Bayesian Analysis</w:t>
      </w:r>
      <w:r>
        <w:rPr>
          <w:i/>
          <w:iCs/>
        </w:rPr>
        <w:t xml:space="preserve"> </w:t>
      </w:r>
      <w:r>
        <w:rPr>
          <w:i/>
          <w:iCs/>
        </w:rPr>
        <w:t xml:space="preserve">to</w:t>
      </w:r>
      <w:r>
        <w:rPr>
          <w:i/>
          <w:iCs/>
        </w:rPr>
        <w:t xml:space="preserve"> </w:t>
      </w:r>
      <w:r>
        <w:rPr>
          <w:i/>
          <w:iCs/>
        </w:rPr>
        <w:t xml:space="preserve">Compare Models</w:t>
      </w:r>
      <w:r>
        <w:rPr>
          <w:i/>
          <w:iCs/>
        </w:rPr>
        <w:t xml:space="preserve"> </w:t>
      </w:r>
      <w:r>
        <w:rPr>
          <w:i/>
          <w:iCs/>
        </w:rPr>
        <w:t xml:space="preserve">using</w:t>
      </w:r>
      <w:r>
        <w:rPr>
          <w:i/>
          <w:iCs/>
        </w:rPr>
        <w:t xml:space="preserve"> </w:t>
      </w:r>
      <w:r>
        <w:rPr>
          <w:i/>
          <w:iCs/>
        </w:rPr>
        <w:t xml:space="preserve">Resampling Statistics</w:t>
      </w:r>
      <w:r>
        <w:t xml:space="preserve">.</w:t>
      </w:r>
    </w:p>
    <w:bookmarkEnd w:id="319"/>
    <w:bookmarkStart w:id="321" w:name="ref-kuhnAppliedPredictiveModeling2018"/>
    <w:p>
      <w:pPr>
        <w:pStyle w:val="Bibliography"/>
      </w:pPr>
      <w:r>
        <w:t xml:space="preserve">Kuhn, M., &amp; Johnson, K. (2018).</w:t>
      </w:r>
      <w:r>
        <w:t xml:space="preserve"> </w:t>
      </w:r>
      <w:r>
        <w:rPr>
          <w:i/>
          <w:iCs/>
        </w:rPr>
        <w:t xml:space="preserve">Applied</w:t>
      </w:r>
      <w:r>
        <w:rPr>
          <w:i/>
          <w:iCs/>
        </w:rPr>
        <w:t xml:space="preserve"> </w:t>
      </w:r>
      <w:r>
        <w:rPr>
          <w:i/>
          <w:iCs/>
        </w:rPr>
        <w:t xml:space="preserve">Predictive Modeling</w:t>
      </w:r>
      <w:r>
        <w:t xml:space="preserve"> </w:t>
      </w:r>
      <w:r>
        <w:t xml:space="preserve">(1st ed. 2013, Corr. 2nd printing 2018 edition). Springer.</w:t>
      </w:r>
      <w:r>
        <w:t xml:space="preserve"> </w:t>
      </w:r>
      <w:hyperlink r:id="rId320">
        <w:r>
          <w:rPr>
            <w:rStyle w:val="Hyperlink"/>
          </w:rPr>
          <w:t xml:space="preserve">https://doi.org/10.1007/978-1-4614-6849-3</w:t>
        </w:r>
      </w:hyperlink>
    </w:p>
    <w:bookmarkEnd w:id="321"/>
    <w:bookmarkStart w:id="322" w:name="ref-kuhnTidymodelsCollectionPackages2020"/>
    <w:p>
      <w:pPr>
        <w:pStyle w:val="Bibliography"/>
      </w:pPr>
      <w:r>
        <w:t xml:space="preserve">Kuhn, M., &amp; Wickham, H. (2020).</w:t>
      </w:r>
      <w:r>
        <w:t xml:space="preserve"> </w:t>
      </w:r>
      <w:r>
        <w:rPr>
          <w:i/>
          <w:iCs/>
        </w:rPr>
        <w:t xml:space="preserve">Tidymodels: A collection of packages for modeling and machine learning using tidyverse principles</w:t>
      </w:r>
      <w:r>
        <w:t xml:space="preserve">.</w:t>
      </w:r>
    </w:p>
    <w:bookmarkEnd w:id="322"/>
    <w:bookmarkStart w:id="324" w:name="ref-kullSigmoidsHowObtain2017"/>
    <w:p>
      <w:pPr>
        <w:pStyle w:val="Bibliography"/>
      </w:pPr>
      <w:r>
        <w:t xml:space="preserve">Kull, M., Filho, T. M. S., &amp; Flach, P. (2017). Beyond sigmoids:</w:t>
      </w:r>
      <w:r>
        <w:t xml:space="preserve"> </w:t>
      </w:r>
      <w:r>
        <w:t xml:space="preserve">How</w:t>
      </w:r>
      <w:r>
        <w:t xml:space="preserve"> </w:t>
      </w:r>
      <w:r>
        <w:t xml:space="preserve">to obtain well-calibrated probabilities from binary classifiers with beta calibration.</w:t>
      </w:r>
      <w:r>
        <w:t xml:space="preserve"> </w:t>
      </w:r>
      <w:r>
        <w:rPr>
          <w:i/>
          <w:iCs/>
        </w:rPr>
        <w:t xml:space="preserve">Electronic Journal of Statistics</w:t>
      </w:r>
      <w:r>
        <w:t xml:space="preserve">,</w:t>
      </w:r>
      <w:r>
        <w:t xml:space="preserve"> </w:t>
      </w:r>
      <w:r>
        <w:rPr>
          <w:i/>
          <w:iCs/>
        </w:rPr>
        <w:t xml:space="preserve">11</w:t>
      </w:r>
      <w:r>
        <w:t xml:space="preserve">(2), 5052–5080.</w:t>
      </w:r>
      <w:r>
        <w:t xml:space="preserve"> </w:t>
      </w:r>
      <w:hyperlink r:id="rId323">
        <w:r>
          <w:rPr>
            <w:rStyle w:val="Hyperlink"/>
          </w:rPr>
          <w:t xml:space="preserve">https://doi.org/10.1214/17-EJS1338SI</w:t>
        </w:r>
      </w:hyperlink>
    </w:p>
    <w:bookmarkEnd w:id="324"/>
    <w:bookmarkStart w:id="326" w:name="ref-leeUrbanRuralDisparities2023"/>
    <w:p>
      <w:pPr>
        <w:pStyle w:val="Bibliography"/>
      </w:pPr>
      <w:r>
        <w:t xml:space="preserve">Lee, J. H., Wheeler, D. C., Zimmerman, E. B., Hines, A. L., &amp; Chapman, D. A. (2023). Urban–</w:t>
      </w:r>
      <w:r>
        <w:t xml:space="preserve">Rural Disparities</w:t>
      </w:r>
      <w:r>
        <w:t xml:space="preserve"> </w:t>
      </w:r>
      <w:r>
        <w:t xml:space="preserve">in</w:t>
      </w:r>
      <w:r>
        <w:t xml:space="preserve"> </w:t>
      </w:r>
      <w:r>
        <w:t xml:space="preserve">Deaths</w:t>
      </w:r>
      <w:r>
        <w:t xml:space="preserve"> </w:t>
      </w:r>
      <w:r>
        <w:t xml:space="preserve">of</w:t>
      </w:r>
      <w:r>
        <w:t xml:space="preserve"> </w:t>
      </w:r>
      <w:r>
        <w:t xml:space="preserve">Despair</w:t>
      </w:r>
      <w:r>
        <w:t xml:space="preserve">:</w:t>
      </w:r>
      <w:r>
        <w:t xml:space="preserve"> </w:t>
      </w:r>
      <w:r>
        <w:t xml:space="preserve">A County-Level Analysis</w:t>
      </w:r>
      <w:r>
        <w:t xml:space="preserve"> </w:t>
      </w:r>
      <w:r>
        <w:t xml:space="preserve">2004–2016 in the</w:t>
      </w:r>
      <w:r>
        <w:t xml:space="preserve"> </w:t>
      </w:r>
      <w:r>
        <w:t xml:space="preserve">U</w:t>
      </w:r>
      <w:r>
        <w:t xml:space="preserve">.</w:t>
      </w:r>
      <w:r>
        <w:t xml:space="preserve">S</w:t>
      </w:r>
      <w:r>
        <w:t xml:space="preserve">.</w:t>
      </w:r>
      <w:r>
        <w:t xml:space="preserve"> </w:t>
      </w:r>
      <w:r>
        <w:rPr>
          <w:i/>
          <w:iCs/>
        </w:rPr>
        <w:t xml:space="preserve">American Journal of Preventive Medicine</w:t>
      </w:r>
      <w:r>
        <w:t xml:space="preserve">,</w:t>
      </w:r>
      <w:r>
        <w:t xml:space="preserve"> </w:t>
      </w:r>
      <w:r>
        <w:rPr>
          <w:i/>
          <w:iCs/>
        </w:rPr>
        <w:t xml:space="preserve">64</w:t>
      </w:r>
      <w:r>
        <w:t xml:space="preserve">(2), 149–156.</w:t>
      </w:r>
      <w:r>
        <w:t xml:space="preserve"> </w:t>
      </w:r>
      <w:hyperlink r:id="rId325">
        <w:r>
          <w:rPr>
            <w:rStyle w:val="Hyperlink"/>
          </w:rPr>
          <w:t xml:space="preserve">https://doi.org/10.1016/j.amepre.2022.08.022</w:t>
        </w:r>
      </w:hyperlink>
    </w:p>
    <w:bookmarkEnd w:id="326"/>
    <w:bookmarkStart w:id="327" w:name="X0943ff04c0b05099bf4a8c8078db37e3463cff7"/>
    <w:p>
      <w:pPr>
        <w:pStyle w:val="Bibliography"/>
      </w:pPr>
      <w:r>
        <w:t xml:space="preserve">Liese, B. S., &amp; Beck, A. T. (2022).</w:t>
      </w:r>
      <w:r>
        <w:t xml:space="preserve"> </w:t>
      </w:r>
      <w:r>
        <w:rPr>
          <w:i/>
          <w:iCs/>
        </w:rPr>
        <w:t xml:space="preserve">Cognitive-</w:t>
      </w:r>
      <w:r>
        <w:rPr>
          <w:i/>
          <w:iCs/>
        </w:rPr>
        <w:t xml:space="preserve">Behavioral Therapy</w:t>
      </w:r>
      <w:r>
        <w:rPr>
          <w:i/>
          <w:iCs/>
        </w:rPr>
        <w:t xml:space="preserve"> </w:t>
      </w:r>
      <w:r>
        <w:rPr>
          <w:i/>
          <w:iCs/>
        </w:rPr>
        <w:t xml:space="preserve">of</w:t>
      </w:r>
      <w:r>
        <w:rPr>
          <w:i/>
          <w:iCs/>
        </w:rPr>
        <w:t xml:space="preserve"> </w:t>
      </w:r>
      <w:r>
        <w:rPr>
          <w:i/>
          <w:iCs/>
        </w:rPr>
        <w:t xml:space="preserve">Addictive Disorders</w:t>
      </w:r>
      <w:r>
        <w:t xml:space="preserve"> </w:t>
      </w:r>
      <w:r>
        <w:t xml:space="preserve">(First edition). The Guilford Press.</w:t>
      </w:r>
    </w:p>
    <w:bookmarkEnd w:id="327"/>
    <w:bookmarkStart w:id="329" w:name="Xaa720cc9c8d959b428cd2035783815a9cba15e0"/>
    <w:p>
      <w:pPr>
        <w:pStyle w:val="Bibliography"/>
      </w:pPr>
      <w:r>
        <w:t xml:space="preserve">Lister, J. J., Weaver, A., Ellis, J. D., Himle, J. A., &amp; Ledgerwood, D. M. (2020). A systematic review of rural-specific barriers to medication treatment for opioid use disorder in the</w:t>
      </w:r>
      <w:r>
        <w:t xml:space="preserve"> </w:t>
      </w:r>
      <w:r>
        <w:t xml:space="preserve">United States</w:t>
      </w:r>
      <w:r>
        <w:t xml:space="preserve">.</w:t>
      </w:r>
      <w:r>
        <w:t xml:space="preserve"> </w:t>
      </w:r>
      <w:r>
        <w:rPr>
          <w:i/>
          <w:iCs/>
        </w:rPr>
        <w:t xml:space="preserve">The American Journal of Drug and Alcohol Abuse</w:t>
      </w:r>
      <w:r>
        <w:t xml:space="preserve">,</w:t>
      </w:r>
      <w:r>
        <w:t xml:space="preserve"> </w:t>
      </w:r>
      <w:r>
        <w:rPr>
          <w:i/>
          <w:iCs/>
        </w:rPr>
        <w:t xml:space="preserve">46</w:t>
      </w:r>
      <w:r>
        <w:t xml:space="preserve">(3), 273–288.</w:t>
      </w:r>
      <w:r>
        <w:t xml:space="preserve"> </w:t>
      </w:r>
      <w:hyperlink r:id="rId328">
        <w:r>
          <w:rPr>
            <w:rStyle w:val="Hyperlink"/>
          </w:rPr>
          <w:t xml:space="preserve">https://doi.org/10.1080/00952990.2019.1694536</w:t>
        </w:r>
      </w:hyperlink>
    </w:p>
    <w:bookmarkEnd w:id="329"/>
    <w:bookmarkStart w:id="331" w:name="ref-lofaroRuralUrbanDifferences2025"/>
    <w:p>
      <w:pPr>
        <w:pStyle w:val="Bibliography"/>
      </w:pPr>
      <w:r>
        <w:t xml:space="preserve">Lofaro, R. J., Bohler, R. M., Spurgeon, R., &amp; Mase, W. A. (2025). Rural and urban differences in treatment on demand for substance use treatment involving medications for opioid use disorder.</w:t>
      </w:r>
      <w:r>
        <w:t xml:space="preserve"> </w:t>
      </w:r>
      <w:r>
        <w:rPr>
          <w:i/>
          <w:iCs/>
        </w:rPr>
        <w:t xml:space="preserve">The Journal of Rural Health</w:t>
      </w:r>
      <w:r>
        <w:t xml:space="preserve">,</w:t>
      </w:r>
      <w:r>
        <w:t xml:space="preserve"> </w:t>
      </w:r>
      <w:r>
        <w:rPr>
          <w:i/>
          <w:iCs/>
        </w:rPr>
        <w:t xml:space="preserve">41</w:t>
      </w:r>
      <w:r>
        <w:t xml:space="preserve">(3), e70076.</w:t>
      </w:r>
      <w:r>
        <w:t xml:space="preserve"> </w:t>
      </w:r>
      <w:hyperlink r:id="rId330">
        <w:r>
          <w:rPr>
            <w:rStyle w:val="Hyperlink"/>
          </w:rPr>
          <w:t xml:space="preserve">https://doi.org/10.1111/jrh.70076</w:t>
        </w:r>
      </w:hyperlink>
    </w:p>
    <w:bookmarkEnd w:id="331"/>
    <w:bookmarkStart w:id="332" w:name="X34be55f2a2ff67a14e7206627bb93b426490c87"/>
    <w:p>
      <w:pPr>
        <w:pStyle w:val="Bibliography"/>
      </w:pPr>
      <w:r>
        <w:t xml:space="preserve">Lundberg, S. M., &amp; Lee, S.-I. (2017). A unified approach to interpreting model predictions.</w:t>
      </w:r>
      <w:r>
        <w:t xml:space="preserve"> </w:t>
      </w:r>
      <w:r>
        <w:rPr>
          <w:i/>
          <w:iCs/>
        </w:rPr>
        <w:t xml:space="preserve">Proceedings of the 31st</w:t>
      </w:r>
      <w:r>
        <w:rPr>
          <w:i/>
          <w:iCs/>
        </w:rPr>
        <w:t xml:space="preserve"> </w:t>
      </w:r>
      <w:r>
        <w:rPr>
          <w:i/>
          <w:iCs/>
        </w:rPr>
        <w:t xml:space="preserve">International Conference</w:t>
      </w:r>
      <w:r>
        <w:rPr>
          <w:i/>
          <w:iCs/>
        </w:rPr>
        <w:t xml:space="preserve"> </w:t>
      </w:r>
      <w:r>
        <w:rPr>
          <w:i/>
          <w:iCs/>
        </w:rPr>
        <w:t xml:space="preserve">on</w:t>
      </w:r>
      <w:r>
        <w:rPr>
          <w:i/>
          <w:iCs/>
        </w:rPr>
        <w:t xml:space="preserve"> </w:t>
      </w:r>
      <w:r>
        <w:rPr>
          <w:i/>
          <w:iCs/>
        </w:rPr>
        <w:t xml:space="preserve">Neural Information Processing Systems</w:t>
      </w:r>
      <w:r>
        <w:rPr>
          <w:i/>
          <w:iCs/>
        </w:rPr>
        <w:t xml:space="preserve">,</w:t>
      </w:r>
      <w:r>
        <w:rPr>
          <w:i/>
          <w:iCs/>
        </w:rPr>
        <w:t xml:space="preserve"> </w:t>
      </w:r>
      <w:r>
        <w:rPr>
          <w:i/>
          <w:iCs/>
        </w:rPr>
        <w:t xml:space="preserve">NIPS</w:t>
      </w:r>
      <w:r>
        <w:rPr>
          <w:i/>
          <w:iCs/>
        </w:rPr>
        <w:t xml:space="preserve">’17</w:t>
      </w:r>
      <w:r>
        <w:t xml:space="preserve">, 4768–4777.</w:t>
      </w:r>
    </w:p>
    <w:bookmarkEnd w:id="332"/>
    <w:bookmarkStart w:id="334" w:name="Xcd5b1eed29ae982ceb2faccc95458d58289f03d"/>
    <w:p>
      <w:pPr>
        <w:pStyle w:val="Bibliography"/>
      </w:pPr>
      <w:r>
        <w:t xml:space="preserve">Ma, J., Bao, Y.-P., Wang, R.-J., Su, M.-F., Liu, M.-X., Li, J.-Q., Degenhardt, L., Farrell, M., Blow, F. C., Ilgen, M., Shi, J., &amp; Lu, L. (2019). Effects of medication-assisted treatment on mortality among opioids users: A systematic review and meta-analysis.</w:t>
      </w:r>
      <w:r>
        <w:t xml:space="preserve"> </w:t>
      </w:r>
      <w:r>
        <w:rPr>
          <w:i/>
          <w:iCs/>
        </w:rPr>
        <w:t xml:space="preserve">Molecular Psychiatry</w:t>
      </w:r>
      <w:r>
        <w:t xml:space="preserve">,</w:t>
      </w:r>
      <w:r>
        <w:t xml:space="preserve"> </w:t>
      </w:r>
      <w:r>
        <w:rPr>
          <w:i/>
          <w:iCs/>
        </w:rPr>
        <w:t xml:space="preserve">24</w:t>
      </w:r>
      <w:r>
        <w:t xml:space="preserve">(12), 1868–1883.</w:t>
      </w:r>
      <w:r>
        <w:t xml:space="preserve"> </w:t>
      </w:r>
      <w:hyperlink r:id="rId333">
        <w:r>
          <w:rPr>
            <w:rStyle w:val="Hyperlink"/>
          </w:rPr>
          <w:t xml:space="preserve">https://doi.org/10.1038/s41380-018-0094-5</w:t>
        </w:r>
      </w:hyperlink>
    </w:p>
    <w:bookmarkEnd w:id="334"/>
    <w:bookmarkStart w:id="336" w:name="X4d20b0be6ebc81777412f3b2cdfafe4bd20f4d6"/>
    <w:p>
      <w:pPr>
        <w:pStyle w:val="Bibliography"/>
      </w:pPr>
      <w:r>
        <w:t xml:space="preserve">Mandrekar, J. N. (2010). Receiver operating characteristic curve in diagnostic test assessment.</w:t>
      </w:r>
      <w:r>
        <w:t xml:space="preserve"> </w:t>
      </w:r>
      <w:r>
        <w:rPr>
          <w:i/>
          <w:iCs/>
        </w:rPr>
        <w:t xml:space="preserve">Journal of Thoracic Oncology: Official Publication of the International Association for the Study of Lung Cancer</w:t>
      </w:r>
      <w:r>
        <w:t xml:space="preserve">,</w:t>
      </w:r>
      <w:r>
        <w:t xml:space="preserve"> </w:t>
      </w:r>
      <w:r>
        <w:rPr>
          <w:i/>
          <w:iCs/>
        </w:rPr>
        <w:t xml:space="preserve">5</w:t>
      </w:r>
      <w:r>
        <w:t xml:space="preserve">(9), 1315–1316.</w:t>
      </w:r>
      <w:r>
        <w:t xml:space="preserve"> </w:t>
      </w:r>
      <w:hyperlink r:id="rId335">
        <w:r>
          <w:rPr>
            <w:rStyle w:val="Hyperlink"/>
          </w:rPr>
          <w:t xml:space="preserve">https://doi.org/10.1097/JTO.0b013e3181ec173d</w:t>
        </w:r>
      </w:hyperlink>
    </w:p>
    <w:bookmarkEnd w:id="336"/>
    <w:bookmarkStart w:id="337" w:name="ref-marlattRelapsePreventionSecond2007"/>
    <w:p>
      <w:pPr>
        <w:pStyle w:val="Bibliography"/>
      </w:pPr>
      <w:r>
        <w:t xml:space="preserve">Marlatt, G. A., &amp; Donovan, D. M. (Eds.). (2007).</w:t>
      </w:r>
      <w:r>
        <w:t xml:space="preserve"> </w:t>
      </w:r>
      <w:r>
        <w:rPr>
          <w:i/>
          <w:iCs/>
        </w:rPr>
        <w:t xml:space="preserve">Relapse</w:t>
      </w:r>
      <w:r>
        <w:rPr>
          <w:i/>
          <w:iCs/>
        </w:rPr>
        <w:t xml:space="preserve"> </w:t>
      </w:r>
      <w:r>
        <w:rPr>
          <w:i/>
          <w:iCs/>
        </w:rPr>
        <w:t xml:space="preserve">Prevention</w:t>
      </w:r>
      <w:r>
        <w:rPr>
          <w:i/>
          <w:iCs/>
        </w:rPr>
        <w:t xml:space="preserve">,</w:t>
      </w:r>
      <w:r>
        <w:rPr>
          <w:i/>
          <w:iCs/>
        </w:rPr>
        <w:t xml:space="preserve"> </w:t>
      </w:r>
      <w:r>
        <w:rPr>
          <w:i/>
          <w:iCs/>
        </w:rPr>
        <w:t xml:space="preserve">Second Edition</w:t>
      </w:r>
      <w:r>
        <w:rPr>
          <w:i/>
          <w:iCs/>
        </w:rPr>
        <w:t xml:space="preserve">:</w:t>
      </w:r>
      <w:r>
        <w:rPr>
          <w:i/>
          <w:iCs/>
        </w:rPr>
        <w:t xml:space="preserve"> </w:t>
      </w:r>
      <w:r>
        <w:rPr>
          <w:i/>
          <w:iCs/>
        </w:rPr>
        <w:t xml:space="preserve">Maintenance Strategies</w:t>
      </w:r>
      <w:r>
        <w:rPr>
          <w:i/>
          <w:iCs/>
        </w:rPr>
        <w:t xml:space="preserve"> </w:t>
      </w:r>
      <w:r>
        <w:rPr>
          <w:i/>
          <w:iCs/>
        </w:rPr>
        <w:t xml:space="preserve">in the</w:t>
      </w:r>
      <w:r>
        <w:rPr>
          <w:i/>
          <w:iCs/>
        </w:rPr>
        <w:t xml:space="preserve"> </w:t>
      </w:r>
      <w:r>
        <w:rPr>
          <w:i/>
          <w:iCs/>
        </w:rPr>
        <w:t xml:space="preserve">Treatment</w:t>
      </w:r>
      <w:r>
        <w:rPr>
          <w:i/>
          <w:iCs/>
        </w:rPr>
        <w:t xml:space="preserve"> </w:t>
      </w:r>
      <w:r>
        <w:rPr>
          <w:i/>
          <w:iCs/>
        </w:rPr>
        <w:t xml:space="preserve">of</w:t>
      </w:r>
      <w:r>
        <w:rPr>
          <w:i/>
          <w:iCs/>
        </w:rPr>
        <w:t xml:space="preserve"> </w:t>
      </w:r>
      <w:r>
        <w:rPr>
          <w:i/>
          <w:iCs/>
        </w:rPr>
        <w:t xml:space="preserve">Addictive Behaviors</w:t>
      </w:r>
      <w:r>
        <w:t xml:space="preserve"> </w:t>
      </w:r>
      <w:r>
        <w:t xml:space="preserve">(2nd edition). The Guilford Press.</w:t>
      </w:r>
    </w:p>
    <w:bookmarkEnd w:id="337"/>
    <w:bookmarkStart w:id="338" w:name="X0900e084d2d8751b94683f82b04534ea811d54e"/>
    <w:p>
      <w:pPr>
        <w:pStyle w:val="Bibliography"/>
      </w:pPr>
      <w:r>
        <w:t xml:space="preserve">Marlatt, G. A., &amp; Gordon, J. R. (Eds.). (1985).</w:t>
      </w:r>
      <w:r>
        <w:t xml:space="preserve"> </w:t>
      </w:r>
      <w:r>
        <w:rPr>
          <w:i/>
          <w:iCs/>
        </w:rPr>
        <w:t xml:space="preserve">Relapse</w:t>
      </w:r>
      <w:r>
        <w:rPr>
          <w:i/>
          <w:iCs/>
        </w:rPr>
        <w:t xml:space="preserve"> </w:t>
      </w:r>
      <w:r>
        <w:rPr>
          <w:i/>
          <w:iCs/>
        </w:rPr>
        <w:t xml:space="preserve">Prevention</w:t>
      </w:r>
      <w:r>
        <w:rPr>
          <w:i/>
          <w:iCs/>
        </w:rPr>
        <w:t xml:space="preserve">:</w:t>
      </w:r>
      <w:r>
        <w:rPr>
          <w:i/>
          <w:iCs/>
        </w:rPr>
        <w:t xml:space="preserve"> </w:t>
      </w:r>
      <w:r>
        <w:rPr>
          <w:i/>
          <w:iCs/>
        </w:rPr>
        <w:t xml:space="preserve">Maintenance Strategies</w:t>
      </w:r>
      <w:r>
        <w:rPr>
          <w:i/>
          <w:iCs/>
        </w:rPr>
        <w:t xml:space="preserve"> </w:t>
      </w:r>
      <w:r>
        <w:rPr>
          <w:i/>
          <w:iCs/>
        </w:rPr>
        <w:t xml:space="preserve">in the</w:t>
      </w:r>
      <w:r>
        <w:rPr>
          <w:i/>
          <w:iCs/>
        </w:rPr>
        <w:t xml:space="preserve"> </w:t>
      </w:r>
      <w:r>
        <w:rPr>
          <w:i/>
          <w:iCs/>
        </w:rPr>
        <w:t xml:space="preserve">Treatment</w:t>
      </w:r>
      <w:r>
        <w:rPr>
          <w:i/>
          <w:iCs/>
        </w:rPr>
        <w:t xml:space="preserve"> </w:t>
      </w:r>
      <w:r>
        <w:rPr>
          <w:i/>
          <w:iCs/>
        </w:rPr>
        <w:t xml:space="preserve">of</w:t>
      </w:r>
      <w:r>
        <w:rPr>
          <w:i/>
          <w:iCs/>
        </w:rPr>
        <w:t xml:space="preserve"> </w:t>
      </w:r>
      <w:r>
        <w:rPr>
          <w:i/>
          <w:iCs/>
        </w:rPr>
        <w:t xml:space="preserve">Addictive Behaviors</w:t>
      </w:r>
      <w:r>
        <w:t xml:space="preserve"> </w:t>
      </w:r>
      <w:r>
        <w:t xml:space="preserve">(First edition). The Guilford Press.</w:t>
      </w:r>
    </w:p>
    <w:bookmarkEnd w:id="338"/>
    <w:bookmarkStart w:id="340" w:name="ref-martinNeedReceiptSubstance2022"/>
    <w:p>
      <w:pPr>
        <w:pStyle w:val="Bibliography"/>
      </w:pPr>
      <w:r>
        <w:t xml:space="preserve">Martin, C. E., Parlier-Ahmad, A. B., Beck, L., Scialli, A., &amp; Terplan, M. (2022). Need for and</w:t>
      </w:r>
      <w:r>
        <w:t xml:space="preserve"> </w:t>
      </w:r>
      <w:r>
        <w:t xml:space="preserve">Receipt</w:t>
      </w:r>
      <w:r>
        <w:t xml:space="preserve"> </w:t>
      </w:r>
      <w:r>
        <w:t xml:space="preserve">of</w:t>
      </w:r>
      <w:r>
        <w:t xml:space="preserve"> </w:t>
      </w:r>
      <w:r>
        <w:t xml:space="preserve">Substance Use Disorder Treatment Among Adults</w:t>
      </w:r>
      <w:r>
        <w:t xml:space="preserve">, by</w:t>
      </w:r>
      <w:r>
        <w:t xml:space="preserve"> </w:t>
      </w:r>
      <w:r>
        <w:t xml:space="preserve">Gender</w:t>
      </w:r>
      <w:r>
        <w:t xml:space="preserve">, in the</w:t>
      </w:r>
      <w:r>
        <w:t xml:space="preserve"> </w:t>
      </w:r>
      <w:r>
        <w:t xml:space="preserve">United States</w:t>
      </w:r>
      <w:r>
        <w:t xml:space="preserve">.</w:t>
      </w:r>
      <w:r>
        <w:t xml:space="preserve"> </w:t>
      </w:r>
      <w:r>
        <w:rPr>
          <w:i/>
          <w:iCs/>
        </w:rPr>
        <w:t xml:space="preserve">Public Health Reports</w:t>
      </w:r>
      <w:r>
        <w:rPr>
          <w:i/>
          <w:iCs/>
        </w:rPr>
        <w:t xml:space="preserve">®</w:t>
      </w:r>
      <w:r>
        <w:t xml:space="preserve">,</w:t>
      </w:r>
      <w:r>
        <w:t xml:space="preserve"> </w:t>
      </w:r>
      <w:r>
        <w:rPr>
          <w:i/>
          <w:iCs/>
        </w:rPr>
        <w:t xml:space="preserve">137</w:t>
      </w:r>
      <w:r>
        <w:t xml:space="preserve">(5), 955–963.</w:t>
      </w:r>
      <w:r>
        <w:t xml:space="preserve"> </w:t>
      </w:r>
      <w:hyperlink r:id="rId339">
        <w:r>
          <w:rPr>
            <w:rStyle w:val="Hyperlink"/>
          </w:rPr>
          <w:t xml:space="preserve">https://doi.org/10.1177/00333549211041554</w:t>
        </w:r>
      </w:hyperlink>
    </w:p>
    <w:bookmarkEnd w:id="340"/>
    <w:bookmarkStart w:id="341" w:name="Xb55b40a3d7f46ba5e03427f7cd05843a1612710"/>
    <w:p>
      <w:pPr>
        <w:pStyle w:val="Bibliography"/>
      </w:pPr>
      <w:r>
        <w:t xml:space="preserve">Marwick, A. E., &amp; Boyd, D. (2018). Privacy at the</w:t>
      </w:r>
      <w:r>
        <w:t xml:space="preserve"> </w:t>
      </w:r>
      <w:r>
        <w:t xml:space="preserve">Margins</w:t>
      </w:r>
      <w:r>
        <w:t xml:space="preserve"> </w:t>
      </w:r>
      <w:r>
        <w:t xml:space="preserve">Understanding Privacy</w:t>
      </w:r>
      <w:r>
        <w:t xml:space="preserve"> </w:t>
      </w:r>
      <w:r>
        <w:t xml:space="preserve">at the</w:t>
      </w:r>
      <w:r>
        <w:t xml:space="preserve"> </w:t>
      </w:r>
      <w:r>
        <w:t xml:space="preserve">Margins</w:t>
      </w:r>
      <w:r>
        <w:t xml:space="preserve">—</w:t>
      </w:r>
      <w:r>
        <w:t xml:space="preserve">Introduction</w:t>
      </w:r>
      <w:r>
        <w:t xml:space="preserve">.</w:t>
      </w:r>
      <w:r>
        <w:t xml:space="preserve"> </w:t>
      </w:r>
      <w:r>
        <w:rPr>
          <w:i/>
          <w:iCs/>
        </w:rPr>
        <w:t xml:space="preserve">International Journal of Communication</w:t>
      </w:r>
      <w:r>
        <w:t xml:space="preserve">,</w:t>
      </w:r>
      <w:r>
        <w:t xml:space="preserve"> </w:t>
      </w:r>
      <w:r>
        <w:rPr>
          <w:i/>
          <w:iCs/>
        </w:rPr>
        <w:t xml:space="preserve">12</w:t>
      </w:r>
      <w:r>
        <w:t xml:space="preserve">(0), 9.</w:t>
      </w:r>
    </w:p>
    <w:bookmarkEnd w:id="341"/>
    <w:bookmarkStart w:id="343" w:name="X1e16a8cc741ec7d68b9bde12ee2c181d9d36a93"/>
    <w:p>
      <w:pPr>
        <w:pStyle w:val="Bibliography"/>
      </w:pPr>
      <w:r>
        <w:t xml:space="preserve">McHugh, R. K., Hearon, B. A., &amp; Otto, M. W. (2010). Cognitive-</w:t>
      </w:r>
      <w:r>
        <w:t xml:space="preserve">Behavioral Therapy</w:t>
      </w:r>
      <w:r>
        <w:t xml:space="preserve"> </w:t>
      </w:r>
      <w:r>
        <w:t xml:space="preserve">for</w:t>
      </w:r>
      <w:r>
        <w:t xml:space="preserve"> </w:t>
      </w:r>
      <w:r>
        <w:t xml:space="preserve">Substance Use Disorders</w:t>
      </w:r>
      <w:r>
        <w:t xml:space="preserve">.</w:t>
      </w:r>
      <w:r>
        <w:t xml:space="preserve"> </w:t>
      </w:r>
      <w:r>
        <w:rPr>
          <w:i/>
          <w:iCs/>
        </w:rPr>
        <w:t xml:space="preserve">The Psychiatric Clinics of North America</w:t>
      </w:r>
      <w:r>
        <w:t xml:space="preserve">,</w:t>
      </w:r>
      <w:r>
        <w:t xml:space="preserve"> </w:t>
      </w:r>
      <w:r>
        <w:rPr>
          <w:i/>
          <w:iCs/>
        </w:rPr>
        <w:t xml:space="preserve">33</w:t>
      </w:r>
      <w:r>
        <w:t xml:space="preserve">(3), 511–525.</w:t>
      </w:r>
      <w:r>
        <w:t xml:space="preserve"> </w:t>
      </w:r>
      <w:hyperlink r:id="rId342">
        <w:r>
          <w:rPr>
            <w:rStyle w:val="Hyperlink"/>
          </w:rPr>
          <w:t xml:space="preserve">https://doi.org/10.1016/j.psc.2010.04.012</w:t>
        </w:r>
      </w:hyperlink>
    </w:p>
    <w:bookmarkEnd w:id="343"/>
    <w:bookmarkStart w:id="345" w:name="ref-mchughSexGenderDifferences2018"/>
    <w:p>
      <w:pPr>
        <w:pStyle w:val="Bibliography"/>
      </w:pPr>
      <w:r>
        <w:t xml:space="preserve">McHugh, R. K., Votaw, V. R., Sugarman, D. E., &amp; Greenfield, S. F. (2018). Sex and gender differences in substance use disorders.</w:t>
      </w:r>
      <w:r>
        <w:t xml:space="preserve"> </w:t>
      </w:r>
      <w:r>
        <w:rPr>
          <w:i/>
          <w:iCs/>
        </w:rPr>
        <w:t xml:space="preserve">Clinical Psychology Review</w:t>
      </w:r>
      <w:r>
        <w:t xml:space="preserve">,</w:t>
      </w:r>
      <w:r>
        <w:t xml:space="preserve"> </w:t>
      </w:r>
      <w:r>
        <w:rPr>
          <w:i/>
          <w:iCs/>
        </w:rPr>
        <w:t xml:space="preserve">66</w:t>
      </w:r>
      <w:r>
        <w:t xml:space="preserve">, 12–23.</w:t>
      </w:r>
      <w:r>
        <w:t xml:space="preserve"> </w:t>
      </w:r>
      <w:hyperlink r:id="rId344">
        <w:r>
          <w:rPr>
            <w:rStyle w:val="Hyperlink"/>
          </w:rPr>
          <w:t xml:space="preserve">https://doi.org/10.1016/j.cpr.2017.10.012</w:t>
        </w:r>
      </w:hyperlink>
    </w:p>
    <w:bookmarkEnd w:id="345"/>
    <w:bookmarkStart w:id="347" w:name="ref-mckayImpactContinuingCare2021"/>
    <w:p>
      <w:pPr>
        <w:pStyle w:val="Bibliography"/>
      </w:pPr>
      <w:r>
        <w:t xml:space="preserve">McKay, J. R. (2021). Impact of</w:t>
      </w:r>
      <w:r>
        <w:t xml:space="preserve"> </w:t>
      </w:r>
      <w:r>
        <w:t xml:space="preserve">Continuing Care</w:t>
      </w:r>
      <w:r>
        <w:t xml:space="preserve"> </w:t>
      </w:r>
      <w:r>
        <w:t xml:space="preserve">on</w:t>
      </w:r>
      <w:r>
        <w:t xml:space="preserve"> </w:t>
      </w:r>
      <w:r>
        <w:t xml:space="preserve">Recovery From Substance Use Disorder</w:t>
      </w:r>
      <w:r>
        <w:t xml:space="preserve">.</w:t>
      </w:r>
      <w:r>
        <w:t xml:space="preserve"> </w:t>
      </w:r>
      <w:r>
        <w:rPr>
          <w:i/>
          <w:iCs/>
        </w:rPr>
        <w:t xml:space="preserve">Alcohol Research : Current Reviews</w:t>
      </w:r>
      <w:r>
        <w:t xml:space="preserve">,</w:t>
      </w:r>
      <w:r>
        <w:t xml:space="preserve"> </w:t>
      </w:r>
      <w:r>
        <w:rPr>
          <w:i/>
          <w:iCs/>
        </w:rPr>
        <w:t xml:space="preserve">41</w:t>
      </w:r>
      <w:r>
        <w:t xml:space="preserve">(1), 01.</w:t>
      </w:r>
      <w:r>
        <w:t xml:space="preserve"> </w:t>
      </w:r>
      <w:hyperlink r:id="rId346">
        <w:r>
          <w:rPr>
            <w:rStyle w:val="Hyperlink"/>
          </w:rPr>
          <w:t xml:space="preserve">https://doi.org/10.35946/arcr.v41.1.01</w:t>
        </w:r>
      </w:hyperlink>
    </w:p>
    <w:bookmarkEnd w:id="347"/>
    <w:bookmarkStart w:id="349" w:name="ref-mclellanDrugDependenceChronic2000"/>
    <w:p>
      <w:pPr>
        <w:pStyle w:val="Bibliography"/>
      </w:pPr>
      <w:r>
        <w:t xml:space="preserve">McLellan, A. T., Lewis, D. C., O’Brien, C. P., &amp; Kleber, H. D. (2000). Drug dependence, a chronic medical illness: Implications for treatment, insurance, and outcomes evaluation.</w:t>
      </w:r>
      <w:r>
        <w:t xml:space="preserve"> </w:t>
      </w:r>
      <w:r>
        <w:rPr>
          <w:i/>
          <w:iCs/>
        </w:rPr>
        <w:t xml:space="preserve">JAMA</w:t>
      </w:r>
      <w:r>
        <w:t xml:space="preserve">,</w:t>
      </w:r>
      <w:r>
        <w:t xml:space="preserve"> </w:t>
      </w:r>
      <w:r>
        <w:rPr>
          <w:i/>
          <w:iCs/>
        </w:rPr>
        <w:t xml:space="preserve">284</w:t>
      </w:r>
      <w:r>
        <w:t xml:space="preserve">(13), 1689–1695.</w:t>
      </w:r>
      <w:r>
        <w:t xml:space="preserve"> </w:t>
      </w:r>
      <w:hyperlink r:id="rId348">
        <w:r>
          <w:rPr>
            <w:rStyle w:val="Hyperlink"/>
          </w:rPr>
          <w:t xml:space="preserve">https://doi.org/10.1001/jama.284.13.1689</w:t>
        </w:r>
      </w:hyperlink>
    </w:p>
    <w:bookmarkEnd w:id="349"/>
    <w:bookmarkStart w:id="351" w:name="ref-meyersIntersectionGenderDrug2021"/>
    <w:p>
      <w:pPr>
        <w:pStyle w:val="Bibliography"/>
      </w:pPr>
      <w:r>
        <w:t xml:space="preserve">Meyers, S. A., Earnshaw, V. A., D’Ambrosio, B., Courchesne, N., Werb, D., &amp; Smith, L. R. (2021). The intersection of gender and drug use-related stigma:</w:t>
      </w:r>
      <w:r>
        <w:t xml:space="preserve"> </w:t>
      </w:r>
      <w:r>
        <w:t xml:space="preserve">A</w:t>
      </w:r>
      <w:r>
        <w:t xml:space="preserve"> </w:t>
      </w:r>
      <w:r>
        <w:t xml:space="preserve">mixed methods systematic review and synthesis of the literature.</w:t>
      </w:r>
      <w:r>
        <w:t xml:space="preserve"> </w:t>
      </w:r>
      <w:r>
        <w:rPr>
          <w:i/>
          <w:iCs/>
        </w:rPr>
        <w:t xml:space="preserve">Drug and Alcohol Dependence</w:t>
      </w:r>
      <w:r>
        <w:t xml:space="preserve">,</w:t>
      </w:r>
      <w:r>
        <w:t xml:space="preserve"> </w:t>
      </w:r>
      <w:r>
        <w:rPr>
          <w:i/>
          <w:iCs/>
        </w:rPr>
        <w:t xml:space="preserve">223</w:t>
      </w:r>
      <w:r>
        <w:t xml:space="preserve">, 108706.</w:t>
      </w:r>
      <w:r>
        <w:t xml:space="preserve"> </w:t>
      </w:r>
      <w:hyperlink r:id="rId350">
        <w:r>
          <w:rPr>
            <w:rStyle w:val="Hyperlink"/>
          </w:rPr>
          <w:t xml:space="preserve">https://doi.org/10.1016/j.drugalcdep.2021.108706</w:t>
        </w:r>
      </w:hyperlink>
    </w:p>
    <w:bookmarkEnd w:id="351"/>
    <w:bookmarkStart w:id="353" w:name="ref-mohrPersonalSensingUnderstanding2017"/>
    <w:p>
      <w:pPr>
        <w:pStyle w:val="Bibliography"/>
      </w:pPr>
      <w:r>
        <w:t xml:space="preserve">Mohr, D. C., Zhang, M., &amp; Schueller, S. M. (2017). Personal</w:t>
      </w:r>
      <w:r>
        <w:t xml:space="preserve"> </w:t>
      </w:r>
      <w:r>
        <w:t xml:space="preserve">Sensing</w:t>
      </w:r>
      <w:r>
        <w:t xml:space="preserve">:</w:t>
      </w:r>
      <w:r>
        <w:t xml:space="preserve"> </w:t>
      </w:r>
      <w:r>
        <w:t xml:space="preserve">Understanding Mental Health Using Ubiquitous Sensors</w:t>
      </w:r>
      <w:r>
        <w:t xml:space="preserve"> </w:t>
      </w:r>
      <w:r>
        <w:t xml:space="preserve">and</w:t>
      </w:r>
      <w:r>
        <w:t xml:space="preserve"> </w:t>
      </w:r>
      <w:r>
        <w:t xml:space="preserve">Machine Learning</w:t>
      </w:r>
      <w:r>
        <w:t xml:space="preserve">.</w:t>
      </w:r>
      <w:r>
        <w:t xml:space="preserve"> </w:t>
      </w:r>
      <w:r>
        <w:rPr>
          <w:i/>
          <w:iCs/>
        </w:rPr>
        <w:t xml:space="preserve">Annual Review of Clinical Psychology</w:t>
      </w:r>
      <w:r>
        <w:t xml:space="preserve">,</w:t>
      </w:r>
      <w:r>
        <w:t xml:space="preserve"> </w:t>
      </w:r>
      <w:r>
        <w:rPr>
          <w:i/>
          <w:iCs/>
        </w:rPr>
        <w:t xml:space="preserve">13</w:t>
      </w:r>
      <w:r>
        <w:t xml:space="preserve">(1), 23–47.</w:t>
      </w:r>
      <w:r>
        <w:t xml:space="preserve"> </w:t>
      </w:r>
      <w:hyperlink r:id="rId352">
        <w:r>
          <w:rPr>
            <w:rStyle w:val="Hyperlink"/>
          </w:rPr>
          <w:t xml:space="preserve">https://doi.org/10.1146/annurev-clinpsy-032816-044949</w:t>
        </w:r>
      </w:hyperlink>
    </w:p>
    <w:bookmarkEnd w:id="353"/>
    <w:bookmarkStart w:id="354" w:name="X0c0e928dd8ff101aa479012bffab8d24e8c0dcf"/>
    <w:p>
      <w:pPr>
        <w:pStyle w:val="Bibliography"/>
      </w:pPr>
      <w:r>
        <w:t xml:space="preserve">Molnar, C. (2022).</w:t>
      </w:r>
      <w:r>
        <w:t xml:space="preserve"> </w:t>
      </w:r>
      <w:r>
        <w:rPr>
          <w:i/>
          <w:iCs/>
        </w:rPr>
        <w:t xml:space="preserve">Interpretable</w:t>
      </w:r>
      <w:r>
        <w:rPr>
          <w:i/>
          <w:iCs/>
        </w:rPr>
        <w:t xml:space="preserve"> </w:t>
      </w:r>
      <w:r>
        <w:rPr>
          <w:i/>
          <w:iCs/>
        </w:rPr>
        <w:t xml:space="preserve">Machine Learning</w:t>
      </w:r>
      <w:r>
        <w:rPr>
          <w:i/>
          <w:iCs/>
        </w:rPr>
        <w:t xml:space="preserve">:</w:t>
      </w:r>
      <w:r>
        <w:rPr>
          <w:i/>
          <w:iCs/>
        </w:rPr>
        <w:t xml:space="preserve"> </w:t>
      </w:r>
      <w:r>
        <w:rPr>
          <w:i/>
          <w:iCs/>
        </w:rPr>
        <w:t xml:space="preserve">A Guide For Making Black Box Models Explainable</w:t>
      </w:r>
      <w:r>
        <w:t xml:space="preserve">. Independently published.</w:t>
      </w:r>
    </w:p>
    <w:bookmarkEnd w:id="354"/>
    <w:bookmarkStart w:id="356" w:name="X1f44e09282148d362bdacfce67d6a56b1cf06db"/>
    <w:p>
      <w:pPr>
        <w:pStyle w:val="Bibliography"/>
      </w:pPr>
      <w:r>
        <w:t xml:space="preserve">Moshontz, H., Colmenares, A. J., Fronk, G. E., Sant’Ana, S. J., Wyant, K., Wanta, S. E., Maus, A., Jr, D. H. G., Shah, D., &amp; Curtin, J. J. (2021). Prospective</w:t>
      </w:r>
      <w:r>
        <w:t xml:space="preserve"> </w:t>
      </w:r>
      <w:r>
        <w:t xml:space="preserve">Prediction</w:t>
      </w:r>
      <w:r>
        <w:t xml:space="preserve"> </w:t>
      </w:r>
      <w:r>
        <w:t xml:space="preserve">of</w:t>
      </w:r>
      <w:r>
        <w:t xml:space="preserve"> </w:t>
      </w:r>
      <w:r>
        <w:t xml:space="preserve">Lapses</w:t>
      </w:r>
      <w:r>
        <w:t xml:space="preserve"> </w:t>
      </w:r>
      <w:r>
        <w:t xml:space="preserve">in</w:t>
      </w:r>
      <w:r>
        <w:t xml:space="preserve"> </w:t>
      </w:r>
      <w:r>
        <w:t xml:space="preserve">Opioid Use Disorder</w:t>
      </w:r>
      <w:r>
        <w:t xml:space="preserve">:</w:t>
      </w:r>
      <w:r>
        <w:t xml:space="preserve"> </w:t>
      </w:r>
      <w:r>
        <w:t xml:space="preserve">Protocol</w:t>
      </w:r>
      <w:r>
        <w:t xml:space="preserve"> </w:t>
      </w:r>
      <w:r>
        <w:t xml:space="preserve">for a</w:t>
      </w:r>
      <w:r>
        <w:t xml:space="preserve"> </w:t>
      </w:r>
      <w:r>
        <w:t xml:space="preserve">Personal Sensing Study</w:t>
      </w:r>
      <w:r>
        <w:t xml:space="preserve">.</w:t>
      </w:r>
      <w:r>
        <w:t xml:space="preserve"> </w:t>
      </w:r>
      <w:r>
        <w:rPr>
          <w:i/>
          <w:iCs/>
        </w:rPr>
        <w:t xml:space="preserve">JMIR Research Protocols</w:t>
      </w:r>
      <w:r>
        <w:t xml:space="preserve">,</w:t>
      </w:r>
      <w:r>
        <w:t xml:space="preserve"> </w:t>
      </w:r>
      <w:r>
        <w:rPr>
          <w:i/>
          <w:iCs/>
        </w:rPr>
        <w:t xml:space="preserve">10</w:t>
      </w:r>
      <w:r>
        <w:t xml:space="preserve">(12), e29563.</w:t>
      </w:r>
      <w:r>
        <w:t xml:space="preserve"> </w:t>
      </w:r>
      <w:hyperlink r:id="rId355">
        <w:r>
          <w:rPr>
            <w:rStyle w:val="Hyperlink"/>
          </w:rPr>
          <w:t xml:space="preserve">https://doi.org/10.2196/29563</w:t>
        </w:r>
      </w:hyperlink>
    </w:p>
    <w:bookmarkEnd w:id="356"/>
    <w:bookmarkStart w:id="358" w:name="X8bb79cdd23e0a8d99e4f9b0c203aaa22c56a953"/>
    <w:p>
      <w:pPr>
        <w:pStyle w:val="Bibliography"/>
      </w:pPr>
      <w:r>
        <w:t xml:space="preserve">Office of the Surgeon General (US), Center for Mental Health Services (US), &amp; National Institute of Mental Health (US). (2001).</w:t>
      </w:r>
      <w:r>
        <w:t xml:space="preserve"> </w:t>
      </w:r>
      <w:hyperlink r:id="rId357">
        <w:r>
          <w:rPr>
            <w:rStyle w:val="Hyperlink"/>
            <w:i/>
            <w:iCs/>
          </w:rPr>
          <w:t xml:space="preserve">Mental</w:t>
        </w:r>
        <w:r>
          <w:rPr>
            <w:rStyle w:val="Hyperlink"/>
            <w:i/>
            <w:iCs/>
          </w:rPr>
          <w:t xml:space="preserve"> </w:t>
        </w:r>
        <w:r>
          <w:rPr>
            <w:rStyle w:val="Hyperlink"/>
            <w:i/>
            <w:iCs/>
          </w:rPr>
          <w:t xml:space="preserve">Health</w:t>
        </w:r>
        <w:r>
          <w:rPr>
            <w:rStyle w:val="Hyperlink"/>
            <w:i/>
            <w:iCs/>
          </w:rPr>
          <w:t xml:space="preserve">:</w:t>
        </w:r>
        <w:r>
          <w:rPr>
            <w:rStyle w:val="Hyperlink"/>
            <w:i/>
            <w:iCs/>
          </w:rPr>
          <w:t xml:space="preserve"> </w:t>
        </w:r>
        <w:r>
          <w:rPr>
            <w:rStyle w:val="Hyperlink"/>
            <w:i/>
            <w:iCs/>
          </w:rPr>
          <w:t xml:space="preserve">Culture</w:t>
        </w:r>
        <w:r>
          <w:rPr>
            <w:rStyle w:val="Hyperlink"/>
            <w:i/>
            <w:iCs/>
          </w:rPr>
          <w:t xml:space="preserve">,</w:t>
        </w:r>
        <w:r>
          <w:rPr>
            <w:rStyle w:val="Hyperlink"/>
            <w:i/>
            <w:iCs/>
          </w:rPr>
          <w:t xml:space="preserve"> </w:t>
        </w:r>
        <w:r>
          <w:rPr>
            <w:rStyle w:val="Hyperlink"/>
            <w:i/>
            <w:iCs/>
          </w:rPr>
          <w:t xml:space="preserve">Race</w:t>
        </w:r>
        <w:r>
          <w:rPr>
            <w:rStyle w:val="Hyperlink"/>
            <w:i/>
            <w:iCs/>
          </w:rPr>
          <w:t xml:space="preserve">, and</w:t>
        </w:r>
        <w:r>
          <w:rPr>
            <w:rStyle w:val="Hyperlink"/>
            <w:i/>
            <w:iCs/>
          </w:rPr>
          <w:t xml:space="preserve"> </w:t>
        </w:r>
        <w:r>
          <w:rPr>
            <w:rStyle w:val="Hyperlink"/>
            <w:i/>
            <w:iCs/>
          </w:rPr>
          <w:t xml:space="preserve">Ethnicity</w:t>
        </w:r>
      </w:hyperlink>
      <w:r>
        <w:t xml:space="preserve">.</w:t>
      </w:r>
      <w:r>
        <w:t xml:space="preserve"> </w:t>
      </w:r>
      <w:r>
        <w:t xml:space="preserve">Substance Abuse and Mental Health Services Administration (US)</w:t>
      </w:r>
      <w:r>
        <w:t xml:space="preserve">.</w:t>
      </w:r>
    </w:p>
    <w:bookmarkEnd w:id="358"/>
    <w:bookmarkStart w:id="360" w:name="ref-olfsonHealthcareCoverageService2022"/>
    <w:p>
      <w:pPr>
        <w:pStyle w:val="Bibliography"/>
      </w:pPr>
      <w:r>
        <w:t xml:space="preserve">Olfson, M., Mauro, C., Wall, M. M., Choi, C. J., Barry, C. L., &amp; Mojtabai, R. (2022). Healthcare coverage and service access for low-income adults with substance use disorders.</w:t>
      </w:r>
      <w:r>
        <w:t xml:space="preserve"> </w:t>
      </w:r>
      <w:r>
        <w:rPr>
          <w:i/>
          <w:iCs/>
        </w:rPr>
        <w:t xml:space="preserve">Journal of Substance Abuse Treatment</w:t>
      </w:r>
      <w:r>
        <w:t xml:space="preserve">,</w:t>
      </w:r>
      <w:r>
        <w:t xml:space="preserve"> </w:t>
      </w:r>
      <w:r>
        <w:rPr>
          <w:i/>
          <w:iCs/>
        </w:rPr>
        <w:t xml:space="preserve">137</w:t>
      </w:r>
      <w:r>
        <w:t xml:space="preserve">, 108710.</w:t>
      </w:r>
      <w:r>
        <w:t xml:space="preserve"> </w:t>
      </w:r>
      <w:hyperlink r:id="rId359">
        <w:r>
          <w:rPr>
            <w:rStyle w:val="Hyperlink"/>
          </w:rPr>
          <w:t xml:space="preserve">https://doi.org/10.1016/j.jsat.2021.108710</w:t>
        </w:r>
      </w:hyperlink>
    </w:p>
    <w:bookmarkEnd w:id="360"/>
    <w:bookmarkStart w:id="362" w:name="ref-parlier-ahmadExploratoryStudySex2021"/>
    <w:p>
      <w:pPr>
        <w:pStyle w:val="Bibliography"/>
      </w:pPr>
      <w:r>
        <w:t xml:space="preserve">Parlier-Ahmad, A. B., Martin, C. E., Radic, M., &amp; Svikis, D. S. (2021). An exploratory study of sex and gender differences in demographic, psychosocial, clinical, and substance use treatment characteristics of patients in outpatient opioid use disorder treatment with buprenorphine.</w:t>
      </w:r>
      <w:r>
        <w:t xml:space="preserve"> </w:t>
      </w:r>
      <w:r>
        <w:rPr>
          <w:i/>
          <w:iCs/>
        </w:rPr>
        <w:t xml:space="preserve">Translational Issues in Psychological Science</w:t>
      </w:r>
      <w:r>
        <w:t xml:space="preserve">,</w:t>
      </w:r>
      <w:r>
        <w:t xml:space="preserve"> </w:t>
      </w:r>
      <w:r>
        <w:rPr>
          <w:i/>
          <w:iCs/>
        </w:rPr>
        <w:t xml:space="preserve">7</w:t>
      </w:r>
      <w:r>
        <w:t xml:space="preserve">(2), 141–153.</w:t>
      </w:r>
      <w:r>
        <w:t xml:space="preserve"> </w:t>
      </w:r>
      <w:hyperlink r:id="rId361">
        <w:r>
          <w:rPr>
            <w:rStyle w:val="Hyperlink"/>
          </w:rPr>
          <w:t xml:space="preserve">https://doi.org/10.1037/tps0000250</w:t>
        </w:r>
      </w:hyperlink>
    </w:p>
    <w:bookmarkEnd w:id="362"/>
    <w:bookmarkStart w:id="363" w:name="X6b0a2573c103b7c3d317f500c95e16aefc26ebb"/>
    <w:p>
      <w:pPr>
        <w:pStyle w:val="Bibliography"/>
      </w:pPr>
      <w:r>
        <w:t xml:space="preserve">Pew Research Center, N. (2025). Demographics of</w:t>
      </w:r>
      <w:r>
        <w:t xml:space="preserve"> </w:t>
      </w:r>
      <w:r>
        <w:t xml:space="preserve">Mobile Device Ownership</w:t>
      </w:r>
      <w:r>
        <w:t xml:space="preserve"> </w:t>
      </w:r>
      <w:r>
        <w:t xml:space="preserve">and</w:t>
      </w:r>
      <w:r>
        <w:t xml:space="preserve"> </w:t>
      </w:r>
      <w:r>
        <w:t xml:space="preserve">Adoption</w:t>
      </w:r>
      <w:r>
        <w:t xml:space="preserve"> </w:t>
      </w:r>
      <w:r>
        <w:t xml:space="preserve">in the</w:t>
      </w:r>
      <w:r>
        <w:t xml:space="preserve"> </w:t>
      </w:r>
      <w:r>
        <w:t xml:space="preserve">United States</w:t>
      </w:r>
      <w:r>
        <w:t xml:space="preserve">. In</w:t>
      </w:r>
      <w:r>
        <w:t xml:space="preserve"> </w:t>
      </w:r>
      <w:r>
        <w:rPr>
          <w:i/>
          <w:iCs/>
        </w:rPr>
        <w:t xml:space="preserve">Pew Research Center</w:t>
      </w:r>
      <w:r>
        <w:t xml:space="preserve"> </w:t>
      </w:r>
      <w:r>
        <w:t xml:space="preserve">(Mobile).</w:t>
      </w:r>
    </w:p>
    <w:bookmarkEnd w:id="363"/>
    <w:bookmarkStart w:id="365" w:name="ref-pinedoCurrentReexaminationRacial2019"/>
    <w:p>
      <w:pPr>
        <w:pStyle w:val="Bibliography"/>
      </w:pPr>
      <w:r>
        <w:t xml:space="preserve">Pinedo, M. (2019). A current re-examination of racial/ethnic disparities in the use of substance abuse treatment:</w:t>
      </w:r>
      <w:r>
        <w:t xml:space="preserve"> </w:t>
      </w:r>
      <w:r>
        <w:t xml:space="preserve">Do</w:t>
      </w:r>
      <w:r>
        <w:t xml:space="preserve"> </w:t>
      </w:r>
      <w:r>
        <w:t xml:space="preserve">disparities persist?</w:t>
      </w:r>
      <w:r>
        <w:t xml:space="preserve"> </w:t>
      </w:r>
      <w:r>
        <w:rPr>
          <w:i/>
          <w:iCs/>
        </w:rPr>
        <w:t xml:space="preserve">Drug and Alcohol Dependence</w:t>
      </w:r>
      <w:r>
        <w:t xml:space="preserve">,</w:t>
      </w:r>
      <w:r>
        <w:t xml:space="preserve"> </w:t>
      </w:r>
      <w:r>
        <w:rPr>
          <w:i/>
          <w:iCs/>
        </w:rPr>
        <w:t xml:space="preserve">202</w:t>
      </w:r>
      <w:r>
        <w:t xml:space="preserve">, 162–167.</w:t>
      </w:r>
      <w:r>
        <w:t xml:space="preserve"> </w:t>
      </w:r>
      <w:hyperlink r:id="rId364">
        <w:r>
          <w:rPr>
            <w:rStyle w:val="Hyperlink"/>
          </w:rPr>
          <w:t xml:space="preserve">https://doi.org/10.1016/j.drugalcdep.2019.05.017</w:t>
        </w:r>
      </w:hyperlink>
    </w:p>
    <w:bookmarkEnd w:id="365"/>
    <w:bookmarkStart w:id="366" w:name="ref-plattProbabilisticOutputsSupport1999"/>
    <w:p>
      <w:pPr>
        <w:pStyle w:val="Bibliography"/>
      </w:pPr>
      <w:r>
        <w:t xml:space="preserve">Platt, J. (1999). Probabilistic outputs for support vector machines and comparisons to regularized likelihood methods. In</w:t>
      </w:r>
      <w:r>
        <w:t xml:space="preserve"> </w:t>
      </w:r>
      <w:r>
        <w:rPr>
          <w:i/>
          <w:iCs/>
        </w:rPr>
        <w:t xml:space="preserve">Advances in large margin classifiers</w:t>
      </w:r>
      <w:r>
        <w:t xml:space="preserve"> </w:t>
      </w:r>
      <w:r>
        <w:t xml:space="preserve">(pp. 61–74). MIT Press.</w:t>
      </w:r>
    </w:p>
    <w:bookmarkEnd w:id="366"/>
    <w:bookmarkStart w:id="368" w:name="ref-prochaskaSearchHowPeople1992"/>
    <w:p>
      <w:pPr>
        <w:pStyle w:val="Bibliography"/>
      </w:pPr>
      <w:r>
        <w:t xml:space="preserve">Prochaska, J. O., DiClemente, C. C., &amp; Norcross, J. C. (1992). In search of how people change:</w:t>
      </w:r>
      <w:r>
        <w:t xml:space="preserve"> </w:t>
      </w:r>
      <w:r>
        <w:t xml:space="preserve">Applications</w:t>
      </w:r>
      <w:r>
        <w:t xml:space="preserve"> </w:t>
      </w:r>
      <w:r>
        <w:t xml:space="preserve">to addictive behaviors.</w:t>
      </w:r>
      <w:r>
        <w:t xml:space="preserve"> </w:t>
      </w:r>
      <w:r>
        <w:rPr>
          <w:i/>
          <w:iCs/>
        </w:rPr>
        <w:t xml:space="preserve">American Psychologist</w:t>
      </w:r>
      <w:r>
        <w:t xml:space="preserve">,</w:t>
      </w:r>
      <w:r>
        <w:t xml:space="preserve"> </w:t>
      </w:r>
      <w:r>
        <w:rPr>
          <w:i/>
          <w:iCs/>
        </w:rPr>
        <w:t xml:space="preserve">47</w:t>
      </w:r>
      <w:r>
        <w:t xml:space="preserve">(9), 1102–1114.</w:t>
      </w:r>
      <w:r>
        <w:t xml:space="preserve"> </w:t>
      </w:r>
      <w:hyperlink r:id="rId367">
        <w:r>
          <w:rPr>
            <w:rStyle w:val="Hyperlink"/>
          </w:rPr>
          <w:t xml:space="preserve">https://doi.org/10.1037/0003-066X.47.9.1102</w:t>
        </w:r>
      </w:hyperlink>
    </w:p>
    <w:bookmarkEnd w:id="368"/>
    <w:bookmarkStart w:id="370" w:name="ref-pulickIdiographicLapsePrediction2025"/>
    <w:p>
      <w:pPr>
        <w:pStyle w:val="Bibliography"/>
      </w:pPr>
      <w:r>
        <w:t xml:space="preserve">Pulick, E., Curtin, J., &amp; Mintz, Y. (2025). Idiographic</w:t>
      </w:r>
      <w:r>
        <w:t xml:space="preserve"> </w:t>
      </w:r>
      <w:r>
        <w:t xml:space="preserve">Lapse Prediction With State Space Modeling</w:t>
      </w:r>
      <w:r>
        <w:t xml:space="preserve">:</w:t>
      </w:r>
      <w:r>
        <w:t xml:space="preserve"> </w:t>
      </w:r>
      <w:r>
        <w:t xml:space="preserve">Algorithm Development</w:t>
      </w:r>
      <w:r>
        <w:t xml:space="preserve"> </w:t>
      </w:r>
      <w:r>
        <w:t xml:space="preserve">and</w:t>
      </w:r>
      <w:r>
        <w:t xml:space="preserve"> </w:t>
      </w:r>
      <w:r>
        <w:t xml:space="preserve">Validation Study</w:t>
      </w:r>
      <w:r>
        <w:t xml:space="preserve">.</w:t>
      </w:r>
      <w:r>
        <w:t xml:space="preserve"> </w:t>
      </w:r>
      <w:r>
        <w:rPr>
          <w:i/>
          <w:iCs/>
        </w:rPr>
        <w:t xml:space="preserve">JMIR Formative Research</w:t>
      </w:r>
      <w:r>
        <w:t xml:space="preserve">,</w:t>
      </w:r>
      <w:r>
        <w:t xml:space="preserve"> </w:t>
      </w:r>
      <w:r>
        <w:rPr>
          <w:i/>
          <w:iCs/>
        </w:rPr>
        <w:t xml:space="preserve">9</w:t>
      </w:r>
      <w:r>
        <w:t xml:space="preserve">(1), e73265.</w:t>
      </w:r>
      <w:r>
        <w:t xml:space="preserve"> </w:t>
      </w:r>
      <w:hyperlink r:id="rId369">
        <w:r>
          <w:rPr>
            <w:rStyle w:val="Hyperlink"/>
          </w:rPr>
          <w:t xml:space="preserve">https://doi.org/10.2196/73265</w:t>
        </w:r>
      </w:hyperlink>
    </w:p>
    <w:bookmarkEnd w:id="370"/>
    <w:bookmarkStart w:id="372" w:name="Xa1b8899d52f2070e9a46165cf23fe2013b5e4a3"/>
    <w:p>
      <w:pPr>
        <w:pStyle w:val="Bibliography"/>
      </w:pPr>
      <w:r>
        <w:t xml:space="preserve">Rawson, R. A., Shoptaw, S. J., Obert, J. L., McCann, M. J., Hasson, A. L., Marinelli-Casey, P. J., Brethen, P. R., &amp; Ling, W. (1995). An intensive outpatient approach for cocaine abuse treatment.</w:t>
      </w:r>
      <w:r>
        <w:t xml:space="preserve"> </w:t>
      </w:r>
      <w:r>
        <w:t xml:space="preserve">The Matrix</w:t>
      </w:r>
      <w:r>
        <w:t xml:space="preserve"> </w:t>
      </w:r>
      <w:r>
        <w:t xml:space="preserve">model.</w:t>
      </w:r>
      <w:r>
        <w:t xml:space="preserve"> </w:t>
      </w:r>
      <w:r>
        <w:rPr>
          <w:i/>
          <w:iCs/>
        </w:rPr>
        <w:t xml:space="preserve">Journal of Substance Abuse Treatment</w:t>
      </w:r>
      <w:r>
        <w:t xml:space="preserve">,</w:t>
      </w:r>
      <w:r>
        <w:t xml:space="preserve"> </w:t>
      </w:r>
      <w:r>
        <w:rPr>
          <w:i/>
          <w:iCs/>
        </w:rPr>
        <w:t xml:space="preserve">12</w:t>
      </w:r>
      <w:r>
        <w:t xml:space="preserve">(2), 117–127.</w:t>
      </w:r>
      <w:r>
        <w:t xml:space="preserve"> </w:t>
      </w:r>
      <w:hyperlink r:id="rId371">
        <w:r>
          <w:rPr>
            <w:rStyle w:val="Hyperlink"/>
          </w:rPr>
          <w:t xml:space="preserve">https://doi.org/10.1016/0740-5472(94)00080-b</w:t>
        </w:r>
      </w:hyperlink>
    </w:p>
    <w:bookmarkEnd w:id="372"/>
    <w:bookmarkStart w:id="374" w:name="Xc5cdea043ab663a81d5612c8b1e0f7c2b734aab"/>
    <w:p>
      <w:pPr>
        <w:pStyle w:val="Bibliography"/>
      </w:pPr>
      <w:r>
        <w:t xml:space="preserve">Roche, M. J., Pincus, A. L., Rebar, A. L., Conroy, D. E., &amp; Ram, N. (2014). Enriching</w:t>
      </w:r>
      <w:r>
        <w:t xml:space="preserve"> </w:t>
      </w:r>
      <w:r>
        <w:t xml:space="preserve">Psychological Assessment Using</w:t>
      </w:r>
      <w:r>
        <w:t xml:space="preserve"> </w:t>
      </w:r>
      <w:r>
        <w:t xml:space="preserve">a</w:t>
      </w:r>
      <w:r>
        <w:t xml:space="preserve"> </w:t>
      </w:r>
      <w:r>
        <w:t xml:space="preserve">Person-Specific Analysis</w:t>
      </w:r>
      <w:r>
        <w:t xml:space="preserve"> </w:t>
      </w:r>
      <w:r>
        <w:t xml:space="preserve">of</w:t>
      </w:r>
      <w:r>
        <w:t xml:space="preserve"> </w:t>
      </w:r>
      <w:r>
        <w:t xml:space="preserve">Interpersonal Processes</w:t>
      </w:r>
      <w:r>
        <w:t xml:space="preserve"> </w:t>
      </w:r>
      <w:r>
        <w:t xml:space="preserve">in</w:t>
      </w:r>
      <w:r>
        <w:t xml:space="preserve"> </w:t>
      </w:r>
      <w:r>
        <w:t xml:space="preserve">Daily Life</w:t>
      </w:r>
      <w:r>
        <w:t xml:space="preserve">.</w:t>
      </w:r>
      <w:r>
        <w:t xml:space="preserve"> </w:t>
      </w:r>
      <w:r>
        <w:rPr>
          <w:i/>
          <w:iCs/>
        </w:rPr>
        <w:t xml:space="preserve">Assessment</w:t>
      </w:r>
      <w:r>
        <w:t xml:space="preserve">,</w:t>
      </w:r>
      <w:r>
        <w:t xml:space="preserve"> </w:t>
      </w:r>
      <w:r>
        <w:rPr>
          <w:i/>
          <w:iCs/>
        </w:rPr>
        <w:t xml:space="preserve">21</w:t>
      </w:r>
      <w:r>
        <w:t xml:space="preserve">(5), 515–528.</w:t>
      </w:r>
      <w:r>
        <w:t xml:space="preserve"> </w:t>
      </w:r>
      <w:hyperlink r:id="rId373">
        <w:r>
          <w:rPr>
            <w:rStyle w:val="Hyperlink"/>
          </w:rPr>
          <w:t xml:space="preserve">https://doi.org/10.1177/1073191114540320</w:t>
        </w:r>
      </w:hyperlink>
    </w:p>
    <w:bookmarkEnd w:id="374"/>
    <w:bookmarkStart w:id="375" w:name="X93e79e1a5ab79bb153842a6d1ed7d5e5cb3185f"/>
    <w:p>
      <w:pPr>
        <w:pStyle w:val="Bibliography"/>
      </w:pPr>
      <w:r>
        <w:t xml:space="preserve">RStudio Team. (2020).</w:t>
      </w:r>
      <w:r>
        <w:t xml:space="preserve"> </w:t>
      </w:r>
      <w:r>
        <w:rPr>
          <w:i/>
          <w:iCs/>
        </w:rPr>
        <w:t xml:space="preserve">RStudio</w:t>
      </w:r>
      <w:r>
        <w:rPr>
          <w:i/>
          <w:iCs/>
        </w:rPr>
        <w:t xml:space="preserve">:</w:t>
      </w:r>
      <w:r>
        <w:rPr>
          <w:i/>
          <w:iCs/>
        </w:rPr>
        <w:t xml:space="preserve"> </w:t>
      </w:r>
      <w:r>
        <w:rPr>
          <w:i/>
          <w:iCs/>
        </w:rPr>
        <w:t xml:space="preserve">Integrated Development</w:t>
      </w:r>
      <w:r>
        <w:rPr>
          <w:i/>
          <w:iCs/>
        </w:rPr>
        <w:t xml:space="preserve"> </w:t>
      </w:r>
      <w:r>
        <w:rPr>
          <w:i/>
          <w:iCs/>
        </w:rPr>
        <w:t xml:space="preserve">for</w:t>
      </w:r>
      <w:r>
        <w:rPr>
          <w:i/>
          <w:iCs/>
        </w:rPr>
        <w:t xml:space="preserve"> </w:t>
      </w:r>
      <w:r>
        <w:rPr>
          <w:i/>
          <w:iCs/>
        </w:rPr>
        <w:t xml:space="preserve">R</w:t>
      </w:r>
      <w:r>
        <w:t xml:space="preserve">. RStudio, Inc.</w:t>
      </w:r>
    </w:p>
    <w:bookmarkEnd w:id="375"/>
    <w:bookmarkStart w:id="377" w:name="ref-russellAffectRelativeDayLevel2020"/>
    <w:p>
      <w:pPr>
        <w:pStyle w:val="Bibliography"/>
      </w:pPr>
      <w:r>
        <w:t xml:space="preserve">Russell, M. A., Linden-Carmichael, A. N., Lanza, S. T., Fair, E. V., Sher, K. J., &amp; Piasecki, T. M. (2020). Affect</w:t>
      </w:r>
      <w:r>
        <w:t xml:space="preserve"> </w:t>
      </w:r>
      <w:r>
        <w:t xml:space="preserve">Relative</w:t>
      </w:r>
      <w:r>
        <w:t xml:space="preserve"> </w:t>
      </w:r>
      <w:r>
        <w:t xml:space="preserve">to</w:t>
      </w:r>
      <w:r>
        <w:t xml:space="preserve"> </w:t>
      </w:r>
      <w:r>
        <w:t xml:space="preserve">Day-Level Drinking Initiation</w:t>
      </w:r>
      <w:r>
        <w:t xml:space="preserve">:</w:t>
      </w:r>
      <w:r>
        <w:t xml:space="preserve"> </w:t>
      </w:r>
      <w:r>
        <w:t xml:space="preserve">Analyzing Ecological Momentary Assessment Data</w:t>
      </w:r>
      <w:r>
        <w:t xml:space="preserve"> </w:t>
      </w:r>
      <w:r>
        <w:t xml:space="preserve">with</w:t>
      </w:r>
      <w:r>
        <w:t xml:space="preserve"> </w:t>
      </w:r>
      <w:r>
        <w:t xml:space="preserve">Multilevel Spline Modeling</w:t>
      </w:r>
      <w:r>
        <w:t xml:space="preserve">.</w:t>
      </w:r>
      <w:r>
        <w:t xml:space="preserve"> </w:t>
      </w:r>
      <w:r>
        <w:rPr>
          <w:i/>
          <w:iCs/>
        </w:rPr>
        <w:t xml:space="preserve">Psychology of Addictive Behaviors : Journal of the Society of Psychologists in Addictive Behaviors</w:t>
      </w:r>
      <w:r>
        <w:t xml:space="preserve">,</w:t>
      </w:r>
      <w:r>
        <w:t xml:space="preserve"> </w:t>
      </w:r>
      <w:r>
        <w:rPr>
          <w:i/>
          <w:iCs/>
        </w:rPr>
        <w:t xml:space="preserve">34</w:t>
      </w:r>
      <w:r>
        <w:t xml:space="preserve">(3), 434–446.</w:t>
      </w:r>
      <w:r>
        <w:t xml:space="preserve"> </w:t>
      </w:r>
      <w:hyperlink r:id="rId376">
        <w:r>
          <w:rPr>
            <w:rStyle w:val="Hyperlink"/>
          </w:rPr>
          <w:t xml:space="preserve">https://doi.org/10.1037/adb0000550</w:t>
        </w:r>
      </w:hyperlink>
    </w:p>
    <w:bookmarkEnd w:id="377"/>
    <w:bookmarkStart w:id="379" w:name="ref-salonerBlacksHispanicsAre2013"/>
    <w:p>
      <w:pPr>
        <w:pStyle w:val="Bibliography"/>
      </w:pPr>
      <w:r>
        <w:t xml:space="preserve">Saloner, B., &amp; Lê Cook, B. (2013). Blacks and</w:t>
      </w:r>
      <w:r>
        <w:t xml:space="preserve"> </w:t>
      </w:r>
      <w:r>
        <w:t xml:space="preserve">Hispanics</w:t>
      </w:r>
      <w:r>
        <w:t xml:space="preserve"> </w:t>
      </w:r>
      <w:r>
        <w:t xml:space="preserve">are less likely than whites to complete addiction treatment, largely due to socioeconomic factors.</w:t>
      </w:r>
      <w:r>
        <w:t xml:space="preserve"> </w:t>
      </w:r>
      <w:r>
        <w:rPr>
          <w:i/>
          <w:iCs/>
        </w:rPr>
        <w:t xml:space="preserve">Health Affairs</w:t>
      </w:r>
      <w:r>
        <w:t xml:space="preserve">,</w:t>
      </w:r>
      <w:r>
        <w:t xml:space="preserve"> </w:t>
      </w:r>
      <w:r>
        <w:rPr>
          <w:i/>
          <w:iCs/>
        </w:rPr>
        <w:t xml:space="preserve">32</w:t>
      </w:r>
      <w:r>
        <w:t xml:space="preserve">(1), 135–145.</w:t>
      </w:r>
      <w:r>
        <w:t xml:space="preserve"> </w:t>
      </w:r>
      <w:hyperlink r:id="rId378">
        <w:r>
          <w:rPr>
            <w:rStyle w:val="Hyperlink"/>
          </w:rPr>
          <w:t xml:space="preserve">https://doi.org/10.1377/hlthaff.2011.0983</w:t>
        </w:r>
      </w:hyperlink>
    </w:p>
    <w:bookmarkEnd w:id="379"/>
    <w:bookmarkStart w:id="380" w:name="X56bd7ab8262c354bc601dbeb8bf6940a3ba3863"/>
    <w:p>
      <w:pPr>
        <w:pStyle w:val="Bibliography"/>
      </w:pPr>
      <w:r>
        <w:t xml:space="preserve">SAMHSA Center for Behavioral Health Statistics and Quality. (2021). 2021</w:t>
      </w:r>
      <w:r>
        <w:t xml:space="preserve"> </w:t>
      </w:r>
      <w:r>
        <w:t xml:space="preserve">NSDUH Detailed Tables</w:t>
      </w:r>
      <w:r>
        <w:t xml:space="preserve"> </w:t>
      </w:r>
      <w:r>
        <w:t xml:space="preserve"> </w:t>
      </w:r>
      <w:r>
        <w:t xml:space="preserve">CBHSQ Data</w:t>
      </w:r>
      <w:r>
        <w:t xml:space="preserve">. In</w:t>
      </w:r>
      <w:r>
        <w:t xml:space="preserve"> </w:t>
      </w:r>
      <w:r>
        <w:rPr>
          <w:i/>
          <w:iCs/>
        </w:rPr>
        <w:t xml:space="preserve">Substance Abuse and Mental Health Services Administration</w:t>
      </w:r>
      <w:r>
        <w:t xml:space="preserve">. https://www.samhsa.gov/data/report/2021-nsduh-detailed-tables.</w:t>
      </w:r>
    </w:p>
    <w:bookmarkEnd w:id="380"/>
    <w:bookmarkStart w:id="382" w:name="ref-sayetteRoleCravingSubstance2016"/>
    <w:p>
      <w:pPr>
        <w:pStyle w:val="Bibliography"/>
      </w:pPr>
      <w:r>
        <w:t xml:space="preserve">Sayette, M. A. (2016). The</w:t>
      </w:r>
      <w:r>
        <w:t xml:space="preserve"> </w:t>
      </w:r>
      <w:r>
        <w:t xml:space="preserve">Role</w:t>
      </w:r>
      <w:r>
        <w:t xml:space="preserve"> </w:t>
      </w:r>
      <w:r>
        <w:t xml:space="preserve">of</w:t>
      </w:r>
      <w:r>
        <w:t xml:space="preserve"> </w:t>
      </w:r>
      <w:r>
        <w:t xml:space="preserve">Craving</w:t>
      </w:r>
      <w:r>
        <w:t xml:space="preserve"> </w:t>
      </w:r>
      <w:r>
        <w:t xml:space="preserve">in</w:t>
      </w:r>
      <w:r>
        <w:t xml:space="preserve"> </w:t>
      </w:r>
      <w:r>
        <w:t xml:space="preserve">Substance Use Disorders</w:t>
      </w:r>
      <w:r>
        <w:t xml:space="preserve">:</w:t>
      </w:r>
      <w:r>
        <w:t xml:space="preserve"> </w:t>
      </w:r>
      <w:r>
        <w:t xml:space="preserve">Theoretical</w:t>
      </w:r>
      <w:r>
        <w:t xml:space="preserve"> </w:t>
      </w:r>
      <w:r>
        <w:t xml:space="preserve">and</w:t>
      </w:r>
      <w:r>
        <w:t xml:space="preserve"> </w:t>
      </w:r>
      <w:r>
        <w:t xml:space="preserve">Methodological Issues</w:t>
      </w:r>
      <w:r>
        <w:t xml:space="preserve">.</w:t>
      </w:r>
      <w:r>
        <w:t xml:space="preserve"> </w:t>
      </w:r>
      <w:r>
        <w:rPr>
          <w:i/>
          <w:iCs/>
        </w:rPr>
        <w:t xml:space="preserve">Annual Review of Clinical Psychology</w:t>
      </w:r>
      <w:r>
        <w:t xml:space="preserve">,</w:t>
      </w:r>
      <w:r>
        <w:t xml:space="preserve"> </w:t>
      </w:r>
      <w:r>
        <w:rPr>
          <w:i/>
          <w:iCs/>
        </w:rPr>
        <w:t xml:space="preserve">12</w:t>
      </w:r>
      <w:r>
        <w:t xml:space="preserve">, 407–433.</w:t>
      </w:r>
      <w:r>
        <w:t xml:space="preserve"> </w:t>
      </w:r>
      <w:hyperlink r:id="rId381">
        <w:r>
          <w:rPr>
            <w:rStyle w:val="Hyperlink"/>
          </w:rPr>
          <w:t xml:space="preserve">https://doi.org/10.1146/annurev-clinpsy-021815-093351</w:t>
        </w:r>
      </w:hyperlink>
    </w:p>
    <w:bookmarkEnd w:id="382"/>
    <w:bookmarkStart w:id="384" w:name="ref-schmidtEthnicDisparitiesClinical2007"/>
    <w:p>
      <w:pPr>
        <w:pStyle w:val="Bibliography"/>
      </w:pPr>
      <w:r>
        <w:t xml:space="preserve">Schmidt, L. A., Ye, Y., Greenfield, T. K., &amp; Bond, J. (2007). Ethnic disparities in clinical severity and services for alcohol problems: Results from the</w:t>
      </w:r>
      <w:r>
        <w:t xml:space="preserve"> </w:t>
      </w:r>
      <w:r>
        <w:t xml:space="preserve">National Alcohol Survey</w:t>
      </w:r>
      <w:r>
        <w:t xml:space="preserve">.</w:t>
      </w:r>
      <w:r>
        <w:t xml:space="preserve"> </w:t>
      </w:r>
      <w:r>
        <w:rPr>
          <w:i/>
          <w:iCs/>
        </w:rPr>
        <w:t xml:space="preserve">Alcoholism, Clinical and Experimental Research</w:t>
      </w:r>
      <w:r>
        <w:t xml:space="preserve">,</w:t>
      </w:r>
      <w:r>
        <w:t xml:space="preserve"> </w:t>
      </w:r>
      <w:r>
        <w:rPr>
          <w:i/>
          <w:iCs/>
        </w:rPr>
        <w:t xml:space="preserve">31</w:t>
      </w:r>
      <w:r>
        <w:t xml:space="preserve">(1), 48–56.</w:t>
      </w:r>
      <w:r>
        <w:t xml:space="preserve"> </w:t>
      </w:r>
      <w:hyperlink r:id="rId383">
        <w:r>
          <w:rPr>
            <w:rStyle w:val="Hyperlink"/>
          </w:rPr>
          <w:t xml:space="preserve">https://doi.org/10.1111/j.1530-0277.2006.00263.x</w:t>
        </w:r>
      </w:hyperlink>
    </w:p>
    <w:bookmarkEnd w:id="384"/>
    <w:bookmarkStart w:id="386" w:name="ref-sigmonAccessTreatmentOpioid2014"/>
    <w:p>
      <w:pPr>
        <w:pStyle w:val="Bibliography"/>
      </w:pPr>
      <w:r>
        <w:t xml:space="preserve">Sigmon, S. C. (2014). Access to treatment for opioid dependence in rural</w:t>
      </w:r>
      <w:r>
        <w:t xml:space="preserve"> </w:t>
      </w:r>
      <w:r>
        <w:t xml:space="preserve">America</w:t>
      </w:r>
      <w:r>
        <w:t xml:space="preserve">: Challenges and future directions.</w:t>
      </w:r>
      <w:r>
        <w:t xml:space="preserve"> </w:t>
      </w:r>
      <w:r>
        <w:rPr>
          <w:i/>
          <w:iCs/>
        </w:rPr>
        <w:t xml:space="preserve">JAMA Psychiatry</w:t>
      </w:r>
      <w:r>
        <w:t xml:space="preserve">,</w:t>
      </w:r>
      <w:r>
        <w:t xml:space="preserve"> </w:t>
      </w:r>
      <w:r>
        <w:rPr>
          <w:i/>
          <w:iCs/>
        </w:rPr>
        <w:t xml:space="preserve">71</w:t>
      </w:r>
      <w:r>
        <w:t xml:space="preserve">(4), 359–360.</w:t>
      </w:r>
      <w:r>
        <w:t xml:space="preserve"> </w:t>
      </w:r>
      <w:hyperlink r:id="rId385">
        <w:r>
          <w:rPr>
            <w:rStyle w:val="Hyperlink"/>
          </w:rPr>
          <w:t xml:space="preserve">https://doi.org/10.1001/jamapsychiatry.2013.4450</w:t>
        </w:r>
      </w:hyperlink>
    </w:p>
    <w:bookmarkEnd w:id="386"/>
    <w:bookmarkStart w:id="388" w:name="ref-sociasAdoptingCascadeCare2016"/>
    <w:p>
      <w:pPr>
        <w:pStyle w:val="Bibliography"/>
      </w:pPr>
      <w:r>
        <w:t xml:space="preserve">Socías, M. E., Volkow, N., &amp; Wood, E. (2016). Adopting the</w:t>
      </w:r>
      <w:r>
        <w:t xml:space="preserve"> </w:t>
      </w:r>
      <w:r>
        <w:t xml:space="preserve">“cascade of care”</w:t>
      </w:r>
      <w:r>
        <w:t xml:space="preserve"> </w:t>
      </w:r>
      <w:r>
        <w:t xml:space="preserve">framework: An opportunity to close the implementation gap in addiction care?</w:t>
      </w:r>
      <w:r>
        <w:t xml:space="preserve"> </w:t>
      </w:r>
      <w:r>
        <w:rPr>
          <w:i/>
          <w:iCs/>
        </w:rPr>
        <w:t xml:space="preserve">Addiction</w:t>
      </w:r>
      <w:r>
        <w:t xml:space="preserve">,</w:t>
      </w:r>
      <w:r>
        <w:t xml:space="preserve"> </w:t>
      </w:r>
      <w:r>
        <w:rPr>
          <w:i/>
          <w:iCs/>
        </w:rPr>
        <w:t xml:space="preserve">111</w:t>
      </w:r>
      <w:r>
        <w:t xml:space="preserve">(12), 2079–2081.</w:t>
      </w:r>
      <w:r>
        <w:t xml:space="preserve"> </w:t>
      </w:r>
      <w:hyperlink r:id="rId387">
        <w:r>
          <w:rPr>
            <w:rStyle w:val="Hyperlink"/>
          </w:rPr>
          <w:t xml:space="preserve">https://doi.org/10.1111/add.13479</w:t>
        </w:r>
      </w:hyperlink>
    </w:p>
    <w:bookmarkEnd w:id="388"/>
    <w:bookmarkStart w:id="390" w:name="Xd4c1d027f60920f356af6131267e679804e946e"/>
    <w:p>
      <w:pPr>
        <w:pStyle w:val="Bibliography"/>
      </w:pPr>
      <w:r>
        <w:t xml:space="preserve">Soyster, P. D., Ashlock, L., &amp; Fisher, A. J. (2022). Pooled and person-specific machine learning models for predicting future alcohol consumption, craving, and wanting to drink:</w:t>
      </w:r>
      <w:r>
        <w:t xml:space="preserve"> </w:t>
      </w:r>
      <w:r>
        <w:t xml:space="preserve">A</w:t>
      </w:r>
      <w:r>
        <w:t xml:space="preserve"> </w:t>
      </w:r>
      <w:r>
        <w:t xml:space="preserve">demonstration of parallel utility.</w:t>
      </w:r>
      <w:r>
        <w:t xml:space="preserve"> </w:t>
      </w:r>
      <w:r>
        <w:rPr>
          <w:i/>
          <w:iCs/>
        </w:rPr>
        <w:t xml:space="preserve">Psychology of Addictive Behaviors: Journal of the Society of Psychologists in Addictive Behaviors</w:t>
      </w:r>
      <w:r>
        <w:t xml:space="preserve">,</w:t>
      </w:r>
      <w:r>
        <w:t xml:space="preserve"> </w:t>
      </w:r>
      <w:r>
        <w:rPr>
          <w:i/>
          <w:iCs/>
        </w:rPr>
        <w:t xml:space="preserve">36</w:t>
      </w:r>
      <w:r>
        <w:t xml:space="preserve">(3), 296–306.</w:t>
      </w:r>
      <w:r>
        <w:t xml:space="preserve"> </w:t>
      </w:r>
      <w:hyperlink r:id="rId389">
        <w:r>
          <w:rPr>
            <w:rStyle w:val="Hyperlink"/>
          </w:rPr>
          <w:t xml:space="preserve">https://doi.org/10.1037/adb0000666</w:t>
        </w:r>
      </w:hyperlink>
    </w:p>
    <w:bookmarkEnd w:id="390"/>
    <w:bookmarkStart w:id="392" w:name="X01387e434119cf09c116d0feeabab9f278d40e3"/>
    <w:p>
      <w:pPr>
        <w:pStyle w:val="Bibliography"/>
      </w:pPr>
      <w:r>
        <w:t xml:space="preserve">Stanojlović, M., &amp; Davidson, L. (2021). Targeting the</w:t>
      </w:r>
      <w:r>
        <w:t xml:space="preserve"> </w:t>
      </w:r>
      <w:r>
        <w:t xml:space="preserve">Barriers</w:t>
      </w:r>
      <w:r>
        <w:t xml:space="preserve"> </w:t>
      </w:r>
      <w:r>
        <w:t xml:space="preserve">in the</w:t>
      </w:r>
      <w:r>
        <w:t xml:space="preserve"> </w:t>
      </w:r>
      <w:r>
        <w:t xml:space="preserve">Substance Use Disorder Continuum</w:t>
      </w:r>
      <w:r>
        <w:t xml:space="preserve"> </w:t>
      </w:r>
      <w:r>
        <w:t xml:space="preserve">of</w:t>
      </w:r>
      <w:r>
        <w:t xml:space="preserve"> </w:t>
      </w:r>
      <w:r>
        <w:t xml:space="preserve">Care With Peer Recovery Support</w:t>
      </w:r>
      <w:r>
        <w:t xml:space="preserve">.</w:t>
      </w:r>
      <w:r>
        <w:t xml:space="preserve"> </w:t>
      </w:r>
      <w:r>
        <w:rPr>
          <w:i/>
          <w:iCs/>
        </w:rPr>
        <w:t xml:space="preserve">Substance Abuse: Research and Treatment</w:t>
      </w:r>
      <w:r>
        <w:t xml:space="preserve">,</w:t>
      </w:r>
      <w:r>
        <w:t xml:space="preserve"> </w:t>
      </w:r>
      <w:r>
        <w:rPr>
          <w:i/>
          <w:iCs/>
        </w:rPr>
        <w:t xml:space="preserve">15</w:t>
      </w:r>
      <w:r>
        <w:t xml:space="preserve">, 1178221820976988.</w:t>
      </w:r>
      <w:r>
        <w:t xml:space="preserve"> </w:t>
      </w:r>
      <w:hyperlink r:id="rId391">
        <w:r>
          <w:rPr>
            <w:rStyle w:val="Hyperlink"/>
          </w:rPr>
          <w:t xml:space="preserve">https://doi.org/10.1177/1178221820976988</w:t>
        </w:r>
      </w:hyperlink>
    </w:p>
    <w:bookmarkEnd w:id="392"/>
    <w:bookmarkStart w:id="394" w:name="ref-stantonRelapsePreventionNeeds2005a"/>
    <w:p>
      <w:pPr>
        <w:pStyle w:val="Bibliography"/>
      </w:pPr>
      <w:r>
        <w:t xml:space="preserve">Stanton, M. (2005). Relapse</w:t>
      </w:r>
      <w:r>
        <w:t xml:space="preserve"> </w:t>
      </w:r>
      <w:r>
        <w:t xml:space="preserve">Prevention Needs More Emphasis</w:t>
      </w:r>
      <w:r>
        <w:t xml:space="preserve"> </w:t>
      </w:r>
      <w:r>
        <w:t xml:space="preserve">on</w:t>
      </w:r>
      <w:r>
        <w:t xml:space="preserve"> </w:t>
      </w:r>
      <w:r>
        <w:t xml:space="preserve">Interpersonal Factors</w:t>
      </w:r>
      <w:r>
        <w:t xml:space="preserve">.</w:t>
      </w:r>
      <w:r>
        <w:t xml:space="preserve"> </w:t>
      </w:r>
      <w:r>
        <w:rPr>
          <w:i/>
          <w:iCs/>
        </w:rPr>
        <w:t xml:space="preserve">American Psychologist</w:t>
      </w:r>
      <w:r>
        <w:t xml:space="preserve">,</w:t>
      </w:r>
      <w:r>
        <w:t xml:space="preserve"> </w:t>
      </w:r>
      <w:r>
        <w:rPr>
          <w:i/>
          <w:iCs/>
        </w:rPr>
        <w:t xml:space="preserve">60</w:t>
      </w:r>
      <w:r>
        <w:t xml:space="preserve">(4), 340–341.</w:t>
      </w:r>
      <w:r>
        <w:t xml:space="preserve"> </w:t>
      </w:r>
      <w:hyperlink r:id="rId393">
        <w:r>
          <w:rPr>
            <w:rStyle w:val="Hyperlink"/>
          </w:rPr>
          <w:t xml:space="preserve">https://doi.org/10.1037/0003-066X.60.4.340</w:t>
        </w:r>
      </w:hyperlink>
    </w:p>
    <w:bookmarkEnd w:id="394"/>
    <w:bookmarkStart w:id="395" w:name="ref-studiesNIHRevitalizationAct1994"/>
    <w:p>
      <w:pPr>
        <w:pStyle w:val="Bibliography"/>
      </w:pPr>
      <w:r>
        <w:t xml:space="preserve">Studies, I. of M. (US). C. on E. and L. I. R. to the I. of W. in C., Mastroianni, A. C., Faden, R., &amp; Federman, D. (1994).</w:t>
      </w:r>
      <w:r>
        <w:t xml:space="preserve"> </w:t>
      </w:r>
      <w:r>
        <w:t xml:space="preserve">NIH Revitalization Act</w:t>
      </w:r>
      <w:r>
        <w:t xml:space="preserve"> </w:t>
      </w:r>
      <w:r>
        <w:t xml:space="preserve">of 1993</w:t>
      </w:r>
      <w:r>
        <w:t xml:space="preserve"> </w:t>
      </w:r>
      <w:r>
        <w:t xml:space="preserve">Public Law</w:t>
      </w:r>
      <w:r>
        <w:t xml:space="preserve"> </w:t>
      </w:r>
      <w:r>
        <w:t xml:space="preserve">103-43. In</w:t>
      </w:r>
      <w:r>
        <w:t xml:space="preserve"> </w:t>
      </w:r>
      <w:r>
        <w:rPr>
          <w:i/>
          <w:iCs/>
        </w:rPr>
        <w:t xml:space="preserve">Women and</w:t>
      </w:r>
      <w:r>
        <w:rPr>
          <w:i/>
          <w:iCs/>
        </w:rPr>
        <w:t xml:space="preserve"> </w:t>
      </w:r>
      <w:r>
        <w:rPr>
          <w:i/>
          <w:iCs/>
        </w:rPr>
        <w:t xml:space="preserve">Health Research</w:t>
      </w:r>
      <w:r>
        <w:rPr>
          <w:i/>
          <w:iCs/>
        </w:rPr>
        <w:t xml:space="preserve">:</w:t>
      </w:r>
      <w:r>
        <w:rPr>
          <w:i/>
          <w:iCs/>
        </w:rPr>
        <w:t xml:space="preserve"> </w:t>
      </w:r>
      <w:r>
        <w:rPr>
          <w:i/>
          <w:iCs/>
        </w:rPr>
        <w:t xml:space="preserve">Ethical</w:t>
      </w:r>
      <w:r>
        <w:rPr>
          <w:i/>
          <w:iCs/>
        </w:rPr>
        <w:t xml:space="preserve"> </w:t>
      </w:r>
      <w:r>
        <w:rPr>
          <w:i/>
          <w:iCs/>
        </w:rPr>
        <w:t xml:space="preserve">and</w:t>
      </w:r>
      <w:r>
        <w:rPr>
          <w:i/>
          <w:iCs/>
        </w:rPr>
        <w:t xml:space="preserve"> </w:t>
      </w:r>
      <w:r>
        <w:rPr>
          <w:i/>
          <w:iCs/>
        </w:rPr>
        <w:t xml:space="preserve">Legal Issues</w:t>
      </w:r>
      <w:r>
        <w:rPr>
          <w:i/>
          <w:iCs/>
        </w:rPr>
        <w:t xml:space="preserve"> </w:t>
      </w:r>
      <w:r>
        <w:rPr>
          <w:i/>
          <w:iCs/>
        </w:rPr>
        <w:t xml:space="preserve">of</w:t>
      </w:r>
      <w:r>
        <w:rPr>
          <w:i/>
          <w:iCs/>
        </w:rPr>
        <w:t xml:space="preserve"> </w:t>
      </w:r>
      <w:r>
        <w:rPr>
          <w:i/>
          <w:iCs/>
        </w:rPr>
        <w:t xml:space="preserve">Including Women</w:t>
      </w:r>
      <w:r>
        <w:rPr>
          <w:i/>
          <w:iCs/>
        </w:rPr>
        <w:t xml:space="preserve"> </w:t>
      </w:r>
      <w:r>
        <w:rPr>
          <w:i/>
          <w:iCs/>
        </w:rPr>
        <w:t xml:space="preserve">in</w:t>
      </w:r>
      <w:r>
        <w:rPr>
          <w:i/>
          <w:iCs/>
        </w:rPr>
        <w:t xml:space="preserve"> </w:t>
      </w:r>
      <w:r>
        <w:rPr>
          <w:i/>
          <w:iCs/>
        </w:rPr>
        <w:t xml:space="preserve">Clinical Studies</w:t>
      </w:r>
      <w:r>
        <w:rPr>
          <w:i/>
          <w:iCs/>
        </w:rPr>
        <w:t xml:space="preserve">:</w:t>
      </w:r>
      <w:r>
        <w:rPr>
          <w:i/>
          <w:iCs/>
        </w:rPr>
        <w:t xml:space="preserve"> </w:t>
      </w:r>
      <w:r>
        <w:rPr>
          <w:i/>
          <w:iCs/>
        </w:rPr>
        <w:t xml:space="preserve">Volume I</w:t>
      </w:r>
      <w:r>
        <w:t xml:space="preserve">. National Academies Press (US).</w:t>
      </w:r>
    </w:p>
    <w:bookmarkEnd w:id="395"/>
    <w:bookmarkStart w:id="396" w:name="X28b8f85e424928e66706a578d6053e0308d1105"/>
    <w:p>
      <w:pPr>
        <w:pStyle w:val="Bibliography"/>
      </w:pPr>
      <w:r>
        <w:t xml:space="preserve">Substance Abuse and Mental Health Services Administration. (n.d.).</w:t>
      </w:r>
      <w:r>
        <w:t xml:space="preserve"> </w:t>
      </w:r>
      <w:r>
        <w:rPr>
          <w:i/>
          <w:iCs/>
        </w:rPr>
        <w:t xml:space="preserve">2024</w:t>
      </w:r>
      <w:r>
        <w:rPr>
          <w:i/>
          <w:iCs/>
        </w:rPr>
        <w:t xml:space="preserve"> </w:t>
      </w:r>
      <w:r>
        <w:rPr>
          <w:i/>
          <w:iCs/>
        </w:rPr>
        <w:t xml:space="preserve">NSDUH Detailed Tables</w:t>
      </w:r>
      <w:r>
        <w:rPr>
          <w:i/>
          <w:iCs/>
        </w:rPr>
        <w:t xml:space="preserve"> </w:t>
      </w:r>
      <w:r>
        <w:rPr>
          <w:i/>
          <w:iCs/>
        </w:rPr>
        <w:t xml:space="preserve"> </w:t>
      </w:r>
      <w:r>
        <w:rPr>
          <w:i/>
          <w:iCs/>
        </w:rPr>
        <w:t xml:space="preserve">CBHSQ Data</w:t>
      </w:r>
      <w:r>
        <w:t xml:space="preserve">. https://www.samhsa.gov/data/report/2024-nsduh-detailed-tables.</w:t>
      </w:r>
    </w:p>
    <w:bookmarkEnd w:id="396"/>
    <w:bookmarkStart w:id="398" w:name="Xb4363def9a086869984bb1996514c38c4a5108e"/>
    <w:p>
      <w:pPr>
        <w:pStyle w:val="Bibliography"/>
      </w:pPr>
      <w:r>
        <w:t xml:space="preserve">Substance Abuse and Mental Health Services Administration (US), &amp; Office of the Surgeon General (US). (2016).</w:t>
      </w:r>
      <w:r>
        <w:t xml:space="preserve"> </w:t>
      </w:r>
      <w:hyperlink r:id="rId397">
        <w:r>
          <w:rPr>
            <w:rStyle w:val="Hyperlink"/>
            <w:i/>
            <w:iCs/>
          </w:rPr>
          <w:t xml:space="preserve">Facing</w:t>
        </w:r>
        <w:r>
          <w:rPr>
            <w:rStyle w:val="Hyperlink"/>
            <w:i/>
            <w:iCs/>
          </w:rPr>
          <w:t xml:space="preserve"> </w:t>
        </w:r>
        <w:r>
          <w:rPr>
            <w:rStyle w:val="Hyperlink"/>
            <w:i/>
            <w:iCs/>
          </w:rPr>
          <w:t xml:space="preserve">Addiction</w:t>
        </w:r>
        <w:r>
          <w:rPr>
            <w:rStyle w:val="Hyperlink"/>
            <w:i/>
            <w:iCs/>
          </w:rPr>
          <w:t xml:space="preserve"> </w:t>
        </w:r>
        <w:r>
          <w:rPr>
            <w:rStyle w:val="Hyperlink"/>
            <w:i/>
            <w:iCs/>
          </w:rPr>
          <w:t xml:space="preserve">in</w:t>
        </w:r>
        <w:r>
          <w:rPr>
            <w:rStyle w:val="Hyperlink"/>
            <w:i/>
            <w:iCs/>
          </w:rPr>
          <w:t xml:space="preserve"> </w:t>
        </w:r>
        <w:r>
          <w:rPr>
            <w:rStyle w:val="Hyperlink"/>
            <w:i/>
            <w:iCs/>
          </w:rPr>
          <w:t xml:space="preserve">America</w:t>
        </w:r>
        <w:r>
          <w:rPr>
            <w:rStyle w:val="Hyperlink"/>
            <w:i/>
            <w:iCs/>
          </w:rPr>
          <w:t xml:space="preserve">:</w:t>
        </w:r>
        <w:r>
          <w:rPr>
            <w:rStyle w:val="Hyperlink"/>
            <w:i/>
            <w:iCs/>
          </w:rPr>
          <w:t xml:space="preserve"> </w:t>
        </w:r>
        <w:r>
          <w:rPr>
            <w:rStyle w:val="Hyperlink"/>
            <w:i/>
            <w:iCs/>
          </w:rPr>
          <w:t xml:space="preserve">The Surgeon General</w:t>
        </w:r>
        <w:r>
          <w:rPr>
            <w:rStyle w:val="Hyperlink"/>
            <w:i/>
            <w:iCs/>
          </w:rPr>
          <w:t xml:space="preserve">’s</w:t>
        </w:r>
        <w:r>
          <w:rPr>
            <w:rStyle w:val="Hyperlink"/>
            <w:i/>
            <w:iCs/>
          </w:rPr>
          <w:t xml:space="preserve"> </w:t>
        </w:r>
        <w:r>
          <w:rPr>
            <w:rStyle w:val="Hyperlink"/>
            <w:i/>
            <w:iCs/>
          </w:rPr>
          <w:t xml:space="preserve">Report</w:t>
        </w:r>
        <w:r>
          <w:rPr>
            <w:rStyle w:val="Hyperlink"/>
            <w:i/>
            <w:iCs/>
          </w:rPr>
          <w:t xml:space="preserve"> </w:t>
        </w:r>
        <w:r>
          <w:rPr>
            <w:rStyle w:val="Hyperlink"/>
            <w:i/>
            <w:iCs/>
          </w:rPr>
          <w:t xml:space="preserve">on</w:t>
        </w:r>
        <w:r>
          <w:rPr>
            <w:rStyle w:val="Hyperlink"/>
            <w:i/>
            <w:iCs/>
          </w:rPr>
          <w:t xml:space="preserve"> </w:t>
        </w:r>
        <w:r>
          <w:rPr>
            <w:rStyle w:val="Hyperlink"/>
            <w:i/>
            <w:iCs/>
          </w:rPr>
          <w:t xml:space="preserve">Alcohol</w:t>
        </w:r>
        <w:r>
          <w:rPr>
            <w:rStyle w:val="Hyperlink"/>
            <w:i/>
            <w:iCs/>
          </w:rPr>
          <w:t xml:space="preserve">,</w:t>
        </w:r>
        <w:r>
          <w:rPr>
            <w:rStyle w:val="Hyperlink"/>
            <w:i/>
            <w:iCs/>
          </w:rPr>
          <w:t xml:space="preserve"> </w:t>
        </w:r>
        <w:r>
          <w:rPr>
            <w:rStyle w:val="Hyperlink"/>
            <w:i/>
            <w:iCs/>
          </w:rPr>
          <w:t xml:space="preserve">Drugs</w:t>
        </w:r>
        <w:r>
          <w:rPr>
            <w:rStyle w:val="Hyperlink"/>
            <w:i/>
            <w:iCs/>
          </w:rPr>
          <w:t xml:space="preserve">, and</w:t>
        </w:r>
        <w:r>
          <w:rPr>
            <w:rStyle w:val="Hyperlink"/>
            <w:i/>
            <w:iCs/>
          </w:rPr>
          <w:t xml:space="preserve"> </w:t>
        </w:r>
        <w:r>
          <w:rPr>
            <w:rStyle w:val="Hyperlink"/>
            <w:i/>
            <w:iCs/>
          </w:rPr>
          <w:t xml:space="preserve">Health</w:t>
        </w:r>
      </w:hyperlink>
      <w:r>
        <w:t xml:space="preserve">.</w:t>
      </w:r>
      <w:r>
        <w:t xml:space="preserve"> </w:t>
      </w:r>
      <w:r>
        <w:t xml:space="preserve">US Department of Health and Human Services</w:t>
      </w:r>
      <w:r>
        <w:t xml:space="preserve">.</w:t>
      </w:r>
    </w:p>
    <w:bookmarkEnd w:id="398"/>
    <w:bookmarkStart w:id="400" w:name="ref-taiTreatmentSubstanceUse2013"/>
    <w:p>
      <w:pPr>
        <w:pStyle w:val="Bibliography"/>
      </w:pPr>
      <w:r>
        <w:t xml:space="preserve">Tai, B., &amp; Volkow, N. D. (2013). Treatment for</w:t>
      </w:r>
      <w:r>
        <w:t xml:space="preserve"> </w:t>
      </w:r>
      <w:r>
        <w:t xml:space="preserve">Substance Use Disorder</w:t>
      </w:r>
      <w:r>
        <w:t xml:space="preserve">:</w:t>
      </w:r>
      <w:r>
        <w:t xml:space="preserve"> </w:t>
      </w:r>
      <w:r>
        <w:t xml:space="preserve">Opportunities</w:t>
      </w:r>
      <w:r>
        <w:t xml:space="preserve"> </w:t>
      </w:r>
      <w:r>
        <w:t xml:space="preserve">and</w:t>
      </w:r>
      <w:r>
        <w:t xml:space="preserve"> </w:t>
      </w:r>
      <w:r>
        <w:t xml:space="preserve">Challenges</w:t>
      </w:r>
      <w:r>
        <w:t xml:space="preserve"> </w:t>
      </w:r>
      <w:r>
        <w:t xml:space="preserve">under the</w:t>
      </w:r>
      <w:r>
        <w:t xml:space="preserve"> </w:t>
      </w:r>
      <w:r>
        <w:t xml:space="preserve">Affordable Care Act</w:t>
      </w:r>
      <w:r>
        <w:t xml:space="preserve">.</w:t>
      </w:r>
      <w:r>
        <w:t xml:space="preserve"> </w:t>
      </w:r>
      <w:r>
        <w:rPr>
          <w:i/>
          <w:iCs/>
        </w:rPr>
        <w:t xml:space="preserve">Social Work in Public Health</w:t>
      </w:r>
      <w:r>
        <w:t xml:space="preserve">,</w:t>
      </w:r>
      <w:r>
        <w:t xml:space="preserve"> </w:t>
      </w:r>
      <w:r>
        <w:rPr>
          <w:i/>
          <w:iCs/>
        </w:rPr>
        <w:t xml:space="preserve">28</w:t>
      </w:r>
      <w:r>
        <w:t xml:space="preserve">(3-4), 165–174.</w:t>
      </w:r>
      <w:r>
        <w:t xml:space="preserve"> </w:t>
      </w:r>
      <w:hyperlink r:id="rId399">
        <w:r>
          <w:rPr>
            <w:rStyle w:val="Hyperlink"/>
          </w:rPr>
          <w:t xml:space="preserve">https://doi.org/10.1080/19371918.2013.758975</w:t>
        </w:r>
      </w:hyperlink>
    </w:p>
    <w:bookmarkEnd w:id="400"/>
    <w:bookmarkStart w:id="402" w:name="Xdd108b50209bad1fdcf1a9fcca4dd1d7d3b13e9"/>
    <w:p>
      <w:pPr>
        <w:pStyle w:val="Bibliography"/>
      </w:pPr>
      <w:r>
        <w:t xml:space="preserve">Tausczik, Y. R., &amp; Pennebaker, J. W. (2010). The</w:t>
      </w:r>
      <w:r>
        <w:t xml:space="preserve"> </w:t>
      </w:r>
      <w:r>
        <w:t xml:space="preserve">Psychological Meaning</w:t>
      </w:r>
      <w:r>
        <w:t xml:space="preserve"> </w:t>
      </w:r>
      <w:r>
        <w:t xml:space="preserve">of</w:t>
      </w:r>
      <w:r>
        <w:t xml:space="preserve"> </w:t>
      </w:r>
      <w:r>
        <w:t xml:space="preserve">Words</w:t>
      </w:r>
      <w:r>
        <w:t xml:space="preserve">:</w:t>
      </w:r>
      <w:r>
        <w:t xml:space="preserve"> </w:t>
      </w:r>
      <w:r>
        <w:t xml:space="preserve">LIWC</w:t>
      </w:r>
      <w:r>
        <w:t xml:space="preserve"> </w:t>
      </w:r>
      <w:r>
        <w:t xml:space="preserve">and</w:t>
      </w:r>
      <w:r>
        <w:t xml:space="preserve"> </w:t>
      </w:r>
      <w:r>
        <w:t xml:space="preserve">Computerized Text Analysis Methods</w:t>
      </w:r>
      <w:r>
        <w:t xml:space="preserve">.</w:t>
      </w:r>
      <w:r>
        <w:t xml:space="preserve"> </w:t>
      </w:r>
      <w:r>
        <w:rPr>
          <w:i/>
          <w:iCs/>
        </w:rPr>
        <w:t xml:space="preserve">Journal of Language and Social Psychology</w:t>
      </w:r>
      <w:r>
        <w:t xml:space="preserve">,</w:t>
      </w:r>
      <w:r>
        <w:t xml:space="preserve"> </w:t>
      </w:r>
      <w:r>
        <w:rPr>
          <w:i/>
          <w:iCs/>
        </w:rPr>
        <w:t xml:space="preserve">29</w:t>
      </w:r>
      <w:r>
        <w:t xml:space="preserve">(1), 24–54.</w:t>
      </w:r>
      <w:r>
        <w:t xml:space="preserve"> </w:t>
      </w:r>
      <w:hyperlink r:id="rId401">
        <w:r>
          <w:rPr>
            <w:rStyle w:val="Hyperlink"/>
          </w:rPr>
          <w:t xml:space="preserve">https://doi.org/10.1177/0261927X09351676</w:t>
        </w:r>
      </w:hyperlink>
    </w:p>
    <w:bookmarkEnd w:id="402"/>
    <w:bookmarkStart w:id="404" w:name="ref-timmonsCallActionAssessing2023"/>
    <w:p>
      <w:pPr>
        <w:pStyle w:val="Bibliography"/>
      </w:pPr>
      <w:r>
        <w:t xml:space="preserve">Timmons, A. C., Duong, J. B., Simo Fiallo, N., Lee, T., Vo, H. P. Q., Ahle, M. W., Comer, J. S., Brewer, L. C., Frazier, S. L., &amp; Chaspari, T. (2023). A</w:t>
      </w:r>
      <w:r>
        <w:t xml:space="preserve"> </w:t>
      </w:r>
      <w:r>
        <w:t xml:space="preserve">Call</w:t>
      </w:r>
      <w:r>
        <w:t xml:space="preserve"> </w:t>
      </w:r>
      <w:r>
        <w:t xml:space="preserve">to</w:t>
      </w:r>
      <w:r>
        <w:t xml:space="preserve"> </w:t>
      </w:r>
      <w:r>
        <w:t xml:space="preserve">Action</w:t>
      </w:r>
      <w:r>
        <w:t xml:space="preserve"> </w:t>
      </w:r>
      <w:r>
        <w:t xml:space="preserve">on</w:t>
      </w:r>
      <w:r>
        <w:t xml:space="preserve"> </w:t>
      </w:r>
      <w:r>
        <w:t xml:space="preserve">Assessing</w:t>
      </w:r>
      <w:r>
        <w:t xml:space="preserve"> </w:t>
      </w:r>
      <w:r>
        <w:t xml:space="preserve">and</w:t>
      </w:r>
      <w:r>
        <w:t xml:space="preserve"> </w:t>
      </w:r>
      <w:r>
        <w:t xml:space="preserve">Mitigating Bias</w:t>
      </w:r>
      <w:r>
        <w:t xml:space="preserve"> </w:t>
      </w:r>
      <w:r>
        <w:t xml:space="preserve">in</w:t>
      </w:r>
      <w:r>
        <w:t xml:space="preserve"> </w:t>
      </w:r>
      <w:r>
        <w:t xml:space="preserve">Artificial Intelligence Applications</w:t>
      </w:r>
      <w:r>
        <w:t xml:space="preserve"> </w:t>
      </w:r>
      <w:r>
        <w:t xml:space="preserve">for</w:t>
      </w:r>
      <w:r>
        <w:t xml:space="preserve"> </w:t>
      </w:r>
      <w:r>
        <w:t xml:space="preserve">Mental Health</w:t>
      </w:r>
      <w:r>
        <w:t xml:space="preserve">.</w:t>
      </w:r>
      <w:r>
        <w:t xml:space="preserve"> </w:t>
      </w:r>
      <w:r>
        <w:rPr>
          <w:i/>
          <w:iCs/>
        </w:rPr>
        <w:t xml:space="preserve">Perspectives on Psychological Science: A Journal of the Association for Psychological Science</w:t>
      </w:r>
      <w:r>
        <w:t xml:space="preserve">,</w:t>
      </w:r>
      <w:r>
        <w:t xml:space="preserve"> </w:t>
      </w:r>
      <w:r>
        <w:rPr>
          <w:i/>
          <w:iCs/>
        </w:rPr>
        <w:t xml:space="preserve">18</w:t>
      </w:r>
      <w:r>
        <w:t xml:space="preserve">(5), 1062–1096.</w:t>
      </w:r>
      <w:r>
        <w:t xml:space="preserve"> </w:t>
      </w:r>
      <w:hyperlink r:id="rId403">
        <w:r>
          <w:rPr>
            <w:rStyle w:val="Hyperlink"/>
          </w:rPr>
          <w:t xml:space="preserve">https://doi.org/10.1177/17456916221134490</w:t>
        </w:r>
      </w:hyperlink>
    </w:p>
    <w:bookmarkEnd w:id="404"/>
    <w:bookmarkStart w:id="405" w:name="X02e5321a76132d9f7eccbf98ffb96255c7e2584"/>
    <w:p>
      <w:pPr>
        <w:pStyle w:val="Bibliography"/>
      </w:pPr>
      <w:r>
        <w:t xml:space="preserve">United States Department of Transportation National Highway Traffic Safety Administration. (2024).</w:t>
      </w:r>
      <w:r>
        <w:t xml:space="preserve"> </w:t>
      </w:r>
      <w:r>
        <w:rPr>
          <w:i/>
          <w:iCs/>
        </w:rPr>
        <w:t xml:space="preserve">Traffic</w:t>
      </w:r>
      <w:r>
        <w:rPr>
          <w:i/>
          <w:iCs/>
        </w:rPr>
        <w:t xml:space="preserve"> </w:t>
      </w:r>
      <w:r>
        <w:rPr>
          <w:i/>
          <w:iCs/>
        </w:rPr>
        <w:t xml:space="preserve">Safety Facts</w:t>
      </w:r>
      <w:r>
        <w:rPr>
          <w:i/>
          <w:iCs/>
        </w:rPr>
        <w:t xml:space="preserve"> </w:t>
      </w:r>
      <w:r>
        <w:rPr>
          <w:i/>
          <w:iCs/>
        </w:rPr>
        <w:t xml:space="preserve">2022</w:t>
      </w:r>
      <w:r>
        <w:rPr>
          <w:i/>
          <w:iCs/>
        </w:rPr>
        <w:t xml:space="preserve"> </w:t>
      </w:r>
      <w:r>
        <w:rPr>
          <w:i/>
          <w:iCs/>
        </w:rPr>
        <w:t xml:space="preserve">Data</w:t>
      </w:r>
      <w:r>
        <w:rPr>
          <w:i/>
          <w:iCs/>
        </w:rPr>
        <w:t xml:space="preserve">:</w:t>
      </w:r>
      <w:r>
        <w:rPr>
          <w:i/>
          <w:iCs/>
        </w:rPr>
        <w:t xml:space="preserve"> </w:t>
      </w:r>
      <w:r>
        <w:rPr>
          <w:i/>
          <w:iCs/>
        </w:rPr>
        <w:t xml:space="preserve">Alcohol-Impaired Driving</w:t>
      </w:r>
      <w:r>
        <w:t xml:space="preserve"> </w:t>
      </w:r>
      <w:r>
        <w:t xml:space="preserve">(DOT HS 813 578).</w:t>
      </w:r>
    </w:p>
    <w:bookmarkEnd w:id="405"/>
    <w:bookmarkStart w:id="407" w:name="X52c4c4b564080b2dbcc4b68874ef8a36e7b0a07"/>
    <w:p>
      <w:pPr>
        <w:pStyle w:val="Bibliography"/>
      </w:pPr>
      <w:r>
        <w:t xml:space="preserve">Van Calster, B., Collins, G. S., Vickers, A. J., Wynants, L., Kerr, K. F., Barreñada, L., Varoquaux, G., Singh, K., Moons, K. G., Hernandez-Boussard, T., Timmerman, D., McLernon, D. J., Van Smeden, M., &amp; Steyerberg, E. W. (2025). Evaluation of performance measures in predictive artificial intelligence models to support medical decisions: Overview and guidance.</w:t>
      </w:r>
      <w:r>
        <w:t xml:space="preserve"> </w:t>
      </w:r>
      <w:r>
        <w:rPr>
          <w:i/>
          <w:iCs/>
        </w:rPr>
        <w:t xml:space="preserve">The Lancet Digital Health</w:t>
      </w:r>
      <w:r>
        <w:t xml:space="preserve">, 100916.</w:t>
      </w:r>
      <w:r>
        <w:t xml:space="preserve"> </w:t>
      </w:r>
      <w:hyperlink r:id="rId406">
        <w:r>
          <w:rPr>
            <w:rStyle w:val="Hyperlink"/>
          </w:rPr>
          <w:t xml:space="preserve">https://doi.org/10.1016/j.landig.2025.100916</w:t>
        </w:r>
      </w:hyperlink>
    </w:p>
    <w:bookmarkEnd w:id="407"/>
    <w:bookmarkStart w:id="409" w:name="X6ee708186a5d814f6044b48499818110320664f"/>
    <w:p>
      <w:pPr>
        <w:pStyle w:val="Bibliography"/>
      </w:pPr>
      <w:r>
        <w:t xml:space="preserve">Vandewiele, G., Dehaene, I., Kovács, G., Sterckx, L., Janssens, O., Ongenae, F., De Backere, F., De Turck, F., Roelens, K., Decruyenaere, J., Van Hoecke, S., &amp; Demeester, T. (2021). Overly optimistic prediction results on imbalanced data: A case study of flaws and benefits when applying over-sampling.</w:t>
      </w:r>
      <w:r>
        <w:t xml:space="preserve"> </w:t>
      </w:r>
      <w:r>
        <w:rPr>
          <w:i/>
          <w:iCs/>
        </w:rPr>
        <w:t xml:space="preserve">Artificial Intelligence in Medicine</w:t>
      </w:r>
      <w:r>
        <w:t xml:space="preserve">,</w:t>
      </w:r>
      <w:r>
        <w:t xml:space="preserve"> </w:t>
      </w:r>
      <w:r>
        <w:rPr>
          <w:i/>
          <w:iCs/>
        </w:rPr>
        <w:t xml:space="preserve">111</w:t>
      </w:r>
      <w:r>
        <w:t xml:space="preserve">, 101987.</w:t>
      </w:r>
      <w:r>
        <w:t xml:space="preserve"> </w:t>
      </w:r>
      <w:hyperlink r:id="rId408">
        <w:r>
          <w:rPr>
            <w:rStyle w:val="Hyperlink"/>
          </w:rPr>
          <w:t xml:space="preserve">https://doi.org/10.1016/j.artmed.2020.101987</w:t>
        </w:r>
      </w:hyperlink>
    </w:p>
    <w:bookmarkEnd w:id="409"/>
    <w:bookmarkStart w:id="411" w:name="ref-vannicelliEffectSexBias1984"/>
    <w:p>
      <w:pPr>
        <w:pStyle w:val="Bibliography"/>
      </w:pPr>
      <w:r>
        <w:t xml:space="preserve">Vannicelli, M., &amp; Nash, L. (1984). Effect of</w:t>
      </w:r>
      <w:r>
        <w:t xml:space="preserve"> </w:t>
      </w:r>
      <w:r>
        <w:t xml:space="preserve">Sex Bias</w:t>
      </w:r>
      <w:r>
        <w:t xml:space="preserve"> </w:t>
      </w:r>
      <w:r>
        <w:t xml:space="preserve">on</w:t>
      </w:r>
      <w:r>
        <w:t xml:space="preserve"> </w:t>
      </w:r>
      <w:r>
        <w:t xml:space="preserve">Women</w:t>
      </w:r>
      <w:r>
        <w:t xml:space="preserve">’s</w:t>
      </w:r>
      <w:r>
        <w:t xml:space="preserve"> </w:t>
      </w:r>
      <w:r>
        <w:t xml:space="preserve">Studies</w:t>
      </w:r>
      <w:r>
        <w:t xml:space="preserve"> </w:t>
      </w:r>
      <w:r>
        <w:t xml:space="preserve">on</w:t>
      </w:r>
      <w:r>
        <w:t xml:space="preserve"> </w:t>
      </w:r>
      <w:r>
        <w:t xml:space="preserve">Alcoholism</w:t>
      </w:r>
      <w:r>
        <w:t xml:space="preserve">.</w:t>
      </w:r>
      <w:r>
        <w:t xml:space="preserve"> </w:t>
      </w:r>
      <w:r>
        <w:rPr>
          <w:i/>
          <w:iCs/>
        </w:rPr>
        <w:t xml:space="preserve">Alcoholism: Clinical and Experimental Research</w:t>
      </w:r>
      <w:r>
        <w:t xml:space="preserve">,</w:t>
      </w:r>
      <w:r>
        <w:t xml:space="preserve"> </w:t>
      </w:r>
      <w:r>
        <w:rPr>
          <w:i/>
          <w:iCs/>
        </w:rPr>
        <w:t xml:space="preserve">8</w:t>
      </w:r>
      <w:r>
        <w:t xml:space="preserve">(3), 334–336.</w:t>
      </w:r>
      <w:r>
        <w:t xml:space="preserve"> </w:t>
      </w:r>
      <w:hyperlink r:id="rId410">
        <w:r>
          <w:rPr>
            <w:rStyle w:val="Hyperlink"/>
          </w:rPr>
          <w:t xml:space="preserve">https://doi.org/10.1111/j.1530-0277.1984.tb05523.x</w:t>
        </w:r>
      </w:hyperlink>
    </w:p>
    <w:bookmarkEnd w:id="411"/>
    <w:bookmarkStart w:id="413" w:name="ref-veinotGoodIntentionsAre2018"/>
    <w:p>
      <w:pPr>
        <w:pStyle w:val="Bibliography"/>
      </w:pPr>
      <w:r>
        <w:t xml:space="preserve">Veinot, T. C., Mitchell, H., &amp; Ancker, J. S. (2018). Good intentions are not enough: How informatics interventions can worsen inequality.</w:t>
      </w:r>
      <w:r>
        <w:t xml:space="preserve"> </w:t>
      </w:r>
      <w:r>
        <w:rPr>
          <w:i/>
          <w:iCs/>
        </w:rPr>
        <w:t xml:space="preserve">Journal of the American Medical Informatics Association: JAMIA</w:t>
      </w:r>
      <w:r>
        <w:t xml:space="preserve">,</w:t>
      </w:r>
      <w:r>
        <w:t xml:space="preserve"> </w:t>
      </w:r>
      <w:r>
        <w:rPr>
          <w:i/>
          <w:iCs/>
        </w:rPr>
        <w:t xml:space="preserve">25</w:t>
      </w:r>
      <w:r>
        <w:t xml:space="preserve">(8), 1080–1088.</w:t>
      </w:r>
      <w:r>
        <w:t xml:space="preserve"> </w:t>
      </w:r>
      <w:hyperlink r:id="rId412">
        <w:r>
          <w:rPr>
            <w:rStyle w:val="Hyperlink"/>
          </w:rPr>
          <w:t xml:space="preserve">https://doi.org/10.1093/jamia/ocy052</w:t>
        </w:r>
      </w:hyperlink>
    </w:p>
    <w:bookmarkEnd w:id="413"/>
    <w:bookmarkStart w:id="415" w:name="ref-wagnerImprovingChronicIllness2001"/>
    <w:p>
      <w:pPr>
        <w:pStyle w:val="Bibliography"/>
      </w:pPr>
      <w:r>
        <w:t xml:space="preserve">Wagner, E. H., Austin, B. T., Davis, C., Hindmarsh, M., Schaefer, J., &amp; Bonomi, A. (2001). Improving</w:t>
      </w:r>
      <w:r>
        <w:t xml:space="preserve"> </w:t>
      </w:r>
      <w:r>
        <w:t xml:space="preserve">Chronic Illness Care</w:t>
      </w:r>
      <w:r>
        <w:t xml:space="preserve">:</w:t>
      </w:r>
      <w:r>
        <w:t xml:space="preserve"> </w:t>
      </w:r>
      <w:r>
        <w:t xml:space="preserve">Translating Evidence Into Action</w:t>
      </w:r>
      <w:r>
        <w:t xml:space="preserve">.</w:t>
      </w:r>
      <w:r>
        <w:t xml:space="preserve"> </w:t>
      </w:r>
      <w:r>
        <w:rPr>
          <w:i/>
          <w:iCs/>
        </w:rPr>
        <w:t xml:space="preserve">Health Affairs</w:t>
      </w:r>
      <w:r>
        <w:t xml:space="preserve">,</w:t>
      </w:r>
      <w:r>
        <w:t xml:space="preserve"> </w:t>
      </w:r>
      <w:r>
        <w:rPr>
          <w:i/>
          <w:iCs/>
        </w:rPr>
        <w:t xml:space="preserve">20</w:t>
      </w:r>
      <w:r>
        <w:t xml:space="preserve">(6), 64–78.</w:t>
      </w:r>
      <w:r>
        <w:t xml:space="preserve"> </w:t>
      </w:r>
      <w:hyperlink r:id="rId414">
        <w:r>
          <w:rPr>
            <w:rStyle w:val="Hyperlink"/>
          </w:rPr>
          <w:t xml:space="preserve">https://doi.org/10.1377/hlthaff.20.6.64</w:t>
        </w:r>
      </w:hyperlink>
    </w:p>
    <w:bookmarkEnd w:id="415"/>
    <w:bookmarkStart w:id="417" w:name="ref-walitzerGenderDifferencesAlcohol2006"/>
    <w:p>
      <w:pPr>
        <w:pStyle w:val="Bibliography"/>
      </w:pPr>
      <w:r>
        <w:t xml:space="preserve">Walitzer, K. S., &amp; Dearing, R. L. (2006). Gender differences in alcohol and substance use relapse.</w:t>
      </w:r>
      <w:r>
        <w:t xml:space="preserve"> </w:t>
      </w:r>
      <w:r>
        <w:rPr>
          <w:i/>
          <w:iCs/>
        </w:rPr>
        <w:t xml:space="preserve">Clinical Psychology Review</w:t>
      </w:r>
      <w:r>
        <w:t xml:space="preserve">,</w:t>
      </w:r>
      <w:r>
        <w:t xml:space="preserve"> </w:t>
      </w:r>
      <w:r>
        <w:rPr>
          <w:i/>
          <w:iCs/>
        </w:rPr>
        <w:t xml:space="preserve">26</w:t>
      </w:r>
      <w:r>
        <w:t xml:space="preserve">(2), 128–148.</w:t>
      </w:r>
      <w:r>
        <w:t xml:space="preserve"> </w:t>
      </w:r>
      <w:hyperlink r:id="rId416">
        <w:r>
          <w:rPr>
            <w:rStyle w:val="Hyperlink"/>
          </w:rPr>
          <w:t xml:space="preserve">https://doi.org/10.1016/j.cpr.2005.11.003</w:t>
        </w:r>
      </w:hyperlink>
    </w:p>
    <w:bookmarkEnd w:id="417"/>
    <w:bookmarkStart w:id="419" w:name="ref-waltersUsingMachineLearning2021"/>
    <w:p>
      <w:pPr>
        <w:pStyle w:val="Bibliography"/>
      </w:pPr>
      <w:r>
        <w:t xml:space="preserve">Walters, S. T., Businelle, M. S., Suchting, R., Li, X., Hébert, E. T., &amp; Mun, E.-Y. (2021). Using machine learning to identify predictors of imminent drinking and create tailored messages for at-risk drinkers experiencing homelessness.</w:t>
      </w:r>
      <w:r>
        <w:t xml:space="preserve"> </w:t>
      </w:r>
      <w:r>
        <w:rPr>
          <w:i/>
          <w:iCs/>
        </w:rPr>
        <w:t xml:space="preserve">Journal of Substance Abuse Treatment</w:t>
      </w:r>
      <w:r>
        <w:t xml:space="preserve">,</w:t>
      </w:r>
      <w:r>
        <w:t xml:space="preserve"> </w:t>
      </w:r>
      <w:r>
        <w:rPr>
          <w:i/>
          <w:iCs/>
        </w:rPr>
        <w:t xml:space="preserve">127</w:t>
      </w:r>
      <w:r>
        <w:t xml:space="preserve">, 108417.</w:t>
      </w:r>
      <w:r>
        <w:t xml:space="preserve"> </w:t>
      </w:r>
      <w:hyperlink r:id="rId418">
        <w:r>
          <w:rPr>
            <w:rStyle w:val="Hyperlink"/>
          </w:rPr>
          <w:t xml:space="preserve">https://doi.org/10.1016/j.jsat.2021.108417</w:t>
        </w:r>
      </w:hyperlink>
    </w:p>
    <w:bookmarkEnd w:id="419"/>
    <w:bookmarkStart w:id="421" w:name="ref-weinsteinLongtermRetentionOffice2017"/>
    <w:p>
      <w:pPr>
        <w:pStyle w:val="Bibliography"/>
      </w:pPr>
      <w:r>
        <w:t xml:space="preserve">Weinstein, Z. M., Kim, H. W., Cheng, D. M., Quinn, E., Hui, D., Labelle, C. T., Drainoni, M.-L., Bachman, S. S., &amp; Samet, J. H. (2017). Long-term retention in</w:t>
      </w:r>
      <w:r>
        <w:t xml:space="preserve"> </w:t>
      </w:r>
      <w:r>
        <w:t xml:space="preserve">Office Based Opioid Treatment</w:t>
      </w:r>
      <w:r>
        <w:t xml:space="preserve"> </w:t>
      </w:r>
      <w:r>
        <w:t xml:space="preserve">with buprenorphine.</w:t>
      </w:r>
      <w:r>
        <w:t xml:space="preserve"> </w:t>
      </w:r>
      <w:r>
        <w:rPr>
          <w:i/>
          <w:iCs/>
        </w:rPr>
        <w:t xml:space="preserve">Journal of Substance Abuse Treatment</w:t>
      </w:r>
      <w:r>
        <w:t xml:space="preserve">,</w:t>
      </w:r>
      <w:r>
        <w:t xml:space="preserve"> </w:t>
      </w:r>
      <w:r>
        <w:rPr>
          <w:i/>
          <w:iCs/>
        </w:rPr>
        <w:t xml:space="preserve">74</w:t>
      </w:r>
      <w:r>
        <w:t xml:space="preserve">, 65–70.</w:t>
      </w:r>
      <w:r>
        <w:t xml:space="preserve"> </w:t>
      </w:r>
      <w:hyperlink r:id="rId420">
        <w:r>
          <w:rPr>
            <w:rStyle w:val="Hyperlink"/>
          </w:rPr>
          <w:t xml:space="preserve">https://doi.org/10.1016/j.jsat.2016.12.010</w:t>
        </w:r>
      </w:hyperlink>
    </w:p>
    <w:bookmarkEnd w:id="421"/>
    <w:bookmarkStart w:id="423" w:name="X2d30c84041d97351f676569bf3de3da0c8a9d6d"/>
    <w:p>
      <w:pPr>
        <w:pStyle w:val="Bibliography"/>
      </w:pPr>
      <w:r>
        <w:t xml:space="preserve">WHO ASSIST Working Group. (2002).</w:t>
      </w:r>
      <w:r>
        <w:t xml:space="preserve"> </w:t>
      </w:r>
      <w:hyperlink r:id="rId422">
        <w:r>
          <w:rPr>
            <w:rStyle w:val="Hyperlink"/>
          </w:rPr>
          <w:t xml:space="preserve">The</w:t>
        </w:r>
        <w:r>
          <w:rPr>
            <w:rStyle w:val="Hyperlink"/>
          </w:rPr>
          <w:t xml:space="preserve"> </w:t>
        </w:r>
        <w:r>
          <w:rPr>
            <w:rStyle w:val="Hyperlink"/>
          </w:rPr>
          <w:t xml:space="preserve">Alcohol</w:t>
        </w:r>
        <w:r>
          <w:rPr>
            <w:rStyle w:val="Hyperlink"/>
          </w:rPr>
          <w:t xml:space="preserve">,</w:t>
        </w:r>
        <w:r>
          <w:rPr>
            <w:rStyle w:val="Hyperlink"/>
          </w:rPr>
          <w:t xml:space="preserve"> </w:t>
        </w:r>
        <w:r>
          <w:rPr>
            <w:rStyle w:val="Hyperlink"/>
          </w:rPr>
          <w:t xml:space="preserve">Smoking</w:t>
        </w:r>
        <w:r>
          <w:rPr>
            <w:rStyle w:val="Hyperlink"/>
          </w:rPr>
          <w:t xml:space="preserve"> </w:t>
        </w:r>
        <w:r>
          <w:rPr>
            <w:rStyle w:val="Hyperlink"/>
          </w:rPr>
          <w:t xml:space="preserve">and</w:t>
        </w:r>
        <w:r>
          <w:rPr>
            <w:rStyle w:val="Hyperlink"/>
          </w:rPr>
          <w:t xml:space="preserve"> </w:t>
        </w:r>
        <w:r>
          <w:rPr>
            <w:rStyle w:val="Hyperlink"/>
          </w:rPr>
          <w:t xml:space="preserve">Substance Involvement Screening Test</w:t>
        </w:r>
        <w:r>
          <w:rPr>
            <w:rStyle w:val="Hyperlink"/>
          </w:rPr>
          <w:t xml:space="preserve"> </w:t>
        </w:r>
        <w:r>
          <w:rPr>
            <w:rStyle w:val="Hyperlink"/>
          </w:rPr>
          <w:t xml:space="preserve">(</w:t>
        </w:r>
        <w:r>
          <w:rPr>
            <w:rStyle w:val="Hyperlink"/>
          </w:rPr>
          <w:t xml:space="preserve">ASSIST</w:t>
        </w:r>
        <w:r>
          <w:rPr>
            <w:rStyle w:val="Hyperlink"/>
          </w:rPr>
          <w:t xml:space="preserve">): Development, reliability and feasibility</w:t>
        </w:r>
      </w:hyperlink>
      <w:r>
        <w:t xml:space="preserve">.</w:t>
      </w:r>
      <w:r>
        <w:t xml:space="preserve"> </w:t>
      </w:r>
      <w:r>
        <w:rPr>
          <w:i/>
          <w:iCs/>
        </w:rPr>
        <w:t xml:space="preserve">Addiction (Abingdon, England)</w:t>
      </w:r>
      <w:r>
        <w:t xml:space="preserve">,</w:t>
      </w:r>
      <w:r>
        <w:t xml:space="preserve"> </w:t>
      </w:r>
      <w:r>
        <w:rPr>
          <w:i/>
          <w:iCs/>
        </w:rPr>
        <w:t xml:space="preserve">97</w:t>
      </w:r>
      <w:r>
        <w:t xml:space="preserve">(9), 1183–1194.</w:t>
      </w:r>
    </w:p>
    <w:bookmarkEnd w:id="423"/>
    <w:bookmarkStart w:id="424" w:name="X00d53e799ac148a12fd23d85f7c587e1d44cff6"/>
    <w:p>
      <w:pPr>
        <w:pStyle w:val="Bibliography"/>
      </w:pPr>
      <w:r>
        <w:t xml:space="preserve">Witkiewitz, K. A., &amp; Marlatt, G. A. (Eds.). (2007).</w:t>
      </w:r>
      <w:r>
        <w:t xml:space="preserve"> </w:t>
      </w:r>
      <w:r>
        <w:rPr>
          <w:i/>
          <w:iCs/>
        </w:rPr>
        <w:t xml:space="preserve">Therapist’s</w:t>
      </w:r>
      <w:r>
        <w:rPr>
          <w:i/>
          <w:iCs/>
        </w:rPr>
        <w:t xml:space="preserve"> </w:t>
      </w:r>
      <w:r>
        <w:rPr>
          <w:i/>
          <w:iCs/>
        </w:rPr>
        <w:t xml:space="preserve">Guide</w:t>
      </w:r>
      <w:r>
        <w:rPr>
          <w:i/>
          <w:iCs/>
        </w:rPr>
        <w:t xml:space="preserve"> </w:t>
      </w:r>
      <w:r>
        <w:rPr>
          <w:i/>
          <w:iCs/>
        </w:rPr>
        <w:t xml:space="preserve">to</w:t>
      </w:r>
      <w:r>
        <w:rPr>
          <w:i/>
          <w:iCs/>
        </w:rPr>
        <w:t xml:space="preserve"> </w:t>
      </w:r>
      <w:r>
        <w:rPr>
          <w:i/>
          <w:iCs/>
        </w:rPr>
        <w:t xml:space="preserve">Evidence-Based Relapse Prevention</w:t>
      </w:r>
      <w:r>
        <w:t xml:space="preserve"> </w:t>
      </w:r>
      <w:r>
        <w:t xml:space="preserve">(1st edition). Academic Press.</w:t>
      </w:r>
    </w:p>
    <w:bookmarkEnd w:id="424"/>
    <w:bookmarkStart w:id="426" w:name="X4446e184b7dd55a61fd406499f32542fdcf24b5"/>
    <w:p>
      <w:pPr>
        <w:pStyle w:val="Bibliography"/>
      </w:pPr>
      <w:r>
        <w:t xml:space="preserve">Witkiewitz, K., &amp; Marlatt, G. A. (2004). Relapse prevention for alcohol and drug problems:</w:t>
      </w:r>
      <w:r>
        <w:t xml:space="preserve"> </w:t>
      </w:r>
      <w:r>
        <w:t xml:space="preserve">That</w:t>
      </w:r>
      <w:r>
        <w:t xml:space="preserve"> </w:t>
      </w:r>
      <w:r>
        <w:t xml:space="preserve">was zen, this is tao.</w:t>
      </w:r>
      <w:r>
        <w:t xml:space="preserve"> </w:t>
      </w:r>
      <w:r>
        <w:rPr>
          <w:i/>
          <w:iCs/>
        </w:rPr>
        <w:t xml:space="preserve">American Psychologist</w:t>
      </w:r>
      <w:r>
        <w:t xml:space="preserve">,</w:t>
      </w:r>
      <w:r>
        <w:t xml:space="preserve"> </w:t>
      </w:r>
      <w:r>
        <w:rPr>
          <w:i/>
          <w:iCs/>
        </w:rPr>
        <w:t xml:space="preserve">59</w:t>
      </w:r>
      <w:r>
        <w:t xml:space="preserve">(4), 224–235.</w:t>
      </w:r>
      <w:r>
        <w:t xml:space="preserve"> </w:t>
      </w:r>
      <w:hyperlink r:id="rId425">
        <w:r>
          <w:rPr>
            <w:rStyle w:val="Hyperlink"/>
          </w:rPr>
          <w:t xml:space="preserve">https://doi.org/10.1037/0003-066X.59.4.224</w:t>
        </w:r>
      </w:hyperlink>
    </w:p>
    <w:bookmarkEnd w:id="426"/>
    <w:bookmarkStart w:id="428" w:name="X254a0f87701f835b5365990b3eba45be7dca59c"/>
    <w:p>
      <w:pPr>
        <w:pStyle w:val="Bibliography"/>
      </w:pPr>
      <w:r>
        <w:t xml:space="preserve">Witkiewitz, K., &amp; Marlatt, G. A. (2007). Modeling the complexity of post-treatment drinking:</w:t>
      </w:r>
      <w:r>
        <w:t xml:space="preserve"> </w:t>
      </w:r>
      <w:r>
        <w:t xml:space="preserve">It</w:t>
      </w:r>
      <w:r>
        <w:t xml:space="preserve">’s a rocky road to relapse.</w:t>
      </w:r>
      <w:r>
        <w:t xml:space="preserve"> </w:t>
      </w:r>
      <w:r>
        <w:rPr>
          <w:i/>
          <w:iCs/>
        </w:rPr>
        <w:t xml:space="preserve">Clinical Psychology Review, New</w:t>
      </w:r>
      <w:r>
        <w:rPr>
          <w:i/>
          <w:iCs/>
        </w:rPr>
        <w:t xml:space="preserve"> </w:t>
      </w:r>
      <w:r>
        <w:rPr>
          <w:i/>
          <w:iCs/>
        </w:rPr>
        <w:t xml:space="preserve">Approaches</w:t>
      </w:r>
      <w:r>
        <w:rPr>
          <w:i/>
          <w:iCs/>
        </w:rPr>
        <w:t xml:space="preserve"> </w:t>
      </w:r>
      <w:r>
        <w:rPr>
          <w:i/>
          <w:iCs/>
        </w:rPr>
        <w:t xml:space="preserve">to the</w:t>
      </w:r>
      <w:r>
        <w:rPr>
          <w:i/>
          <w:iCs/>
        </w:rPr>
        <w:t xml:space="preserve"> </w:t>
      </w:r>
      <w:r>
        <w:rPr>
          <w:i/>
          <w:iCs/>
        </w:rPr>
        <w:t xml:space="preserve">Study</w:t>
      </w:r>
      <w:r>
        <w:rPr>
          <w:i/>
          <w:iCs/>
        </w:rPr>
        <w:t xml:space="preserve"> </w:t>
      </w:r>
      <w:r>
        <w:rPr>
          <w:i/>
          <w:iCs/>
        </w:rPr>
        <w:t xml:space="preserve">of</w:t>
      </w:r>
      <w:r>
        <w:rPr>
          <w:i/>
          <w:iCs/>
        </w:rPr>
        <w:t xml:space="preserve"> </w:t>
      </w:r>
      <w:r>
        <w:rPr>
          <w:i/>
          <w:iCs/>
        </w:rPr>
        <w:t xml:space="preserve">Change</w:t>
      </w:r>
      <w:r>
        <w:rPr>
          <w:i/>
          <w:iCs/>
        </w:rPr>
        <w:t xml:space="preserve"> </w:t>
      </w:r>
      <w:r>
        <w:rPr>
          <w:i/>
          <w:iCs/>
        </w:rPr>
        <w:t xml:space="preserve">in</w:t>
      </w:r>
      <w:r>
        <w:rPr>
          <w:i/>
          <w:iCs/>
        </w:rPr>
        <w:t xml:space="preserve"> </w:t>
      </w:r>
      <w:r>
        <w:rPr>
          <w:i/>
          <w:iCs/>
        </w:rPr>
        <w:t xml:space="preserve">Cognitive Behavioral Therapies</w:t>
      </w:r>
      <w:r>
        <w:t xml:space="preserve">,</w:t>
      </w:r>
      <w:r>
        <w:t xml:space="preserve"> </w:t>
      </w:r>
      <w:r>
        <w:rPr>
          <w:i/>
          <w:iCs/>
        </w:rPr>
        <w:t xml:space="preserve">27</w:t>
      </w:r>
      <w:r>
        <w:t xml:space="preserve">(6), 724–738.</w:t>
      </w:r>
      <w:r>
        <w:t xml:space="preserve"> </w:t>
      </w:r>
      <w:hyperlink r:id="rId427">
        <w:r>
          <w:rPr>
            <w:rStyle w:val="Hyperlink"/>
          </w:rPr>
          <w:t xml:space="preserve">https://doi.org/10.1016/j.cpr.2007.01.002</w:t>
        </w:r>
      </w:hyperlink>
    </w:p>
    <w:bookmarkEnd w:id="428"/>
    <w:bookmarkStart w:id="430" w:name="ref-woodLotPeopleCall2019"/>
    <w:p>
      <w:pPr>
        <w:pStyle w:val="Bibliography"/>
      </w:pPr>
      <w:r>
        <w:t xml:space="preserve">Wood, P., Opie, C., Tucci, J., Franklin, R., &amp; Anderson, K. (2019).</w:t>
      </w:r>
      <w:r>
        <w:t xml:space="preserve"> </w:t>
      </w:r>
      <w:r>
        <w:t xml:space="preserve">“</w:t>
      </w:r>
      <w:r>
        <w:t xml:space="preserve">A</w:t>
      </w:r>
      <w:r>
        <w:t xml:space="preserve"> </w:t>
      </w:r>
      <w:r>
        <w:t xml:space="preserve">lot of people call it liquid handcuffs”</w:t>
      </w:r>
      <w:r>
        <w:t xml:space="preserve"> </w:t>
      </w:r>
      <w:r>
        <w:t xml:space="preserve">– barriers and enablers to opioid replacement therapy in a rural area.</w:t>
      </w:r>
      <w:r>
        <w:t xml:space="preserve"> </w:t>
      </w:r>
      <w:r>
        <w:rPr>
          <w:i/>
          <w:iCs/>
        </w:rPr>
        <w:t xml:space="preserve">Journal of Substance Use</w:t>
      </w:r>
      <w:r>
        <w:t xml:space="preserve">,</w:t>
      </w:r>
      <w:r>
        <w:t xml:space="preserve"> </w:t>
      </w:r>
      <w:r>
        <w:rPr>
          <w:i/>
          <w:iCs/>
        </w:rPr>
        <w:t xml:space="preserve">24</w:t>
      </w:r>
      <w:r>
        <w:t xml:space="preserve">(2), 150–155.</w:t>
      </w:r>
      <w:r>
        <w:t xml:space="preserve"> </w:t>
      </w:r>
      <w:hyperlink r:id="rId429">
        <w:r>
          <w:rPr>
            <w:rStyle w:val="Hyperlink"/>
          </w:rPr>
          <w:t xml:space="preserve">https://doi.org/10.1080/14659891.2018.1523968</w:t>
        </w:r>
      </w:hyperlink>
    </w:p>
    <w:bookmarkEnd w:id="430"/>
    <w:bookmarkStart w:id="432" w:name="X513fadbf866a4ddf9f29b63741ad369252b4800"/>
    <w:p>
      <w:pPr>
        <w:pStyle w:val="Bibliography"/>
      </w:pPr>
      <w:r>
        <w:t xml:space="preserve">Wright, A. G. C., Hallquist, M. N., Stepp, S. D., Scott, L. N., Beeney, J. E., Lazarus, S. A., &amp; Pilkonis, P. A. (2016). Modeling</w:t>
      </w:r>
      <w:r>
        <w:t xml:space="preserve"> </w:t>
      </w:r>
      <w:r>
        <w:t xml:space="preserve">Heterogeneity</w:t>
      </w:r>
      <w:r>
        <w:t xml:space="preserve"> </w:t>
      </w:r>
      <w:r>
        <w:t xml:space="preserve">in</w:t>
      </w:r>
      <w:r>
        <w:t xml:space="preserve"> </w:t>
      </w:r>
      <w:r>
        <w:t xml:space="preserve">Momentary Interpersonal</w:t>
      </w:r>
      <w:r>
        <w:t xml:space="preserve"> </w:t>
      </w:r>
      <w:r>
        <w:t xml:space="preserve">and</w:t>
      </w:r>
      <w:r>
        <w:t xml:space="preserve"> </w:t>
      </w:r>
      <w:r>
        <w:t xml:space="preserve">Affective Dynamic Processes</w:t>
      </w:r>
      <w:r>
        <w:t xml:space="preserve"> </w:t>
      </w:r>
      <w:r>
        <w:t xml:space="preserve">in</w:t>
      </w:r>
      <w:r>
        <w:t xml:space="preserve"> </w:t>
      </w:r>
      <w:r>
        <w:t xml:space="preserve">Borderline Personality Disorder</w:t>
      </w:r>
      <w:r>
        <w:t xml:space="preserve">.</w:t>
      </w:r>
      <w:r>
        <w:t xml:space="preserve"> </w:t>
      </w:r>
      <w:r>
        <w:rPr>
          <w:i/>
          <w:iCs/>
        </w:rPr>
        <w:t xml:space="preserve">Assessment</w:t>
      </w:r>
      <w:r>
        <w:t xml:space="preserve">,</w:t>
      </w:r>
      <w:r>
        <w:t xml:space="preserve"> </w:t>
      </w:r>
      <w:r>
        <w:rPr>
          <w:i/>
          <w:iCs/>
        </w:rPr>
        <w:t xml:space="preserve">23</w:t>
      </w:r>
      <w:r>
        <w:t xml:space="preserve">(4), 484–495.</w:t>
      </w:r>
      <w:r>
        <w:t xml:space="preserve"> </w:t>
      </w:r>
      <w:hyperlink r:id="rId431">
        <w:r>
          <w:rPr>
            <w:rStyle w:val="Hyperlink"/>
          </w:rPr>
          <w:t xml:space="preserve">https://doi.org/10.1177/1073191116653829</w:t>
        </w:r>
      </w:hyperlink>
    </w:p>
    <w:bookmarkEnd w:id="432"/>
    <w:bookmarkStart w:id="434" w:name="X62c2bccfcb3c64764f794751dcac0a3c1c7edc5"/>
    <w:p>
      <w:pPr>
        <w:pStyle w:val="Bibliography"/>
      </w:pPr>
      <w:r>
        <w:t xml:space="preserve">Wright, A. G. C., &amp; Zimmermann, J. (2019). Applied</w:t>
      </w:r>
      <w:r>
        <w:t xml:space="preserve"> </w:t>
      </w:r>
      <w:r>
        <w:t xml:space="preserve">Ambulatory Assessment</w:t>
      </w:r>
      <w:r>
        <w:t xml:space="preserve">:</w:t>
      </w:r>
      <w:r>
        <w:t xml:space="preserve"> </w:t>
      </w:r>
      <w:r>
        <w:t xml:space="preserve">Integrating Idiographic</w:t>
      </w:r>
      <w:r>
        <w:t xml:space="preserve"> </w:t>
      </w:r>
      <w:r>
        <w:t xml:space="preserve">and</w:t>
      </w:r>
      <w:r>
        <w:t xml:space="preserve"> </w:t>
      </w:r>
      <w:r>
        <w:t xml:space="preserve">Nomothetic Principles</w:t>
      </w:r>
      <w:r>
        <w:t xml:space="preserve"> </w:t>
      </w:r>
      <w:r>
        <w:t xml:space="preserve">of</w:t>
      </w:r>
      <w:r>
        <w:t xml:space="preserve"> </w:t>
      </w:r>
      <w:r>
        <w:t xml:space="preserve">Measurement</w:t>
      </w:r>
      <w:r>
        <w:t xml:space="preserve">.</w:t>
      </w:r>
      <w:r>
        <w:t xml:space="preserve"> </w:t>
      </w:r>
      <w:r>
        <w:rPr>
          <w:i/>
          <w:iCs/>
        </w:rPr>
        <w:t xml:space="preserve">Psychological Assessment</w:t>
      </w:r>
      <w:r>
        <w:t xml:space="preserve">,</w:t>
      </w:r>
      <w:r>
        <w:t xml:space="preserve"> </w:t>
      </w:r>
      <w:r>
        <w:rPr>
          <w:i/>
          <w:iCs/>
        </w:rPr>
        <w:t xml:space="preserve">31</w:t>
      </w:r>
      <w:r>
        <w:t xml:space="preserve">(12), 1467–1480.</w:t>
      </w:r>
      <w:r>
        <w:t xml:space="preserve"> </w:t>
      </w:r>
      <w:hyperlink r:id="rId433">
        <w:r>
          <w:rPr>
            <w:rStyle w:val="Hyperlink"/>
          </w:rPr>
          <w:t xml:space="preserve">https://doi.org/10.1037/pas0000685</w:t>
        </w:r>
      </w:hyperlink>
    </w:p>
    <w:bookmarkEnd w:id="434"/>
    <w:bookmarkStart w:id="436" w:name="Xb35ee182d565575e339a0170868456c1684f821"/>
    <w:p>
      <w:pPr>
        <w:pStyle w:val="Bibliography"/>
      </w:pPr>
      <w:r>
        <w:t xml:space="preserve">Wyant, K., Moshontz, H., Ward, S. B., Fronk, G. E., &amp; Curtin, J. J. (2023). Acceptability of</w:t>
      </w:r>
      <w:r>
        <w:t xml:space="preserve"> </w:t>
      </w:r>
      <w:r>
        <w:t xml:space="preserve">Personal Sensing Among People With Alcohol Use Disorder</w:t>
      </w:r>
      <w:r>
        <w:t xml:space="preserve">:</w:t>
      </w:r>
      <w:r>
        <w:t xml:space="preserve"> </w:t>
      </w:r>
      <w:r>
        <w:t xml:space="preserve">Observational Study</w:t>
      </w:r>
      <w:r>
        <w:t xml:space="preserve">.</w:t>
      </w:r>
      <w:r>
        <w:t xml:space="preserve"> </w:t>
      </w:r>
      <w:r>
        <w:rPr>
          <w:i/>
          <w:iCs/>
        </w:rPr>
        <w:t xml:space="preserve">JMIR mHealth and uHealth</w:t>
      </w:r>
      <w:r>
        <w:t xml:space="preserve">,</w:t>
      </w:r>
      <w:r>
        <w:t xml:space="preserve"> </w:t>
      </w:r>
      <w:r>
        <w:rPr>
          <w:i/>
          <w:iCs/>
        </w:rPr>
        <w:t xml:space="preserve">11</w:t>
      </w:r>
      <w:r>
        <w:t xml:space="preserve">(1), e41833.</w:t>
      </w:r>
      <w:r>
        <w:t xml:space="preserve"> </w:t>
      </w:r>
      <w:hyperlink r:id="rId435">
        <w:r>
          <w:rPr>
            <w:rStyle w:val="Hyperlink"/>
          </w:rPr>
          <w:t xml:space="preserve">https://doi.org/10.2196/41833</w:t>
        </w:r>
      </w:hyperlink>
    </w:p>
    <w:bookmarkEnd w:id="436"/>
    <w:bookmarkStart w:id="438" w:name="ref-wyantMaximizingEngagementTrust2025"/>
    <w:p>
      <w:pPr>
        <w:pStyle w:val="Bibliography"/>
      </w:pPr>
      <w:r>
        <w:t xml:space="preserve">Wyant, K., Sant’Ana, S. J., Punturieri, C. E., Yu, J., Fronk, G. E., Maggard, C. M., Janssen, C., Wanta, S. E., Kornfield, R., Swol, L. M. van, &amp; Curtin, J. J. (2025). Maximizing</w:t>
      </w:r>
      <w:r>
        <w:t xml:space="preserve"> </w:t>
      </w:r>
      <w:r>
        <w:t xml:space="preserve">Engagement</w:t>
      </w:r>
      <w:r>
        <w:t xml:space="preserve">,</w:t>
      </w:r>
      <w:r>
        <w:t xml:space="preserve"> </w:t>
      </w:r>
      <w:r>
        <w:t xml:space="preserve">Trust</w:t>
      </w:r>
      <w:r>
        <w:t xml:space="preserve">, and</w:t>
      </w:r>
      <w:r>
        <w:t xml:space="preserve"> </w:t>
      </w:r>
      <w:r>
        <w:t xml:space="preserve">Clinical Benefit</w:t>
      </w:r>
      <w:r>
        <w:t xml:space="preserve"> </w:t>
      </w:r>
      <w:r>
        <w:t xml:space="preserve">of</w:t>
      </w:r>
      <w:r>
        <w:t xml:space="preserve"> </w:t>
      </w:r>
      <w:r>
        <w:t xml:space="preserve">AI-Generated Recovery Support Messages</w:t>
      </w:r>
      <w:r>
        <w:t xml:space="preserve"> </w:t>
      </w:r>
      <w:r>
        <w:t xml:space="preserve">for</w:t>
      </w:r>
      <w:r>
        <w:t xml:space="preserve"> </w:t>
      </w:r>
      <w:r>
        <w:t xml:space="preserve">Alcohol Use Disorder</w:t>
      </w:r>
      <w:r>
        <w:t xml:space="preserve">:</w:t>
      </w:r>
      <w:r>
        <w:t xml:space="preserve"> </w:t>
      </w:r>
      <w:r>
        <w:t xml:space="preserve">Protocol</w:t>
      </w:r>
      <w:r>
        <w:t xml:space="preserve"> </w:t>
      </w:r>
      <w:r>
        <w:t xml:space="preserve">for an</w:t>
      </w:r>
      <w:r>
        <w:t xml:space="preserve"> </w:t>
      </w:r>
      <w:r>
        <w:t xml:space="preserve">Optimization Study</w:t>
      </w:r>
      <w:r>
        <w:t xml:space="preserve">.</w:t>
      </w:r>
      <w:r>
        <w:t xml:space="preserve"> </w:t>
      </w:r>
      <w:r>
        <w:rPr>
          <w:i/>
          <w:iCs/>
        </w:rPr>
        <w:t xml:space="preserve">JMIR Research Protocols</w:t>
      </w:r>
      <w:r>
        <w:t xml:space="preserve">,</w:t>
      </w:r>
      <w:r>
        <w:t xml:space="preserve"> </w:t>
      </w:r>
      <w:r>
        <w:rPr>
          <w:i/>
          <w:iCs/>
        </w:rPr>
        <w:t xml:space="preserve">14</w:t>
      </w:r>
      <w:r>
        <w:t xml:space="preserve">(1), e81697.</w:t>
      </w:r>
      <w:r>
        <w:t xml:space="preserve"> </w:t>
      </w:r>
      <w:hyperlink r:id="rId437">
        <w:r>
          <w:rPr>
            <w:rStyle w:val="Hyperlink"/>
          </w:rPr>
          <w:t xml:space="preserve">https://doi.org/10.2196/81697</w:t>
        </w:r>
      </w:hyperlink>
    </w:p>
    <w:bookmarkEnd w:id="438"/>
    <w:bookmarkStart w:id="440" w:name="ref-wyantMachineLearningModels2024"/>
    <w:p>
      <w:pPr>
        <w:pStyle w:val="Bibliography"/>
      </w:pPr>
      <w:r>
        <w:t xml:space="preserve">Wyant, K., Sant’Ana, S. J. K., Fronk, G., &amp; Curtin, J. J. (2024). Machine learning models for temporally precise lapse prediction in alcohol use disorder.</w:t>
      </w:r>
      <w:r>
        <w:t xml:space="preserve"> </w:t>
      </w:r>
      <w:r>
        <w:rPr>
          <w:i/>
          <w:iCs/>
        </w:rPr>
        <w:t xml:space="preserve">Psychopathology and Clinical Science</w:t>
      </w:r>
      <w:r>
        <w:t xml:space="preserve">.</w:t>
      </w:r>
      <w:r>
        <w:t xml:space="preserve"> </w:t>
      </w:r>
      <w:hyperlink r:id="rId439">
        <w:r>
          <w:rPr>
            <w:rStyle w:val="Hyperlink"/>
          </w:rPr>
          <w:t xml:space="preserve">https://doi.org/10.31234/osf.io/cgsf7</w:t>
        </w:r>
      </w:hyperlink>
    </w:p>
    <w:bookmarkEnd w:id="440"/>
    <w:bookmarkStart w:id="442" w:name="Xdcc3e6c1429a41e0448c7c169835e10027482a3"/>
    <w:p>
      <w:pPr>
        <w:pStyle w:val="Bibliography"/>
      </w:pPr>
      <w:r>
        <w:t xml:space="preserve">Xie, K., Deng, K., &amp; Zhou, X. (2009). From trajectories to activities: A spatio-temporal join approach.</w:t>
      </w:r>
      <w:r>
        <w:t xml:space="preserve"> </w:t>
      </w:r>
      <w:r>
        <w:rPr>
          <w:i/>
          <w:iCs/>
        </w:rPr>
        <w:t xml:space="preserve">Proceedings of the 2009</w:t>
      </w:r>
      <w:r>
        <w:rPr>
          <w:i/>
          <w:iCs/>
        </w:rPr>
        <w:t xml:space="preserve"> </w:t>
      </w:r>
      <w:r>
        <w:rPr>
          <w:i/>
          <w:iCs/>
        </w:rPr>
        <w:t xml:space="preserve">International Workshop</w:t>
      </w:r>
      <w:r>
        <w:rPr>
          <w:i/>
          <w:iCs/>
        </w:rPr>
        <w:t xml:space="preserve"> </w:t>
      </w:r>
      <w:r>
        <w:rPr>
          <w:i/>
          <w:iCs/>
        </w:rPr>
        <w:t xml:space="preserve">on</w:t>
      </w:r>
      <w:r>
        <w:rPr>
          <w:i/>
          <w:iCs/>
        </w:rPr>
        <w:t xml:space="preserve"> </w:t>
      </w:r>
      <w:r>
        <w:rPr>
          <w:i/>
          <w:iCs/>
        </w:rPr>
        <w:t xml:space="preserve">Location Based Social Networks</w:t>
      </w:r>
      <w:r>
        <w:rPr>
          <w:i/>
          <w:iCs/>
        </w:rPr>
        <w:t xml:space="preserve">,</w:t>
      </w:r>
      <w:r>
        <w:rPr>
          <w:i/>
          <w:iCs/>
        </w:rPr>
        <w:t xml:space="preserve"> </w:t>
      </w:r>
      <w:r>
        <w:rPr>
          <w:i/>
          <w:iCs/>
        </w:rPr>
        <w:t xml:space="preserve">LBSN</w:t>
      </w:r>
      <w:r>
        <w:rPr>
          <w:i/>
          <w:iCs/>
        </w:rPr>
        <w:t xml:space="preserve"> </w:t>
      </w:r>
      <w:r>
        <w:rPr>
          <w:i/>
          <w:iCs/>
        </w:rPr>
        <w:t xml:space="preserve">’09</w:t>
      </w:r>
      <w:r>
        <w:t xml:space="preserve">, 25–32.</w:t>
      </w:r>
      <w:r>
        <w:t xml:space="preserve"> </w:t>
      </w:r>
      <w:hyperlink r:id="rId441">
        <w:r>
          <w:rPr>
            <w:rStyle w:val="Hyperlink"/>
          </w:rPr>
          <w:t xml:space="preserve">https://doi.org/10.1145/1629890.1629897</w:t>
        </w:r>
      </w:hyperlink>
    </w:p>
    <w:bookmarkEnd w:id="442"/>
    <w:bookmarkStart w:id="444" w:name="X919c097397142f85d541b216884b2f657258800"/>
    <w:p>
      <w:pPr>
        <w:pStyle w:val="Bibliography"/>
      </w:pPr>
      <w:r>
        <w:t xml:space="preserve">Xin, Y., Schwarting, C. M., Wasef, M. R., &amp; Davis, A. K. (2023). Exploring the intersectionality of stigma and substance use help-seeking behaviours among lesbian, gay, bisexual, transgender, queer, questioning or otherwise gender or sexuality minority (</w:t>
      </w:r>
      <w:r>
        <w:t xml:space="preserve">LGBTQ</w:t>
      </w:r>
      <w:r>
        <w:t xml:space="preserve">+) individuals in the</w:t>
      </w:r>
      <w:r>
        <w:t xml:space="preserve"> </w:t>
      </w:r>
      <w:r>
        <w:t xml:space="preserve">United States</w:t>
      </w:r>
      <w:r>
        <w:t xml:space="preserve">:</w:t>
      </w:r>
      <w:r>
        <w:t xml:space="preserve"> </w:t>
      </w:r>
      <w:r>
        <w:t xml:space="preserve">A</w:t>
      </w:r>
      <w:r>
        <w:t xml:space="preserve"> </w:t>
      </w:r>
      <w:r>
        <w:t xml:space="preserve">scoping review.</w:t>
      </w:r>
      <w:r>
        <w:t xml:space="preserve"> </w:t>
      </w:r>
      <w:r>
        <w:rPr>
          <w:i/>
          <w:iCs/>
        </w:rPr>
        <w:t xml:space="preserve">Global Public Health</w:t>
      </w:r>
      <w:r>
        <w:t xml:space="preserve">,</w:t>
      </w:r>
      <w:r>
        <w:t xml:space="preserve"> </w:t>
      </w:r>
      <w:r>
        <w:rPr>
          <w:i/>
          <w:iCs/>
        </w:rPr>
        <w:t xml:space="preserve">18</w:t>
      </w:r>
      <w:r>
        <w:t xml:space="preserve">(1), 2277854.</w:t>
      </w:r>
      <w:r>
        <w:t xml:space="preserve"> </w:t>
      </w:r>
      <w:hyperlink r:id="rId443">
        <w:r>
          <w:rPr>
            <w:rStyle w:val="Hyperlink"/>
          </w:rPr>
          <w:t xml:space="preserve">https://doi.org/10.1080/17441692.2023.2277854</w:t>
        </w:r>
      </w:hyperlink>
    </w:p>
    <w:bookmarkEnd w:id="444"/>
    <w:bookmarkStart w:id="446" w:name="ref-zhouEvaluatingMachineLearning2018"/>
    <w:p>
      <w:pPr>
        <w:pStyle w:val="Bibliography"/>
      </w:pPr>
      <w:r>
        <w:t xml:space="preserve">Zhou, M., Fukuoka, Y., Mintz, Y., Goldberg, K., Kaminsky, P., Flowers, E., &amp; Aswani, A. (2018). Evaluating</w:t>
      </w:r>
      <w:r>
        <w:t xml:space="preserve"> </w:t>
      </w:r>
      <w:r>
        <w:t xml:space="preserve">Machine Learning</w:t>
      </w:r>
      <w:r>
        <w:t xml:space="preserve">–</w:t>
      </w:r>
      <w:r>
        <w:t xml:space="preserve">Based Automated Personalized Daily Step Goals Delivered Through</w:t>
      </w:r>
      <w:r>
        <w:t xml:space="preserve"> </w:t>
      </w:r>
      <w:r>
        <w:t xml:space="preserve">a</w:t>
      </w:r>
      <w:r>
        <w:t xml:space="preserve"> </w:t>
      </w:r>
      <w:r>
        <w:t xml:space="preserve">Mobile Phone App</w:t>
      </w:r>
      <w:r>
        <w:t xml:space="preserve">:</w:t>
      </w:r>
      <w:r>
        <w:t xml:space="preserve"> </w:t>
      </w:r>
      <w:r>
        <w:t xml:space="preserve">Randomized Controlled Trial</w:t>
      </w:r>
      <w:r>
        <w:t xml:space="preserve">.</w:t>
      </w:r>
      <w:r>
        <w:t xml:space="preserve"> </w:t>
      </w:r>
      <w:r>
        <w:rPr>
          <w:i/>
          <w:iCs/>
        </w:rPr>
        <w:t xml:space="preserve">JMIR mHealth and uHealth</w:t>
      </w:r>
      <w:r>
        <w:t xml:space="preserve">,</w:t>
      </w:r>
      <w:r>
        <w:t xml:space="preserve"> </w:t>
      </w:r>
      <w:r>
        <w:rPr>
          <w:i/>
          <w:iCs/>
        </w:rPr>
        <w:t xml:space="preserve">6</w:t>
      </w:r>
      <w:r>
        <w:t xml:space="preserve">(1), e9117.</w:t>
      </w:r>
      <w:r>
        <w:t xml:space="preserve"> </w:t>
      </w:r>
      <w:hyperlink r:id="rId445">
        <w:r>
          <w:rPr>
            <w:rStyle w:val="Hyperlink"/>
          </w:rPr>
          <w:t xml:space="preserve">https://doi.org/10.2196/mhealth.9117</w:t>
        </w:r>
      </w:hyperlink>
    </w:p>
    <w:bookmarkEnd w:id="446"/>
    <w:bookmarkStart w:id="448" w:name="ref-zikmund-fisherRightToolWhat2013"/>
    <w:p>
      <w:pPr>
        <w:pStyle w:val="Bibliography"/>
      </w:pPr>
      <w:r>
        <w:t xml:space="preserve">Zikmund-Fisher, B. J. (2013). The right tool is what they need, not what we have: A taxonomy of appropriate levels of precision in patient risk communication.</w:t>
      </w:r>
      <w:r>
        <w:t xml:space="preserve"> </w:t>
      </w:r>
      <w:r>
        <w:rPr>
          <w:i/>
          <w:iCs/>
        </w:rPr>
        <w:t xml:space="preserve">Medical Care Research and Review: MCRR</w:t>
      </w:r>
      <w:r>
        <w:t xml:space="preserve">,</w:t>
      </w:r>
      <w:r>
        <w:t xml:space="preserve"> </w:t>
      </w:r>
      <w:r>
        <w:rPr>
          <w:i/>
          <w:iCs/>
        </w:rPr>
        <w:t xml:space="preserve">70</w:t>
      </w:r>
      <w:r>
        <w:t xml:space="preserve">(1 Suppl), 37S–49S.</w:t>
      </w:r>
      <w:r>
        <w:t xml:space="preserve"> </w:t>
      </w:r>
      <w:hyperlink r:id="rId447">
        <w:r>
          <w:rPr>
            <w:rStyle w:val="Hyperlink"/>
          </w:rPr>
          <w:t xml:space="preserve">https://doi.org/10.1177/1077558712458541</w:t>
        </w:r>
      </w:hyperlink>
    </w:p>
    <w:bookmarkEnd w:id="448"/>
    <w:bookmarkStart w:id="450" w:name="X13b53253f4b8775a58215d7e1d3c0adbd73e844"/>
    <w:p>
      <w:pPr>
        <w:pStyle w:val="Bibliography"/>
      </w:pPr>
      <w:r>
        <w:t xml:space="preserve">Zipkin, D. A., Umscheid, C. A., Keating, N. L., Allen, E., Aung, K., Beyth, R., Kaatz, S., Mann, D. M., Sussman, J. B., Korenstein, D., Schardt, C., Nagi, A., Sloane, R., &amp; Feldstein, D. A. (2014). Evidence-based risk communication: A systematic review.</w:t>
      </w:r>
      <w:r>
        <w:t xml:space="preserve"> </w:t>
      </w:r>
      <w:r>
        <w:rPr>
          <w:i/>
          <w:iCs/>
        </w:rPr>
        <w:t xml:space="preserve">Annals of Internal Medicine</w:t>
      </w:r>
      <w:r>
        <w:t xml:space="preserve">,</w:t>
      </w:r>
      <w:r>
        <w:t xml:space="preserve"> </w:t>
      </w:r>
      <w:r>
        <w:rPr>
          <w:i/>
          <w:iCs/>
        </w:rPr>
        <w:t xml:space="preserve">161</w:t>
      </w:r>
      <w:r>
        <w:t xml:space="preserve">(4), 270–280.</w:t>
      </w:r>
      <w:r>
        <w:t xml:space="preserve"> </w:t>
      </w:r>
      <w:hyperlink r:id="rId449">
        <w:r>
          <w:rPr>
            <w:rStyle w:val="Hyperlink"/>
          </w:rPr>
          <w:t xml:space="preserve">https://doi.org/10.7326/M14-0295</w:t>
        </w:r>
      </w:hyperlink>
    </w:p>
    <w:bookmarkEnd w:id="450"/>
    <w:bookmarkEnd w:id="451"/>
    <w:bookmarkEnd w:id="4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41">
    <w:p>
      <w:pPr>
        <w:pStyle w:val="FootnoteText"/>
      </w:pPr>
      <w:r>
        <w:rPr>
          <w:rStyle w:val="FootnoteReference"/>
        </w:rPr>
        <w:footnoteRef/>
      </w:r>
      <w:r>
        <w:t xml:space="preserve"> </w:t>
      </w:r>
      <w:r>
        <w:t xml:space="preserve">$0.25 per survey plus an additional $3.70 for completing at least 12 surveys in the first half of the month and an additional $3.70 for completing at least 12 surveys in the second half of the month (total range of $14.40 - $15.15)</w:t>
      </w:r>
    </w:p>
  </w:footnote>
  <w:footnote w:id="142">
    <w:p>
      <w:pPr>
        <w:pStyle w:val="FootnoteText"/>
      </w:pPr>
      <w:r>
        <w:rPr>
          <w:rStyle w:val="FootnoteReference"/>
        </w:rPr>
        <w:footnoteRef/>
      </w:r>
      <w:r>
        <w:t xml:space="preserve"> </w:t>
      </w:r>
      <w:r>
        <w:t xml:space="preserve">Participants were also compensated for providing other sensing data as part of the parent grant’s aims, including $10 per month for sharing cellular communication logs and text message content and up to $10 per month for the daily video check-in.</w:t>
      </w:r>
    </w:p>
  </w:footnote>
  <w:footnote w:id="158">
    <w:p>
      <w:pPr>
        <w:pStyle w:val="FootnoteText"/>
      </w:pPr>
      <w:r>
        <w:rPr>
          <w:rStyle w:val="FootnoteReference"/>
        </w:rPr>
        <w:footnoteRef/>
      </w:r>
      <w:r>
        <w:t xml:space="preserve"> </w:t>
      </w:r>
      <w:r>
        <w:t xml:space="preserve">405 participants consented to participate in the study and provided at least one daily survey; however, 75 participants dropped out prior to completing the first personalized monthly survey and were therefore not considered fully enrolled in the study.</w:t>
      </w:r>
    </w:p>
  </w:footnote>
  <w:footnote w:id="159">
    <w:p>
      <w:pPr>
        <w:pStyle w:val="FootnoteText"/>
      </w:pPr>
      <w:r>
        <w:rPr>
          <w:rStyle w:val="FootnoteReference"/>
        </w:rPr>
        <w:footnoteRef/>
      </w:r>
      <w:r>
        <w:t xml:space="preserve"> </w:t>
      </w:r>
      <w:r>
        <w:t xml:space="preserve">If adherence fell below 33% (roughly 9 surveys in a 28-day period) for a prolonged period of time, participant study end dates were changed to match the start of this adherence drop.</w:t>
      </w:r>
    </w:p>
  </w:footnote>
  <w:footnote w:id="172">
    <w:p>
      <w:pPr>
        <w:pStyle w:val="FootnoteText"/>
      </w:pPr>
      <w:r>
        <w:rPr>
          <w:rStyle w:val="FootnoteReference"/>
        </w:rPr>
        <w:footnoteRef/>
      </w:r>
      <w:r>
        <w:t xml:space="preserve"> </w:t>
      </w:r>
      <w:r>
        <w:t xml:space="preserve">The best model configuration used 1:5 upsampling of the majority class and the following hyperparameter values: learning rate = .1, tree depth = 3, mtry = 50.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1" Target="media/rId41.jpg" /><Relationship Type="http://schemas.openxmlformats.org/officeDocument/2006/relationships/image" Id="rId51" Target="media/rId51.jpg" /><Relationship Type="http://schemas.openxmlformats.org/officeDocument/2006/relationships/image" Id="rId58" Target="media/rId58.jpg" /><Relationship Type="http://schemas.openxmlformats.org/officeDocument/2006/relationships/image" Id="rId84" Target="media/rId84.png" /><Relationship Type="http://schemas.openxmlformats.org/officeDocument/2006/relationships/image" Id="rId166" Target="media/rId166.png" /><Relationship Type="http://schemas.openxmlformats.org/officeDocument/2006/relationships/image" Id="rId103" Target="media/rId103.png" /><Relationship Type="http://schemas.openxmlformats.org/officeDocument/2006/relationships/image" Id="rId173" Target="media/rId173.png" /><Relationship Type="http://schemas.openxmlformats.org/officeDocument/2006/relationships/image" Id="rId179" Target="media/rId179.png" /><Relationship Type="http://schemas.openxmlformats.org/officeDocument/2006/relationships/image" Id="rId121" Target="media/rId121.png" /><Relationship Type="http://schemas.openxmlformats.org/officeDocument/2006/relationships/image" Id="rId185" Target="media/rId185.png" /><Relationship Type="http://schemas.openxmlformats.org/officeDocument/2006/relationships/image" Id="rId115" Target="media/rId115.png" /><Relationship Type="http://schemas.openxmlformats.org/officeDocument/2006/relationships/hyperlink" Id="rId274" Target="https://doi.org/10.1001/jama.2022.2847" TargetMode="External" /><Relationship Type="http://schemas.openxmlformats.org/officeDocument/2006/relationships/hyperlink" Id="rId348" Target="https://doi.org/10.1001/jama.284.13.1689" TargetMode="External" /><Relationship Type="http://schemas.openxmlformats.org/officeDocument/2006/relationships/hyperlink" Id="rId311" Target="https://doi.org/10.1001/jamanetworkopen.2020.5852" TargetMode="External" /><Relationship Type="http://schemas.openxmlformats.org/officeDocument/2006/relationships/hyperlink" Id="rId385" Target="https://doi.org/10.1001/jamapsychiatry.2013.4450" TargetMode="External" /><Relationship Type="http://schemas.openxmlformats.org/officeDocument/2006/relationships/hyperlink" Id="rId216" Target="https://doi.org/10.1001/jamapsychiatry.2013.4546" TargetMode="External" /><Relationship Type="http://schemas.openxmlformats.org/officeDocument/2006/relationships/hyperlink" Id="rId286" Target="https://doi.org/10.1001/jamapsychiatry.2013.4642" TargetMode="External" /><Relationship Type="http://schemas.openxmlformats.org/officeDocument/2006/relationships/hyperlink" Id="rId280" Target="https://doi.org/10.1001/jamapsychiatry.2015.0584" TargetMode="External" /><Relationship Type="http://schemas.openxmlformats.org/officeDocument/2006/relationships/hyperlink" Id="rId320" Target="https://doi.org/10.1007/978-1-4614-6849-3" TargetMode="External" /><Relationship Type="http://schemas.openxmlformats.org/officeDocument/2006/relationships/hyperlink" Id="rId236" Target="https://doi.org/10.1007/978-3-319-72206-1" TargetMode="External" /><Relationship Type="http://schemas.openxmlformats.org/officeDocument/2006/relationships/hyperlink" Id="rId212" Target="https://doi.org/10.1007/s10488-016-0718-5" TargetMode="External" /><Relationship Type="http://schemas.openxmlformats.org/officeDocument/2006/relationships/hyperlink" Id="rId242" Target="https://doi.org/10.1007/s10862-017-9632-8" TargetMode="External" /><Relationship Type="http://schemas.openxmlformats.org/officeDocument/2006/relationships/hyperlink" Id="rId313" Target="https://doi.org/10.1007/s11920-012-0296-5" TargetMode="External" /><Relationship Type="http://schemas.openxmlformats.org/officeDocument/2006/relationships/hyperlink" Id="rId204" Target="https://doi.org/10.1007/s40429-023-00492-5" TargetMode="External" /><Relationship Type="http://schemas.openxmlformats.org/officeDocument/2006/relationships/hyperlink" Id="rId371" Target="https://doi.org/10.1016/0740-5472(94)00080-b" TargetMode="External" /><Relationship Type="http://schemas.openxmlformats.org/officeDocument/2006/relationships/hyperlink" Id="rId210" Target="https://doi.org/10.1016/j.addbeh.2017.11.039" TargetMode="External" /><Relationship Type="http://schemas.openxmlformats.org/officeDocument/2006/relationships/hyperlink" Id="rId315" Target="https://doi.org/10.1016/j.amepre.2019.08.034" TargetMode="External" /><Relationship Type="http://schemas.openxmlformats.org/officeDocument/2006/relationships/hyperlink" Id="rId325" Target="https://doi.org/10.1016/j.amepre.2022.08.022" TargetMode="External" /><Relationship Type="http://schemas.openxmlformats.org/officeDocument/2006/relationships/hyperlink" Id="rId408" Target="https://doi.org/10.1016/j.artmed.2020.101987" TargetMode="External" /><Relationship Type="http://schemas.openxmlformats.org/officeDocument/2006/relationships/hyperlink" Id="rId268" Target="https://doi.org/10.1016/j.brat.2019.01.010" TargetMode="External" /><Relationship Type="http://schemas.openxmlformats.org/officeDocument/2006/relationships/hyperlink" Id="rId247" Target="https://doi.org/10.1016/j.brat.2019.103506" TargetMode="External" /><Relationship Type="http://schemas.openxmlformats.org/officeDocument/2006/relationships/hyperlink" Id="rId317" Target="https://doi.org/10.1016/j.cger.2014.04.008" TargetMode="External" /><Relationship Type="http://schemas.openxmlformats.org/officeDocument/2006/relationships/hyperlink" Id="rId253" Target="https://doi.org/10.1016/j.cmpb.2016.09.016" TargetMode="External" /><Relationship Type="http://schemas.openxmlformats.org/officeDocument/2006/relationships/hyperlink" Id="rId416" Target="https://doi.org/10.1016/j.cpr.2005.11.003" TargetMode="External" /><Relationship Type="http://schemas.openxmlformats.org/officeDocument/2006/relationships/hyperlink" Id="rId427" Target="https://doi.org/10.1016/j.cpr.2007.01.002" TargetMode="External" /><Relationship Type="http://schemas.openxmlformats.org/officeDocument/2006/relationships/hyperlink" Id="rId344" Target="https://doi.org/10.1016/j.cpr.2017.10.012" TargetMode="External" /><Relationship Type="http://schemas.openxmlformats.org/officeDocument/2006/relationships/hyperlink" Id="rId282" Target="https://doi.org/10.1016/j.drugalcdep.2006.05.012" TargetMode="External" /><Relationship Type="http://schemas.openxmlformats.org/officeDocument/2006/relationships/hyperlink" Id="rId284" Target="https://doi.org/10.1016/j.drugalcdep.2013.07.027" TargetMode="External" /><Relationship Type="http://schemas.openxmlformats.org/officeDocument/2006/relationships/hyperlink" Id="rId232" Target="https://doi.org/10.1016/j.drugalcdep.2014.10.004" TargetMode="External" /><Relationship Type="http://schemas.openxmlformats.org/officeDocument/2006/relationships/hyperlink" Id="rId309" Target="https://doi.org/10.1016/j.drugalcdep.2016.10.038" TargetMode="External" /><Relationship Type="http://schemas.openxmlformats.org/officeDocument/2006/relationships/hyperlink" Id="rId364" Target="https://doi.org/10.1016/j.drugalcdep.2019.05.017" TargetMode="External" /><Relationship Type="http://schemas.openxmlformats.org/officeDocument/2006/relationships/hyperlink" Id="rId270" Target="https://doi.org/10.1016/j.drugalcdep.2020.108350" TargetMode="External" /><Relationship Type="http://schemas.openxmlformats.org/officeDocument/2006/relationships/hyperlink" Id="rId350" Target="https://doi.org/10.1016/j.drugalcdep.2021.108706" TargetMode="External" /><Relationship Type="http://schemas.openxmlformats.org/officeDocument/2006/relationships/hyperlink" Id="rId220" Target="https://doi.org/10.1016/j.drugalcdep.2022.109362" TargetMode="External" /><Relationship Type="http://schemas.openxmlformats.org/officeDocument/2006/relationships/hyperlink" Id="rId295" Target="https://doi.org/10.1016/j.josat.2025.209685" TargetMode="External" /><Relationship Type="http://schemas.openxmlformats.org/officeDocument/2006/relationships/hyperlink" Id="rId230" Target="https://doi.org/10.1016/j.jsat.2013.08.004" TargetMode="External" /><Relationship Type="http://schemas.openxmlformats.org/officeDocument/2006/relationships/hyperlink" Id="rId420" Target="https://doi.org/10.1016/j.jsat.2016.12.010" TargetMode="External" /><Relationship Type="http://schemas.openxmlformats.org/officeDocument/2006/relationships/hyperlink" Id="rId418" Target="https://doi.org/10.1016/j.jsat.2021.108417" TargetMode="External" /><Relationship Type="http://schemas.openxmlformats.org/officeDocument/2006/relationships/hyperlink" Id="rId359" Target="https://doi.org/10.1016/j.jsat.2021.108710" TargetMode="External" /><Relationship Type="http://schemas.openxmlformats.org/officeDocument/2006/relationships/hyperlink" Id="rId406" Target="https://doi.org/10.1016/j.landig.2025.100916" TargetMode="External" /><Relationship Type="http://schemas.openxmlformats.org/officeDocument/2006/relationships/hyperlink" Id="rId342" Target="https://doi.org/10.1016/j.psc.2010.04.012" TargetMode="External" /><Relationship Type="http://schemas.openxmlformats.org/officeDocument/2006/relationships/hyperlink" Id="rId304" Target="https://doi.org/10.1023/A:1008987426876" TargetMode="External" /><Relationship Type="http://schemas.openxmlformats.org/officeDocument/2006/relationships/hyperlink" Id="rId367" Target="https://doi.org/10.1037/0003-066X.47.9.1102" TargetMode="External" /><Relationship Type="http://schemas.openxmlformats.org/officeDocument/2006/relationships/hyperlink" Id="rId425" Target="https://doi.org/10.1037/0003-066X.59.4.224" TargetMode="External" /><Relationship Type="http://schemas.openxmlformats.org/officeDocument/2006/relationships/hyperlink" Id="rId393" Target="https://doi.org/10.1037/0003-066X.60.4.340" TargetMode="External" /><Relationship Type="http://schemas.openxmlformats.org/officeDocument/2006/relationships/hyperlink" Id="rId255" Target="https://doi.org/10.1037/a0037157" TargetMode="External" /><Relationship Type="http://schemas.openxmlformats.org/officeDocument/2006/relationships/hyperlink" Id="rId259" Target="https://doi.org/10.1037/abn0000819" TargetMode="External" /><Relationship Type="http://schemas.openxmlformats.org/officeDocument/2006/relationships/hyperlink" Id="rId251" Target="https://doi.org/10.1037/adb0000292" TargetMode="External" /><Relationship Type="http://schemas.openxmlformats.org/officeDocument/2006/relationships/hyperlink" Id="rId376" Target="https://doi.org/10.1037/adb0000550" TargetMode="External" /><Relationship Type="http://schemas.openxmlformats.org/officeDocument/2006/relationships/hyperlink" Id="rId389" Target="https://doi.org/10.1037/adb0000666" TargetMode="External" /><Relationship Type="http://schemas.openxmlformats.org/officeDocument/2006/relationships/hyperlink" Id="rId266" Target="https://doi.org/10.1037/ccp0000026" TargetMode="External" /><Relationship Type="http://schemas.openxmlformats.org/officeDocument/2006/relationships/hyperlink" Id="rId433" Target="https://doi.org/10.1037/pas0000685" TargetMode="External" /><Relationship Type="http://schemas.openxmlformats.org/officeDocument/2006/relationships/hyperlink" Id="rId257" Target="https://doi.org/10.1037/pha0000210" TargetMode="External" /><Relationship Type="http://schemas.openxmlformats.org/officeDocument/2006/relationships/hyperlink" Id="rId361" Target="https://doi.org/10.1037/tps0000250" TargetMode="External" /><Relationship Type="http://schemas.openxmlformats.org/officeDocument/2006/relationships/hyperlink" Id="rId333" Target="https://doi.org/10.1038/s41380-018-0094-5" TargetMode="External" /><Relationship Type="http://schemas.openxmlformats.org/officeDocument/2006/relationships/hyperlink" Id="rId328" Target="https://doi.org/10.1080/00952990.2019.1694536" TargetMode="External" /><Relationship Type="http://schemas.openxmlformats.org/officeDocument/2006/relationships/hyperlink" Id="rId272" Target="https://doi.org/10.1080/10826084.2021.1899225" TargetMode="External" /><Relationship Type="http://schemas.openxmlformats.org/officeDocument/2006/relationships/hyperlink" Id="rId429" Target="https://doi.org/10.1080/14659891.2018.1523968" TargetMode="External" /><Relationship Type="http://schemas.openxmlformats.org/officeDocument/2006/relationships/hyperlink" Id="rId443" Target="https://doi.org/10.1080/17441692.2023.2277854" TargetMode="External" /><Relationship Type="http://schemas.openxmlformats.org/officeDocument/2006/relationships/hyperlink" Id="rId399" Target="https://doi.org/10.1080/19371918.2013.758975" TargetMode="External" /><Relationship Type="http://schemas.openxmlformats.org/officeDocument/2006/relationships/hyperlink" Id="rId412" Target="https://doi.org/10.1093/jamia/ocy052" TargetMode="External" /><Relationship Type="http://schemas.openxmlformats.org/officeDocument/2006/relationships/hyperlink" Id="rId240" Target="https://doi.org/10.1093/oxfordhb/9780190067991.013.9" TargetMode="External" /><Relationship Type="http://schemas.openxmlformats.org/officeDocument/2006/relationships/hyperlink" Id="rId297" Target="https://doi.org/10.1097/ADM.0000000000000312" TargetMode="External" /><Relationship Type="http://schemas.openxmlformats.org/officeDocument/2006/relationships/hyperlink" Id="rId335" Target="https://doi.org/10.1097/JTO.0b013e3181ec173d" TargetMode="External" /><Relationship Type="http://schemas.openxmlformats.org/officeDocument/2006/relationships/hyperlink" Id="rId387" Target="https://doi.org/10.1111/add.13479" TargetMode="External" /><Relationship Type="http://schemas.openxmlformats.org/officeDocument/2006/relationships/hyperlink" Id="rId222" Target="https://doi.org/10.1111/ajad.12784" TargetMode="External" /><Relationship Type="http://schemas.openxmlformats.org/officeDocument/2006/relationships/hyperlink" Id="rId410" Target="https://doi.org/10.1111/j.1530-0277.1984.tb05523.x" TargetMode="External" /><Relationship Type="http://schemas.openxmlformats.org/officeDocument/2006/relationships/hyperlink" Id="rId383" Target="https://doi.org/10.1111/j.1530-0277.2006.00263.x" TargetMode="External" /><Relationship Type="http://schemas.openxmlformats.org/officeDocument/2006/relationships/hyperlink" Id="rId330" Target="https://doi.org/10.1111/jrh.70076" TargetMode="External" /><Relationship Type="http://schemas.openxmlformats.org/officeDocument/2006/relationships/hyperlink" Id="rId234" Target="https://doi.org/10.1136/bmj-2023-078378" TargetMode="External" /><Relationship Type="http://schemas.openxmlformats.org/officeDocument/2006/relationships/hyperlink" Id="rId441" Target="https://doi.org/10.1145/1629890.1629897" TargetMode="External" /><Relationship Type="http://schemas.openxmlformats.org/officeDocument/2006/relationships/hyperlink" Id="rId300" Target="https://doi.org/10.1145/1867699.1867704" TargetMode="External" /><Relationship Type="http://schemas.openxmlformats.org/officeDocument/2006/relationships/hyperlink" Id="rId381" Target="https://doi.org/10.1146/annurev-clinpsy-021815-093351" TargetMode="External" /><Relationship Type="http://schemas.openxmlformats.org/officeDocument/2006/relationships/hyperlink" Id="rId352" Target="https://doi.org/10.1146/annurev-clinpsy-032816-044949" TargetMode="External" /><Relationship Type="http://schemas.openxmlformats.org/officeDocument/2006/relationships/hyperlink" Id="rId276" Target="https://doi.org/10.1146/annurev-clinpsy-102419-125016" TargetMode="External" /><Relationship Type="http://schemas.openxmlformats.org/officeDocument/2006/relationships/hyperlink" Id="rId218" Target="https://doi.org/10.1146/annurev.clinpsy.3.022806.091455" TargetMode="External" /><Relationship Type="http://schemas.openxmlformats.org/officeDocument/2006/relationships/hyperlink" Id="rId224" Target="https://doi.org/10.1176/appi.ajp.2014.13081055" TargetMode="External" /><Relationship Type="http://schemas.openxmlformats.org/officeDocument/2006/relationships/hyperlink" Id="rId288" Target="https://doi.org/10.1176/appi.ajp.21090963" TargetMode="External" /><Relationship Type="http://schemas.openxmlformats.org/officeDocument/2006/relationships/hyperlink" Id="rId238" Target="https://doi.org/10.1176/ps.62.11.pss6211_1273" TargetMode="External" /><Relationship Type="http://schemas.openxmlformats.org/officeDocument/2006/relationships/hyperlink" Id="rId339" Target="https://doi.org/10.1177/00333549211041554" TargetMode="External" /><Relationship Type="http://schemas.openxmlformats.org/officeDocument/2006/relationships/hyperlink" Id="rId401" Target="https://doi.org/10.1177/0261927X09351676" TargetMode="External" /><Relationship Type="http://schemas.openxmlformats.org/officeDocument/2006/relationships/hyperlink" Id="rId373" Target="https://doi.org/10.1177/1073191114540320" TargetMode="External" /><Relationship Type="http://schemas.openxmlformats.org/officeDocument/2006/relationships/hyperlink" Id="rId431" Target="https://doi.org/10.1177/1073191116653829" TargetMode="External" /><Relationship Type="http://schemas.openxmlformats.org/officeDocument/2006/relationships/hyperlink" Id="rId447" Target="https://doi.org/10.1177/1077558712458541" TargetMode="External" /><Relationship Type="http://schemas.openxmlformats.org/officeDocument/2006/relationships/hyperlink" Id="rId391" Target="https://doi.org/10.1177/1178221820976988" TargetMode="External" /><Relationship Type="http://schemas.openxmlformats.org/officeDocument/2006/relationships/hyperlink" Id="rId403" Target="https://doi.org/10.1177/17456916221134490" TargetMode="External" /><Relationship Type="http://schemas.openxmlformats.org/officeDocument/2006/relationships/hyperlink" Id="rId323" Target="https://doi.org/10.1214/17-EJS1338SI" TargetMode="External" /><Relationship Type="http://schemas.openxmlformats.org/officeDocument/2006/relationships/hyperlink" Id="rId414" Target="https://doi.org/10.1377/hlthaff.20.6.64" TargetMode="External" /><Relationship Type="http://schemas.openxmlformats.org/officeDocument/2006/relationships/hyperlink" Id="rId378" Target="https://doi.org/10.1377/hlthaff.2011.0983" TargetMode="External" /><Relationship Type="http://schemas.openxmlformats.org/officeDocument/2006/relationships/hyperlink" Id="rId226" Target="https://doi.org/10.21231/GNT1-HW21" TargetMode="External" /><Relationship Type="http://schemas.openxmlformats.org/officeDocument/2006/relationships/hyperlink" Id="rId355" Target="https://doi.org/10.2196/29563" TargetMode="External" /><Relationship Type="http://schemas.openxmlformats.org/officeDocument/2006/relationships/hyperlink" Id="rId208" Target="https://doi.org/10.2196/39862" TargetMode="External" /><Relationship Type="http://schemas.openxmlformats.org/officeDocument/2006/relationships/hyperlink" Id="rId435" Target="https://doi.org/10.2196/41833" TargetMode="External" /><Relationship Type="http://schemas.openxmlformats.org/officeDocument/2006/relationships/hyperlink" Id="rId369" Target="https://doi.org/10.2196/73265" TargetMode="External" /><Relationship Type="http://schemas.openxmlformats.org/officeDocument/2006/relationships/hyperlink" Id="rId437" Target="https://doi.org/10.2196/81697" TargetMode="External" /><Relationship Type="http://schemas.openxmlformats.org/officeDocument/2006/relationships/hyperlink" Id="rId291" Target="https://doi.org/10.2196/mental.9777" TargetMode="External" /><Relationship Type="http://schemas.openxmlformats.org/officeDocument/2006/relationships/hyperlink" Id="rId445" Target="https://doi.org/10.2196/mhealth.9117" TargetMode="External" /><Relationship Type="http://schemas.openxmlformats.org/officeDocument/2006/relationships/hyperlink" Id="rId439" Target="https://doi.org/10.31234/osf.io/cgsf7" TargetMode="External" /><Relationship Type="http://schemas.openxmlformats.org/officeDocument/2006/relationships/hyperlink" Id="rId346" Target="https://doi.org/10.35946/arcr.v41.1.01" TargetMode="External" /><Relationship Type="http://schemas.openxmlformats.org/officeDocument/2006/relationships/hyperlink" Id="rId249" Target="https://doi.org/10.48550/arXiv.1810.04805" TargetMode="External" /><Relationship Type="http://schemas.openxmlformats.org/officeDocument/2006/relationships/hyperlink" Id="rId264" Target="https://doi.org/10.5555/ajhb.2007.31.supp.S47" TargetMode="External" /><Relationship Type="http://schemas.openxmlformats.org/officeDocument/2006/relationships/hyperlink" Id="rId449" Target="https://doi.org/10.7326/M14-0295" TargetMode="External" /><Relationship Type="http://schemas.openxmlformats.org/officeDocument/2006/relationships/hyperlink" Id="rId306" Target="https://doi.org/10/gfsjzg" TargetMode="External" /><Relationship Type="http://schemas.openxmlformats.org/officeDocument/2006/relationships/hyperlink" Id="rId262" Target="https://doi.org/10/ghqvcw" TargetMode="External" /><Relationship Type="http://schemas.openxmlformats.org/officeDocument/2006/relationships/hyperlink" Id="rId76" Target="https://jjcurtin.github.io/study_lag/" TargetMode="External" /><Relationship Type="http://schemas.openxmlformats.org/officeDocument/2006/relationships/hyperlink" Id="rId138" Target="https://jjcurtin.github.io/study_risk2/" TargetMode="External" /><Relationship Type="http://schemas.openxmlformats.org/officeDocument/2006/relationships/hyperlink" Id="rId9" Target="https://kendrapaquette.github.io/study_dissertation/index.qmd.html" TargetMode="External" /><Relationship Type="http://schemas.openxmlformats.org/officeDocument/2006/relationships/hyperlink" Id="rId170" Target="https://kendrapaquette.github.io/study_dissertation/notebooks\figures-preview.html#cell-fig-1" TargetMode="External" /><Relationship Type="http://schemas.openxmlformats.org/officeDocument/2006/relationships/hyperlink" Id="rId177" Target="https://kendrapaquette.github.io/study_dissertation/notebooks\figures-preview.html#cell-fig-2" TargetMode="External" /><Relationship Type="http://schemas.openxmlformats.org/officeDocument/2006/relationships/hyperlink" Id="rId107" Target="https://kendrapaquette.github.io/study_dissertation/notebooks\figures-preview.html#cell-fig-2-lag" TargetMode="External" /><Relationship Type="http://schemas.openxmlformats.org/officeDocument/2006/relationships/hyperlink" Id="rId184" Target="https://kendrapaquette.github.io/study_dissertation/notebooks\figures-preview.html#cell-fig-3" TargetMode="External" /><Relationship Type="http://schemas.openxmlformats.org/officeDocument/2006/relationships/hyperlink" Id="rId189" Target="https://kendrapaquette.github.io/study_dissertation/notebooks\figures-preview.html#cell-fig-4" TargetMode="External" /><Relationship Type="http://schemas.openxmlformats.org/officeDocument/2006/relationships/hyperlink" Id="rId125" Target="https://kendrapaquette.github.io/study_dissertation/notebooks\figures-preview.html#cell-fig-4-lag" TargetMode="External" /><Relationship Type="http://schemas.openxmlformats.org/officeDocument/2006/relationships/hyperlink" Id="rId119" Target="https://kendrapaquette.github.io/study_dissertation/notebooks\figures-preview.html#cell-fig-cal" TargetMode="External" /><Relationship Type="http://schemas.openxmlformats.org/officeDocument/2006/relationships/hyperlink" Id="rId37" Target="https://kendrapaquette.github.io/study_dissertation/notebooks\tables-preview.html#cell-tbl-dem" TargetMode="External" /><Relationship Type="http://schemas.openxmlformats.org/officeDocument/2006/relationships/hyperlink" Id="rId113" Target="https://kendrapaquette.github.io/study_dissertation/notebooks\tables-preview.html#cell-tbl-fairness" TargetMode="External" /><Relationship Type="http://schemas.openxmlformats.org/officeDocument/2006/relationships/hyperlink" Id="rId110" Target="https://kendrapaquette.github.io/study_dissertation/notebooks\tables-preview.html#cell-tbl-model" TargetMode="External" /><Relationship Type="http://schemas.openxmlformats.org/officeDocument/2006/relationships/hyperlink" Id="rId50" Target="https://kendrapaquette.github.io/study_dissertation/notebooks\tables-preview.html#cell-tbl-perf-ema" TargetMode="External" /><Relationship Type="http://schemas.openxmlformats.org/officeDocument/2006/relationships/hyperlink" Id="rId161" Target="https://kendrapaquette.github.io/study_dissertation/notebooks\tables-preview.html#cell-tbl-risk2dem" TargetMode="External" /><Relationship Type="http://schemas.openxmlformats.org/officeDocument/2006/relationships/hyperlink" Id="rId165" Target="https://kendrapaquette.github.io/study_dissertation/notebooks\tables-preview.html#cell-tbl-risk2model" TargetMode="External" /><Relationship Type="http://schemas.openxmlformats.org/officeDocument/2006/relationships/hyperlink" Id="rId19" Target="https://osf.io/w5h9y/" TargetMode="External" /><Relationship Type="http://schemas.openxmlformats.org/officeDocument/2006/relationships/hyperlink" Id="rId75" Target="https://osf.io/xta67/" TargetMode="External" /><Relationship Type="http://schemas.openxmlformats.org/officeDocument/2006/relationships/hyperlink" Id="rId137" Target="https://osf.io/zvm7s/overview" TargetMode="External" /><Relationship Type="http://schemas.openxmlformats.org/officeDocument/2006/relationships/hyperlink" Id="rId244" Target="https://www.ncbi.nlm.nih.gov/pmc/articles/PMC2797101" TargetMode="External" /><Relationship Type="http://schemas.openxmlformats.org/officeDocument/2006/relationships/hyperlink" Id="rId422" Target="https://www.ncbi.nlm.nih.gov/pubmed/12199834" TargetMode="External" /><Relationship Type="http://schemas.openxmlformats.org/officeDocument/2006/relationships/hyperlink" Id="rId357" Target="https://www.ncbi.nlm.nih.gov/pubmed/20669516" TargetMode="External" /><Relationship Type="http://schemas.openxmlformats.org/officeDocument/2006/relationships/hyperlink" Id="rId397" Target="https://www.ncbi.nlm.nih.gov/pubmed/28252892" TargetMode="External" /></Relationships>
</file>

<file path=word/_rels/footnotes.xml.rels><?xml version="1.0" encoding="UTF-8"?><Relationships xmlns="http://schemas.openxmlformats.org/package/2006/relationships"><Relationship Type="http://schemas.openxmlformats.org/officeDocument/2006/relationships/hyperlink" Id="rId274" Target="https://doi.org/10.1001/jama.2022.2847" TargetMode="External" /><Relationship Type="http://schemas.openxmlformats.org/officeDocument/2006/relationships/hyperlink" Id="rId348" Target="https://doi.org/10.1001/jama.284.13.1689" TargetMode="External" /><Relationship Type="http://schemas.openxmlformats.org/officeDocument/2006/relationships/hyperlink" Id="rId311" Target="https://doi.org/10.1001/jamanetworkopen.2020.5852" TargetMode="External" /><Relationship Type="http://schemas.openxmlformats.org/officeDocument/2006/relationships/hyperlink" Id="rId385" Target="https://doi.org/10.1001/jamapsychiatry.2013.4450" TargetMode="External" /><Relationship Type="http://schemas.openxmlformats.org/officeDocument/2006/relationships/hyperlink" Id="rId216" Target="https://doi.org/10.1001/jamapsychiatry.2013.4546" TargetMode="External" /><Relationship Type="http://schemas.openxmlformats.org/officeDocument/2006/relationships/hyperlink" Id="rId286" Target="https://doi.org/10.1001/jamapsychiatry.2013.4642" TargetMode="External" /><Relationship Type="http://schemas.openxmlformats.org/officeDocument/2006/relationships/hyperlink" Id="rId280" Target="https://doi.org/10.1001/jamapsychiatry.2015.0584" TargetMode="External" /><Relationship Type="http://schemas.openxmlformats.org/officeDocument/2006/relationships/hyperlink" Id="rId320" Target="https://doi.org/10.1007/978-1-4614-6849-3" TargetMode="External" /><Relationship Type="http://schemas.openxmlformats.org/officeDocument/2006/relationships/hyperlink" Id="rId236" Target="https://doi.org/10.1007/978-3-319-72206-1" TargetMode="External" /><Relationship Type="http://schemas.openxmlformats.org/officeDocument/2006/relationships/hyperlink" Id="rId212" Target="https://doi.org/10.1007/s10488-016-0718-5" TargetMode="External" /><Relationship Type="http://schemas.openxmlformats.org/officeDocument/2006/relationships/hyperlink" Id="rId242" Target="https://doi.org/10.1007/s10862-017-9632-8" TargetMode="External" /><Relationship Type="http://schemas.openxmlformats.org/officeDocument/2006/relationships/hyperlink" Id="rId313" Target="https://doi.org/10.1007/s11920-012-0296-5" TargetMode="External" /><Relationship Type="http://schemas.openxmlformats.org/officeDocument/2006/relationships/hyperlink" Id="rId204" Target="https://doi.org/10.1007/s40429-023-00492-5" TargetMode="External" /><Relationship Type="http://schemas.openxmlformats.org/officeDocument/2006/relationships/hyperlink" Id="rId371" Target="https://doi.org/10.1016/0740-5472(94)00080-b" TargetMode="External" /><Relationship Type="http://schemas.openxmlformats.org/officeDocument/2006/relationships/hyperlink" Id="rId210" Target="https://doi.org/10.1016/j.addbeh.2017.11.039" TargetMode="External" /><Relationship Type="http://schemas.openxmlformats.org/officeDocument/2006/relationships/hyperlink" Id="rId315" Target="https://doi.org/10.1016/j.amepre.2019.08.034" TargetMode="External" /><Relationship Type="http://schemas.openxmlformats.org/officeDocument/2006/relationships/hyperlink" Id="rId325" Target="https://doi.org/10.1016/j.amepre.2022.08.022" TargetMode="External" /><Relationship Type="http://schemas.openxmlformats.org/officeDocument/2006/relationships/hyperlink" Id="rId408" Target="https://doi.org/10.1016/j.artmed.2020.101987" TargetMode="External" /><Relationship Type="http://schemas.openxmlformats.org/officeDocument/2006/relationships/hyperlink" Id="rId268" Target="https://doi.org/10.1016/j.brat.2019.01.010" TargetMode="External" /><Relationship Type="http://schemas.openxmlformats.org/officeDocument/2006/relationships/hyperlink" Id="rId247" Target="https://doi.org/10.1016/j.brat.2019.103506" TargetMode="External" /><Relationship Type="http://schemas.openxmlformats.org/officeDocument/2006/relationships/hyperlink" Id="rId317" Target="https://doi.org/10.1016/j.cger.2014.04.008" TargetMode="External" /><Relationship Type="http://schemas.openxmlformats.org/officeDocument/2006/relationships/hyperlink" Id="rId253" Target="https://doi.org/10.1016/j.cmpb.2016.09.016" TargetMode="External" /><Relationship Type="http://schemas.openxmlformats.org/officeDocument/2006/relationships/hyperlink" Id="rId416" Target="https://doi.org/10.1016/j.cpr.2005.11.003" TargetMode="External" /><Relationship Type="http://schemas.openxmlformats.org/officeDocument/2006/relationships/hyperlink" Id="rId427" Target="https://doi.org/10.1016/j.cpr.2007.01.002" TargetMode="External" /><Relationship Type="http://schemas.openxmlformats.org/officeDocument/2006/relationships/hyperlink" Id="rId344" Target="https://doi.org/10.1016/j.cpr.2017.10.012" TargetMode="External" /><Relationship Type="http://schemas.openxmlformats.org/officeDocument/2006/relationships/hyperlink" Id="rId282" Target="https://doi.org/10.1016/j.drugalcdep.2006.05.012" TargetMode="External" /><Relationship Type="http://schemas.openxmlformats.org/officeDocument/2006/relationships/hyperlink" Id="rId284" Target="https://doi.org/10.1016/j.drugalcdep.2013.07.027" TargetMode="External" /><Relationship Type="http://schemas.openxmlformats.org/officeDocument/2006/relationships/hyperlink" Id="rId232" Target="https://doi.org/10.1016/j.drugalcdep.2014.10.004" TargetMode="External" /><Relationship Type="http://schemas.openxmlformats.org/officeDocument/2006/relationships/hyperlink" Id="rId309" Target="https://doi.org/10.1016/j.drugalcdep.2016.10.038" TargetMode="External" /><Relationship Type="http://schemas.openxmlformats.org/officeDocument/2006/relationships/hyperlink" Id="rId364" Target="https://doi.org/10.1016/j.drugalcdep.2019.05.017" TargetMode="External" /><Relationship Type="http://schemas.openxmlformats.org/officeDocument/2006/relationships/hyperlink" Id="rId270" Target="https://doi.org/10.1016/j.drugalcdep.2020.108350" TargetMode="External" /><Relationship Type="http://schemas.openxmlformats.org/officeDocument/2006/relationships/hyperlink" Id="rId350" Target="https://doi.org/10.1016/j.drugalcdep.2021.108706" TargetMode="External" /><Relationship Type="http://schemas.openxmlformats.org/officeDocument/2006/relationships/hyperlink" Id="rId220" Target="https://doi.org/10.1016/j.drugalcdep.2022.109362" TargetMode="External" /><Relationship Type="http://schemas.openxmlformats.org/officeDocument/2006/relationships/hyperlink" Id="rId295" Target="https://doi.org/10.1016/j.josat.2025.209685" TargetMode="External" /><Relationship Type="http://schemas.openxmlformats.org/officeDocument/2006/relationships/hyperlink" Id="rId230" Target="https://doi.org/10.1016/j.jsat.2013.08.004" TargetMode="External" /><Relationship Type="http://schemas.openxmlformats.org/officeDocument/2006/relationships/hyperlink" Id="rId420" Target="https://doi.org/10.1016/j.jsat.2016.12.010" TargetMode="External" /><Relationship Type="http://schemas.openxmlformats.org/officeDocument/2006/relationships/hyperlink" Id="rId418" Target="https://doi.org/10.1016/j.jsat.2021.108417" TargetMode="External" /><Relationship Type="http://schemas.openxmlformats.org/officeDocument/2006/relationships/hyperlink" Id="rId359" Target="https://doi.org/10.1016/j.jsat.2021.108710" TargetMode="External" /><Relationship Type="http://schemas.openxmlformats.org/officeDocument/2006/relationships/hyperlink" Id="rId406" Target="https://doi.org/10.1016/j.landig.2025.100916" TargetMode="External" /><Relationship Type="http://schemas.openxmlformats.org/officeDocument/2006/relationships/hyperlink" Id="rId342" Target="https://doi.org/10.1016/j.psc.2010.04.012" TargetMode="External" /><Relationship Type="http://schemas.openxmlformats.org/officeDocument/2006/relationships/hyperlink" Id="rId304" Target="https://doi.org/10.1023/A:1008987426876" TargetMode="External" /><Relationship Type="http://schemas.openxmlformats.org/officeDocument/2006/relationships/hyperlink" Id="rId367" Target="https://doi.org/10.1037/0003-066X.47.9.1102" TargetMode="External" /><Relationship Type="http://schemas.openxmlformats.org/officeDocument/2006/relationships/hyperlink" Id="rId425" Target="https://doi.org/10.1037/0003-066X.59.4.224" TargetMode="External" /><Relationship Type="http://schemas.openxmlformats.org/officeDocument/2006/relationships/hyperlink" Id="rId393" Target="https://doi.org/10.1037/0003-066X.60.4.340" TargetMode="External" /><Relationship Type="http://schemas.openxmlformats.org/officeDocument/2006/relationships/hyperlink" Id="rId255" Target="https://doi.org/10.1037/a0037157" TargetMode="External" /><Relationship Type="http://schemas.openxmlformats.org/officeDocument/2006/relationships/hyperlink" Id="rId259" Target="https://doi.org/10.1037/abn0000819" TargetMode="External" /><Relationship Type="http://schemas.openxmlformats.org/officeDocument/2006/relationships/hyperlink" Id="rId251" Target="https://doi.org/10.1037/adb0000292" TargetMode="External" /><Relationship Type="http://schemas.openxmlformats.org/officeDocument/2006/relationships/hyperlink" Id="rId376" Target="https://doi.org/10.1037/adb0000550" TargetMode="External" /><Relationship Type="http://schemas.openxmlformats.org/officeDocument/2006/relationships/hyperlink" Id="rId389" Target="https://doi.org/10.1037/adb0000666" TargetMode="External" /><Relationship Type="http://schemas.openxmlformats.org/officeDocument/2006/relationships/hyperlink" Id="rId266" Target="https://doi.org/10.1037/ccp0000026" TargetMode="External" /><Relationship Type="http://schemas.openxmlformats.org/officeDocument/2006/relationships/hyperlink" Id="rId433" Target="https://doi.org/10.1037/pas0000685" TargetMode="External" /><Relationship Type="http://schemas.openxmlformats.org/officeDocument/2006/relationships/hyperlink" Id="rId257" Target="https://doi.org/10.1037/pha0000210" TargetMode="External" /><Relationship Type="http://schemas.openxmlformats.org/officeDocument/2006/relationships/hyperlink" Id="rId361" Target="https://doi.org/10.1037/tps0000250" TargetMode="External" /><Relationship Type="http://schemas.openxmlformats.org/officeDocument/2006/relationships/hyperlink" Id="rId333" Target="https://doi.org/10.1038/s41380-018-0094-5" TargetMode="External" /><Relationship Type="http://schemas.openxmlformats.org/officeDocument/2006/relationships/hyperlink" Id="rId328" Target="https://doi.org/10.1080/00952990.2019.1694536" TargetMode="External" /><Relationship Type="http://schemas.openxmlformats.org/officeDocument/2006/relationships/hyperlink" Id="rId272" Target="https://doi.org/10.1080/10826084.2021.1899225" TargetMode="External" /><Relationship Type="http://schemas.openxmlformats.org/officeDocument/2006/relationships/hyperlink" Id="rId429" Target="https://doi.org/10.1080/14659891.2018.1523968" TargetMode="External" /><Relationship Type="http://schemas.openxmlformats.org/officeDocument/2006/relationships/hyperlink" Id="rId443" Target="https://doi.org/10.1080/17441692.2023.2277854" TargetMode="External" /><Relationship Type="http://schemas.openxmlformats.org/officeDocument/2006/relationships/hyperlink" Id="rId399" Target="https://doi.org/10.1080/19371918.2013.758975" TargetMode="External" /><Relationship Type="http://schemas.openxmlformats.org/officeDocument/2006/relationships/hyperlink" Id="rId412" Target="https://doi.org/10.1093/jamia/ocy052" TargetMode="External" /><Relationship Type="http://schemas.openxmlformats.org/officeDocument/2006/relationships/hyperlink" Id="rId240" Target="https://doi.org/10.1093/oxfordhb/9780190067991.013.9" TargetMode="External" /><Relationship Type="http://schemas.openxmlformats.org/officeDocument/2006/relationships/hyperlink" Id="rId297" Target="https://doi.org/10.1097/ADM.0000000000000312" TargetMode="External" /><Relationship Type="http://schemas.openxmlformats.org/officeDocument/2006/relationships/hyperlink" Id="rId335" Target="https://doi.org/10.1097/JTO.0b013e3181ec173d" TargetMode="External" /><Relationship Type="http://schemas.openxmlformats.org/officeDocument/2006/relationships/hyperlink" Id="rId387" Target="https://doi.org/10.1111/add.13479" TargetMode="External" /><Relationship Type="http://schemas.openxmlformats.org/officeDocument/2006/relationships/hyperlink" Id="rId222" Target="https://doi.org/10.1111/ajad.12784" TargetMode="External" /><Relationship Type="http://schemas.openxmlformats.org/officeDocument/2006/relationships/hyperlink" Id="rId410" Target="https://doi.org/10.1111/j.1530-0277.1984.tb05523.x" TargetMode="External" /><Relationship Type="http://schemas.openxmlformats.org/officeDocument/2006/relationships/hyperlink" Id="rId383" Target="https://doi.org/10.1111/j.1530-0277.2006.00263.x" TargetMode="External" /><Relationship Type="http://schemas.openxmlformats.org/officeDocument/2006/relationships/hyperlink" Id="rId330" Target="https://doi.org/10.1111/jrh.70076" TargetMode="External" /><Relationship Type="http://schemas.openxmlformats.org/officeDocument/2006/relationships/hyperlink" Id="rId234" Target="https://doi.org/10.1136/bmj-2023-078378" TargetMode="External" /><Relationship Type="http://schemas.openxmlformats.org/officeDocument/2006/relationships/hyperlink" Id="rId441" Target="https://doi.org/10.1145/1629890.1629897" TargetMode="External" /><Relationship Type="http://schemas.openxmlformats.org/officeDocument/2006/relationships/hyperlink" Id="rId300" Target="https://doi.org/10.1145/1867699.1867704" TargetMode="External" /><Relationship Type="http://schemas.openxmlformats.org/officeDocument/2006/relationships/hyperlink" Id="rId381" Target="https://doi.org/10.1146/annurev-clinpsy-021815-093351" TargetMode="External" /><Relationship Type="http://schemas.openxmlformats.org/officeDocument/2006/relationships/hyperlink" Id="rId352" Target="https://doi.org/10.1146/annurev-clinpsy-032816-044949" TargetMode="External" /><Relationship Type="http://schemas.openxmlformats.org/officeDocument/2006/relationships/hyperlink" Id="rId276" Target="https://doi.org/10.1146/annurev-clinpsy-102419-125016" TargetMode="External" /><Relationship Type="http://schemas.openxmlformats.org/officeDocument/2006/relationships/hyperlink" Id="rId218" Target="https://doi.org/10.1146/annurev.clinpsy.3.022806.091455" TargetMode="External" /><Relationship Type="http://schemas.openxmlformats.org/officeDocument/2006/relationships/hyperlink" Id="rId224" Target="https://doi.org/10.1176/appi.ajp.2014.13081055" TargetMode="External" /><Relationship Type="http://schemas.openxmlformats.org/officeDocument/2006/relationships/hyperlink" Id="rId288" Target="https://doi.org/10.1176/appi.ajp.21090963" TargetMode="External" /><Relationship Type="http://schemas.openxmlformats.org/officeDocument/2006/relationships/hyperlink" Id="rId238" Target="https://doi.org/10.1176/ps.62.11.pss6211_1273" TargetMode="External" /><Relationship Type="http://schemas.openxmlformats.org/officeDocument/2006/relationships/hyperlink" Id="rId339" Target="https://doi.org/10.1177/00333549211041554" TargetMode="External" /><Relationship Type="http://schemas.openxmlformats.org/officeDocument/2006/relationships/hyperlink" Id="rId401" Target="https://doi.org/10.1177/0261927X09351676" TargetMode="External" /><Relationship Type="http://schemas.openxmlformats.org/officeDocument/2006/relationships/hyperlink" Id="rId373" Target="https://doi.org/10.1177/1073191114540320" TargetMode="External" /><Relationship Type="http://schemas.openxmlformats.org/officeDocument/2006/relationships/hyperlink" Id="rId431" Target="https://doi.org/10.1177/1073191116653829" TargetMode="External" /><Relationship Type="http://schemas.openxmlformats.org/officeDocument/2006/relationships/hyperlink" Id="rId447" Target="https://doi.org/10.1177/1077558712458541" TargetMode="External" /><Relationship Type="http://schemas.openxmlformats.org/officeDocument/2006/relationships/hyperlink" Id="rId391" Target="https://doi.org/10.1177/1178221820976988" TargetMode="External" /><Relationship Type="http://schemas.openxmlformats.org/officeDocument/2006/relationships/hyperlink" Id="rId403" Target="https://doi.org/10.1177/17456916221134490" TargetMode="External" /><Relationship Type="http://schemas.openxmlformats.org/officeDocument/2006/relationships/hyperlink" Id="rId323" Target="https://doi.org/10.1214/17-EJS1338SI" TargetMode="External" /><Relationship Type="http://schemas.openxmlformats.org/officeDocument/2006/relationships/hyperlink" Id="rId414" Target="https://doi.org/10.1377/hlthaff.20.6.64" TargetMode="External" /><Relationship Type="http://schemas.openxmlformats.org/officeDocument/2006/relationships/hyperlink" Id="rId378" Target="https://doi.org/10.1377/hlthaff.2011.0983" TargetMode="External" /><Relationship Type="http://schemas.openxmlformats.org/officeDocument/2006/relationships/hyperlink" Id="rId226" Target="https://doi.org/10.21231/GNT1-HW21" TargetMode="External" /><Relationship Type="http://schemas.openxmlformats.org/officeDocument/2006/relationships/hyperlink" Id="rId355" Target="https://doi.org/10.2196/29563" TargetMode="External" /><Relationship Type="http://schemas.openxmlformats.org/officeDocument/2006/relationships/hyperlink" Id="rId208" Target="https://doi.org/10.2196/39862" TargetMode="External" /><Relationship Type="http://schemas.openxmlformats.org/officeDocument/2006/relationships/hyperlink" Id="rId435" Target="https://doi.org/10.2196/41833" TargetMode="External" /><Relationship Type="http://schemas.openxmlformats.org/officeDocument/2006/relationships/hyperlink" Id="rId369" Target="https://doi.org/10.2196/73265" TargetMode="External" /><Relationship Type="http://schemas.openxmlformats.org/officeDocument/2006/relationships/hyperlink" Id="rId437" Target="https://doi.org/10.2196/81697" TargetMode="External" /><Relationship Type="http://schemas.openxmlformats.org/officeDocument/2006/relationships/hyperlink" Id="rId291" Target="https://doi.org/10.2196/mental.9777" TargetMode="External" /><Relationship Type="http://schemas.openxmlformats.org/officeDocument/2006/relationships/hyperlink" Id="rId445" Target="https://doi.org/10.2196/mhealth.9117" TargetMode="External" /><Relationship Type="http://schemas.openxmlformats.org/officeDocument/2006/relationships/hyperlink" Id="rId439" Target="https://doi.org/10.31234/osf.io/cgsf7" TargetMode="External" /><Relationship Type="http://schemas.openxmlformats.org/officeDocument/2006/relationships/hyperlink" Id="rId346" Target="https://doi.org/10.35946/arcr.v41.1.01" TargetMode="External" /><Relationship Type="http://schemas.openxmlformats.org/officeDocument/2006/relationships/hyperlink" Id="rId249" Target="https://doi.org/10.48550/arXiv.1810.04805" TargetMode="External" /><Relationship Type="http://schemas.openxmlformats.org/officeDocument/2006/relationships/hyperlink" Id="rId264" Target="https://doi.org/10.5555/ajhb.2007.31.supp.S47" TargetMode="External" /><Relationship Type="http://schemas.openxmlformats.org/officeDocument/2006/relationships/hyperlink" Id="rId449" Target="https://doi.org/10.7326/M14-0295" TargetMode="External" /><Relationship Type="http://schemas.openxmlformats.org/officeDocument/2006/relationships/hyperlink" Id="rId306" Target="https://doi.org/10/gfsjzg" TargetMode="External" /><Relationship Type="http://schemas.openxmlformats.org/officeDocument/2006/relationships/hyperlink" Id="rId262" Target="https://doi.org/10/ghqvcw" TargetMode="External" /><Relationship Type="http://schemas.openxmlformats.org/officeDocument/2006/relationships/hyperlink" Id="rId76" Target="https://jjcurtin.github.io/study_lag/" TargetMode="External" /><Relationship Type="http://schemas.openxmlformats.org/officeDocument/2006/relationships/hyperlink" Id="rId138" Target="https://jjcurtin.github.io/study_risk2/" TargetMode="External" /><Relationship Type="http://schemas.openxmlformats.org/officeDocument/2006/relationships/hyperlink" Id="rId9" Target="https://kendrapaquette.github.io/study_dissertation/index.qmd.html" TargetMode="External" /><Relationship Type="http://schemas.openxmlformats.org/officeDocument/2006/relationships/hyperlink" Id="rId170" Target="https://kendrapaquette.github.io/study_dissertation/notebooks\figures-preview.html#cell-fig-1" TargetMode="External" /><Relationship Type="http://schemas.openxmlformats.org/officeDocument/2006/relationships/hyperlink" Id="rId177" Target="https://kendrapaquette.github.io/study_dissertation/notebooks\figures-preview.html#cell-fig-2" TargetMode="External" /><Relationship Type="http://schemas.openxmlformats.org/officeDocument/2006/relationships/hyperlink" Id="rId107" Target="https://kendrapaquette.github.io/study_dissertation/notebooks\figures-preview.html#cell-fig-2-lag" TargetMode="External" /><Relationship Type="http://schemas.openxmlformats.org/officeDocument/2006/relationships/hyperlink" Id="rId184" Target="https://kendrapaquette.github.io/study_dissertation/notebooks\figures-preview.html#cell-fig-3" TargetMode="External" /><Relationship Type="http://schemas.openxmlformats.org/officeDocument/2006/relationships/hyperlink" Id="rId189" Target="https://kendrapaquette.github.io/study_dissertation/notebooks\figures-preview.html#cell-fig-4" TargetMode="External" /><Relationship Type="http://schemas.openxmlformats.org/officeDocument/2006/relationships/hyperlink" Id="rId125" Target="https://kendrapaquette.github.io/study_dissertation/notebooks\figures-preview.html#cell-fig-4-lag" TargetMode="External" /><Relationship Type="http://schemas.openxmlformats.org/officeDocument/2006/relationships/hyperlink" Id="rId119" Target="https://kendrapaquette.github.io/study_dissertation/notebooks\figures-preview.html#cell-fig-cal" TargetMode="External" /><Relationship Type="http://schemas.openxmlformats.org/officeDocument/2006/relationships/hyperlink" Id="rId37" Target="https://kendrapaquette.github.io/study_dissertation/notebooks\tables-preview.html#cell-tbl-dem" TargetMode="External" /><Relationship Type="http://schemas.openxmlformats.org/officeDocument/2006/relationships/hyperlink" Id="rId113" Target="https://kendrapaquette.github.io/study_dissertation/notebooks\tables-preview.html#cell-tbl-fairness" TargetMode="External" /><Relationship Type="http://schemas.openxmlformats.org/officeDocument/2006/relationships/hyperlink" Id="rId110" Target="https://kendrapaquette.github.io/study_dissertation/notebooks\tables-preview.html#cell-tbl-model" TargetMode="External" /><Relationship Type="http://schemas.openxmlformats.org/officeDocument/2006/relationships/hyperlink" Id="rId50" Target="https://kendrapaquette.github.io/study_dissertation/notebooks\tables-preview.html#cell-tbl-perf-ema" TargetMode="External" /><Relationship Type="http://schemas.openxmlformats.org/officeDocument/2006/relationships/hyperlink" Id="rId161" Target="https://kendrapaquette.github.io/study_dissertation/notebooks\tables-preview.html#cell-tbl-risk2dem" TargetMode="External" /><Relationship Type="http://schemas.openxmlformats.org/officeDocument/2006/relationships/hyperlink" Id="rId165" Target="https://kendrapaquette.github.io/study_dissertation/notebooks\tables-preview.html#cell-tbl-risk2model" TargetMode="External" /><Relationship Type="http://schemas.openxmlformats.org/officeDocument/2006/relationships/hyperlink" Id="rId19" Target="https://osf.io/w5h9y/" TargetMode="External" /><Relationship Type="http://schemas.openxmlformats.org/officeDocument/2006/relationships/hyperlink" Id="rId75" Target="https://osf.io/xta67/" TargetMode="External" /><Relationship Type="http://schemas.openxmlformats.org/officeDocument/2006/relationships/hyperlink" Id="rId137" Target="https://osf.io/zvm7s/overview" TargetMode="External" /><Relationship Type="http://schemas.openxmlformats.org/officeDocument/2006/relationships/hyperlink" Id="rId244" Target="https://www.ncbi.nlm.nih.gov/pmc/articles/PMC2797101" TargetMode="External" /><Relationship Type="http://schemas.openxmlformats.org/officeDocument/2006/relationships/hyperlink" Id="rId422" Target="https://www.ncbi.nlm.nih.gov/pubmed/12199834" TargetMode="External" /><Relationship Type="http://schemas.openxmlformats.org/officeDocument/2006/relationships/hyperlink" Id="rId357" Target="https://www.ncbi.nlm.nih.gov/pubmed/20669516" TargetMode="External" /><Relationship Type="http://schemas.openxmlformats.org/officeDocument/2006/relationships/hyperlink" Id="rId397" Target="https://www.ncbi.nlm.nih.gov/pubmed/2825289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Toward Precision Continuing Care</dc:title>
  <dc:creator>Kendra Wyant</dc:creator>
  <cp:keywords/>
  <dcterms:created xsi:type="dcterms:W3CDTF">2026-03-30T14:49:40Z</dcterms:created>
  <dcterms:modified xsi:type="dcterms:W3CDTF">2026-03-30T14:49:40Z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lear-hidden-classes">
    <vt:lpwstr>none</vt:lpwstr>
  </property>
  <property fmtid="{D5CDD505-2E9C-101B-9397-08002B2CF9AE}" pid="7" name="csl">
    <vt:lpwstr>https://raw.githubusercontent.com/citation-style-language/styles/master/apa.csl</vt:lpwstr>
  </property>
  <property fmtid="{D5CDD505-2E9C-101B-9397-08002B2CF9AE}" pid="8" name="date">
    <vt:lpwstr>2026-03-30</vt:lpwstr>
  </property>
  <property fmtid="{D5CDD505-2E9C-101B-9397-08002B2CF9AE}" pid="9" name="editor_options">
    <vt:lpwstr/>
  </property>
  <property fmtid="{D5CDD505-2E9C-101B-9397-08002B2CF9AE}" pid="10" name="engines">
    <vt:lpwstr/>
  </property>
  <property fmtid="{D5CDD505-2E9C-101B-9397-08002B2CF9AE}" pid="11" name="google-scholar">
    <vt:lpwstr>True</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lightbox">
    <vt:lpwstr>auto</vt:lpwstr>
  </property>
  <property fmtid="{D5CDD505-2E9C-101B-9397-08002B2CF9AE}" pid="17" name="manuscript">
    <vt:lpwstr/>
  </property>
  <property fmtid="{D5CDD505-2E9C-101B-9397-08002B2CF9AE}" pid="18" name="notebook-preview-options">
    <vt:lpwstr/>
  </property>
  <property fmtid="{D5CDD505-2E9C-101B-9397-08002B2CF9AE}" pid="19" name="quarto-internal">
    <vt:lpwstr/>
  </property>
  <property fmtid="{D5CDD505-2E9C-101B-9397-08002B2CF9AE}" pid="20" name="remove-hidden">
    <vt:lpwstr>all</vt:lpwstr>
  </property>
  <property fmtid="{D5CDD505-2E9C-101B-9397-08002B2CF9AE}" pid="21" name="subtitle">
    <vt:lpwstr>Predicting Lapse Risk in Substance Use Disorders Using Machine Learning</vt:lpwstr>
  </property>
  <property fmtid="{D5CDD505-2E9C-101B-9397-08002B2CF9AE}" pid="22" name="template-partials">
    <vt:lpwstr/>
  </property>
  <property fmtid="{D5CDD505-2E9C-101B-9397-08002B2CF9AE}" pid="23" name="theme">
    <vt:lpwstr>cosmo</vt:lpwstr>
  </property>
  <property fmtid="{D5CDD505-2E9C-101B-9397-08002B2CF9AE}" pid="24" name="title-block-style">
    <vt:lpwstr>manuscript</vt:lpwstr>
  </property>
  <property fmtid="{D5CDD505-2E9C-101B-9397-08002B2CF9AE}" pid="25" name="toc-title">
    <vt:lpwstr>Table of contents</vt:lpwstr>
  </property>
  <property fmtid="{D5CDD505-2E9C-101B-9397-08002B2CF9AE}" pid="26" name="unroll-markdown-cells">
    <vt:lpwstr>True</vt:lpwstr>
  </property>
</Properties>
</file>