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would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barriers that currently undermine SUD continuing care, including passive handoffs, patient dropout, limited care coordination, and delayed responses to clinical deterioration, could be further addressed by embedding predictive models within an AI‑enabled, agentic support system capable of planning and action. For instance, if an individual receives repeated feedback indicating elevated lapse risk over several days and subsequently disengages from the monitoring system, an AI agent could proactively initiate outreach and facilitate connection to higher‑intensity services, such as scheduling an appointment with an in‑network provider for further evaluation.</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2026-03-30T13:53:25Z</dcterms:created>
  <dcterms:modified xsi:type="dcterms:W3CDTF">2026-03-30T13:53:25Z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