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2026-03-31</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This requires the consideration of alternative outcomes to train models 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2026-03-31T11:50:53Z</dcterms:created>
  <dcterms:modified xsi:type="dcterms:W3CDTF">2026-03-31T11:50:53Z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2026-03-31</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