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AbstractTitle"/>
      </w:pPr>
      <w:r>
        <w:t xml:space="preserve">Abstract</w:t>
      </w:r>
    </w:p>
    <w:p>
      <w:pPr>
        <w:pStyle w:val="Abstract"/>
      </w:pPr>
      <w:r>
        <w:t xml:space="preserve">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probability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w:t>
      </w:r>
      <w:r>
        <w:t xml:space="preserve"> </w:t>
      </w:r>
      <w:r>
        <w:t xml:space="preserve"> </w:t>
      </w:r>
      <w:r>
        <w:t xml:space="preserve">This dissertation presents a series of three studies that demonstrate the feasibility of building an automated recovery monitoring and support system. We used two clinical samples of individuals in early recovery from alcohol (Studies 1–2) and opioid use (Study 3) disorders with stated goals of abstinence. Participants provided ecological momentary assessment (Studies 1-3) and geolocation sensing data (Study 3) for up to one year. Across the three studies, we assessed potential sensing methods for their ability to predict lapse with varying levels of temporal precision and evaluated the interpretability and fairness of model outputs.</w:t>
      </w:r>
      <w:r>
        <w:t xml:space="preserve"> </w:t>
      </w:r>
    </w:p>
    <w:p>
      <w:pPr>
        <w:pStyle w:val="Abstract"/>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 Models generally performed fairly when demographic groups were sufficiently represented in the training data, and a wide range of important features from two complementary sensing datasets emerged as actionable targets for clinical intervention.</w:t>
      </w:r>
      <w:r>
        <w:t xml:space="preserve"> </w:t>
      </w:r>
    </w:p>
    <w:p>
      <w:pPr>
        <w:pStyle w:val="Abstract"/>
      </w:pPr>
      <w:r>
        <w:t xml:space="preserve">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These findings lay the groundwork for an automated recovery monitoring and support system to improve continuing care following an initial SUD treatment episode.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r>
        <w:br w:type="page"/>
      </w:r>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(OUD)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OUD).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not-so-distant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First, the system must be able to collect a rich and densely sampled source (or sources) of risk-relevant data. Second, the system must have access to a model that can predict substance use with high performance and temporal precision and have interpretable model inputs for support recommendations to be mapped onto. Third,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necessary for prediction of future lapses with high temporal precision. Individuals with SUDs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SUDs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OUD,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p>
      <w:r>
        <w:br w:type="page"/>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0.891</w:t>
                  </w:r>
                </w:p>
              </w:tc>
              <w:tc>
                <w:tcPr/>
                <w:p>
                  <w:pPr>
                    <w:pStyle w:val="Compact"/>
                    <w:jc w:val="right"/>
                    <w:jc w:val="center"/>
                  </w:pPr>
                  <w:r>
                    <w:t xml:space="preserve">0.899</w:t>
                  </w:r>
                </w:p>
              </w:tc>
              <w:tc>
                <w:tcPr/>
                <w:p>
                  <w:pPr>
                    <w:pStyle w:val="Compact"/>
                    <w:jc w:val="right"/>
                    <w:jc w:val="center"/>
                  </w:pPr>
                  <w:r>
                    <w:t xml:space="preserve">0.929</w:t>
                  </w:r>
                </w:p>
              </w:tc>
            </w:tr>
            <w:tr>
              <w:tc>
                <w:tcPr/>
                <w:p>
                  <w:pPr>
                    <w:pStyle w:val="Compact"/>
                    <w:jc w:val="left"/>
                    <w:jc w:val="center"/>
                  </w:pPr>
                  <w:r>
                    <w:t xml:space="preserve">sensitivity</w:t>
                  </w:r>
                </w:p>
              </w:tc>
              <w:tc>
                <w:tcPr/>
                <w:p>
                  <w:pPr>
                    <w:pStyle w:val="Compact"/>
                    <w:jc w:val="right"/>
                    <w:jc w:val="center"/>
                  </w:pPr>
                  <w:r>
                    <w:t xml:space="preserve">0.823</w:t>
                  </w:r>
                </w:p>
              </w:tc>
              <w:tc>
                <w:tcPr/>
                <w:p>
                  <w:pPr>
                    <w:pStyle w:val="Compact"/>
                    <w:jc w:val="right"/>
                    <w:jc w:val="center"/>
                  </w:pPr>
                  <w:r>
                    <w:t xml:space="preserve">0.828</w:t>
                  </w:r>
                </w:p>
              </w:tc>
              <w:tc>
                <w:tcPr/>
                <w:p>
                  <w:pPr>
                    <w:pStyle w:val="Compact"/>
                    <w:jc w:val="right"/>
                    <w:jc w:val="center"/>
                  </w:pPr>
                  <w:r>
                    <w:t xml:space="preserve">0.864</w:t>
                  </w:r>
                </w:p>
              </w:tc>
            </w:tr>
            <w:tr>
              <w:tc>
                <w:tcPr/>
                <w:p>
                  <w:pPr>
                    <w:pStyle w:val="Compact"/>
                    <w:jc w:val="left"/>
                    <w:jc w:val="center"/>
                  </w:pPr>
                  <w:r>
                    <w:t xml:space="preserve">specificity</w:t>
                  </w:r>
                </w:p>
              </w:tc>
              <w:tc>
                <w:tcPr/>
                <w:p>
                  <w:pPr>
                    <w:pStyle w:val="Compact"/>
                    <w:jc w:val="right"/>
                    <w:jc w:val="center"/>
                  </w:pPr>
                  <w:r>
                    <w:t xml:space="preserve">0.819</w:t>
                  </w:r>
                </w:p>
              </w:tc>
              <w:tc>
                <w:tcPr/>
                <w:p>
                  <w:pPr>
                    <w:pStyle w:val="Compact"/>
                    <w:jc w:val="right"/>
                    <w:jc w:val="center"/>
                  </w:pPr>
                  <w:r>
                    <w:t xml:space="preserve">0.845</w:t>
                  </w:r>
                </w:p>
              </w:tc>
              <w:tc>
                <w:tcPr/>
                <w:p>
                  <w:pPr>
                    <w:pStyle w:val="Compact"/>
                    <w:jc w:val="right"/>
                    <w:jc w:val="center"/>
                  </w:pPr>
                  <w:r>
                    <w:t xml:space="preserve">0.881</w:t>
                  </w:r>
                </w:p>
              </w:tc>
            </w:tr>
            <w:tr>
              <w:tc>
                <w:tcPr/>
                <w:p>
                  <w:pPr>
                    <w:pStyle w:val="Compact"/>
                    <w:jc w:val="left"/>
                    <w:jc w:val="center"/>
                  </w:pPr>
                  <w:r>
                    <w:t xml:space="preserve">balanced accuracy</w:t>
                  </w:r>
                </w:p>
              </w:tc>
              <w:tc>
                <w:tcPr/>
                <w:p>
                  <w:pPr>
                    <w:pStyle w:val="Compact"/>
                    <w:jc w:val="right"/>
                    <w:jc w:val="center"/>
                  </w:pPr>
                  <w:r>
                    <w:t xml:space="preserve">0.828</w:t>
                  </w:r>
                </w:p>
              </w:tc>
              <w:tc>
                <w:tcPr/>
                <w:p>
                  <w:pPr>
                    <w:pStyle w:val="Compact"/>
                    <w:jc w:val="right"/>
                    <w:jc w:val="center"/>
                  </w:pPr>
                  <w:r>
                    <w:t xml:space="preserve">0.835</w:t>
                  </w:r>
                </w:p>
              </w:tc>
              <w:tc>
                <w:tcPr/>
                <w:p>
                  <w:pPr>
                    <w:pStyle w:val="Compact"/>
                    <w:jc w:val="right"/>
                    <w:jc w:val="center"/>
                  </w:pPr>
                  <w:r>
                    <w:t xml:space="preserve">0.854</w:t>
                  </w:r>
                </w:p>
              </w:tc>
            </w:tr>
            <w:tr>
              <w:tc>
                <w:tcPr/>
                <w:p>
                  <w:pPr>
                    <w:pStyle w:val="Compact"/>
                    <w:jc w:val="left"/>
                    <w:jc w:val="center"/>
                  </w:pPr>
                  <w:r>
                    <w:t xml:space="preserve">positive predictive value</w:t>
                  </w:r>
                </w:p>
              </w:tc>
              <w:tc>
                <w:tcPr/>
                <w:p>
                  <w:pPr>
                    <w:pStyle w:val="Compact"/>
                    <w:jc w:val="right"/>
                    <w:jc w:val="center"/>
                  </w:pPr>
                  <w:r>
                    <w:t xml:space="preserve">0.630</w:t>
                  </w:r>
                </w:p>
              </w:tc>
              <w:tc>
                <w:tcPr/>
                <w:p>
                  <w:pPr>
                    <w:pStyle w:val="Compact"/>
                    <w:jc w:val="right"/>
                    <w:jc w:val="center"/>
                  </w:pPr>
                  <w:r>
                    <w:t xml:space="preserve">0.300</w:t>
                  </w:r>
                </w:p>
              </w:tc>
              <w:tc>
                <w:tcPr/>
                <w:p>
                  <w:pPr>
                    <w:pStyle w:val="Compact"/>
                    <w:jc w:val="right"/>
                    <w:jc w:val="center"/>
                  </w:pPr>
                  <w:r>
                    <w:t xml:space="preserve">0.025</w:t>
                  </w:r>
                </w:p>
              </w:tc>
            </w:tr>
            <w:tr>
              <w:tc>
                <w:tcPr/>
                <w:p>
                  <w:pPr>
                    <w:pStyle w:val="Compact"/>
                    <w:jc w:val="left"/>
                    <w:jc w:val="center"/>
                  </w:pPr>
                  <w:r>
                    <w:t xml:space="preserve">negative predictive value</w:t>
                  </w:r>
                </w:p>
              </w:tc>
              <w:tc>
                <w:tcPr/>
                <w:p>
                  <w:pPr>
                    <w:pStyle w:val="Compact"/>
                    <w:jc w:val="right"/>
                    <w:jc w:val="center"/>
                  </w:pPr>
                  <w:r>
                    <w:t xml:space="preserve">0.944</w:t>
                  </w:r>
                </w:p>
              </w:tc>
              <w:tc>
                <w:tcPr/>
                <w:p>
                  <w:pPr>
                    <w:pStyle w:val="Compact"/>
                    <w:jc w:val="right"/>
                    <w:jc w:val="center"/>
                  </w:pPr>
                  <w:r>
                    <w:t xml:space="preserve">0.988</w:t>
                  </w:r>
                </w:p>
              </w:tc>
              <w:tc>
                <w:tcPr/>
                <w:p>
                  <w:pPr>
                    <w:pStyle w:val="Compact"/>
                    <w:jc w:val="right"/>
                    <w:jc w:val="center"/>
                  </w:pPr>
                  <w:r>
                    <w:t xml:space="preserve">0.999</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p>
      <w:r>
        <w:br w:type="page"/>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 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 days vs. No lag</w:t>
                  </w: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1 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 weeks vs. No lag</w:t>
                  </w: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 days vs. 1 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 week vs. 3 days</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 weeks vs. 1 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vs. above poverty</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vs. above poverty</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p>
      <w:r>
        <w:br w:type="page"/>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6096000"/>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possibly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p>
      <w:r>
        <w:br w:type="page"/>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This requires the consideration of alternative outcomes to train models on.</w:t>
      </w:r>
    </w:p>
    <w:p>
      <w:pPr>
        <w:pStyle w:val="BodyText"/>
      </w:pPr>
      <w:r>
        <w:t xml:space="preserve">One potential outcome is the prediction of heavy drinking days. Heavy drinking days are defined by the National Institute on Alcohol Abuse and Alcoholism (NIAAA) as a threshold indicative of hazardous drinking, and this threshold may be more consistently viewed as goal-inconsistent among individuals aiming to reduce or moderate their alcohol use. Another option is to allow individuals to self-define goal-inconsistent use (e.g., drinking on a weekday, drinking more than planned) and to train models in samples with diverse recovery goals. More broadly, focusing exclusively on drinking as the primary outcome may overlook other clinically meaningful indicators of recovery, particularly for individuals not seeking abstinence. Outcomes such as well-being, mental health, functional status, and quality of life may be more relevant in harm reduction contexts. Future work should therefore explore alternative outcome definitions.</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We also plan to explore how models perform over extended recovery trajectories. In all studies,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In our OUD sample, participants remained in the study for up to one year. This provides a unique opportunity to test whether the accuracy of our model’s predictions or the magnitude of a feature’s contribution to those predictions, changes as a function of time in recovery.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improve continuing care following an initial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 specialists,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p>
      <w:r>
        <w:br w:type="page"/>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preview.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preview.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2026-03-31T16:41:16Z</dcterms:created>
  <dcterms:modified xsi:type="dcterms:W3CDTF">2026-03-31T16:41:16Z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probability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   This dissertation presents a series of three studies that demonstrate the feasibility of building an automated recovery monitoring and support system. We used two clinical samples of individuals in early recovery from alcohol (Studies 1–2) and opioid use (Study 3) disorders with stated goals of abstinence. Participants provided ecological momentary assessment (Studies 1-3) and geolocation sensing data (Study 3) for up to one year. Across the three studies, we assessed potential sensing methods for their ability to predict lapse with varying levels of temporal precision and evaluated the interpretability and fairness of model outputs.  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 Models generally performed fairly when demographic groups were sufficiently represented in the training data, and a wide range of important features from two complementary sensing datasets emerged as actionable targets for clinical intervention.  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These findings lay the groundwork for an automated recovery monitoring and support system to improve continuing care following an initial SUD treatment episode.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csl">
    <vt:lpwstr>https://raw.githubusercontent.com/citation-style-language/styles/master/apa.csl</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