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jpg" ContentType="image/jpeg"/>
  <Override PartName="/word/media/rId65.jpg" ContentType="image/jpeg"/>
  <Override PartName="/word/media/rId119.png" ContentType="image/png"/>
  <Override PartName="/word/media/rId72.jpg" ContentType="image/jpeg"/>
  <Override PartName="/word/media/rId131.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2026-03-25</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6" w:name="introduction"/>
    <w:p>
      <w:pPr>
        <w:pStyle w:val="Heading1"/>
      </w:pPr>
      <w:r>
        <w:t xml:space="preserve">1. Introduction</w:t>
      </w:r>
    </w:p>
    <w:bookmarkStart w:id="21"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w:t>
      </w:r>
      <w:r>
        <w:rPr>
          <w:b/>
          <w:bCs/>
        </w:rPr>
        <w:t xml:space="preserve">unitedstatesdepartmentoftransportation2024?</w:t>
      </w:r>
      <w:r>
        <w:t xml:space="preserve">)</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a stark comparison to treatment initiation for other chronic diseases [</w:t>
      </w:r>
      <w:r>
        <w:t xml:space="preserve">Substance Abuse and Mental Health Services Administration (n.d.)</w:t>
      </w:r>
      <w:r>
        <w:t xml:space="preserve">.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rather a challenge inherent in chronic disease management without adequate continuing care.</w:t>
      </w:r>
    </w:p>
    <w:p>
      <w:pPr>
        <w:pStyle w:val="BodyText"/>
      </w:pPr>
      <w:r>
        <w:t xml:space="preserve">These patterns reflect structural limitations within the current treatment system. Several factors, including cost and insurance reimbursement issues, lack of collaborative provider teams, passive referral processes, geographic barriers to accessing services, patient dropout, and changes in the patient’s clinical needs over time, suggest our current treatment system for SUDs does not have the capacity for long-term clinician-delivered care</w:t>
      </w:r>
      <w:r>
        <w:t xml:space="preserve"> </w:t>
      </w:r>
      <w:r>
        <w:t xml:space="preserve">(Dennis &amp; Scott, 2007; McKay, 2021; Stanojlović &amp; Davidson, 2021; Tai &amp; Volkow, 2013)</w:t>
      </w:r>
      <w:r>
        <w:t xml:space="preserve">. Stigma surrounding SUD and historical views of substance use as a social or behavioral problem have contributed to the siloing of SUD care. Treatment typically occurs in specialized, community-based settings that are disconnected from primary care. This fragmented infrastructure results in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21"/>
    <w:bookmarkStart w:id="22"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22"/>
    <w:bookmarkStart w:id="23"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(Stanton, 2005; K. Witkiewitz &amp; Marlatt, 2004)</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23"/>
    <w:bookmarkStart w:id="24" w:name="recovery-monitoring-and-support-system"/>
    <w:p>
      <w:pPr>
        <w:pStyle w:val="Heading2"/>
      </w:pPr>
      <w:r>
        <w:t xml:space="preserve">1.4 Recovery Monitoring and Support System</w:t>
      </w:r>
    </w:p>
    <w:p>
      <w:pPr>
        <w:pStyle w:val="FirstParagraph"/>
      </w:pPr>
      <w:r>
        <w:t xml:space="preserve">An algorithm-guided recovery monitoring and support system could help individuals monitor their current and future risk of lapse and make adjustments in their activities and supports to meet their recovery goals after initial treatment. Such a tool could offer personalized, adaptive recommendations aligned with evidenced-based care and prompt individuals to engage with support at times of high risk. For example, individuals could receive daily messages about changes in their lapse risk and receive personalized recommendations based on top features contributing to their risk. Moreover, it would provide a scalable option for long-term monitoring and support to address the substantial unmet need for continuing care for SUDs.</w:t>
      </w:r>
    </w:p>
    <w:p>
      <w:pPr>
        <w:pStyle w:val="BodyText"/>
      </w:pPr>
      <w:r>
        <w:t xml:space="preserve">For such a system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Bae et al., 2018; S. W. Bae et al., 2023;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Bae et al., 2018; S. W. Bae et al., 2023;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24"/>
    <w:bookmarkStart w:id="25" w:name="specific-aims"/>
    <w:p>
      <w:pPr>
        <w:pStyle w:val="Heading2"/>
      </w:pPr>
      <w:r>
        <w:t xml:space="preserve">1.5 Specific Aims</w:t>
      </w:r>
    </w:p>
    <w:p>
      <w:pPr>
        <w:pStyle w:val="FirstParagraph"/>
      </w:pPr>
      <w:r>
        <w:t xml:space="preserve">This dissertation presents a series of studies aimed at addressing current limitations in the lapse prediction literature. Specifically, we designed three studies to develop fair and temporally precise machine learning models for predicting lapse risk for alcohol and opioid use that could be used in a recovery monitoring support system.</w:t>
      </w:r>
    </w:p>
    <w:p>
      <w:pPr>
        <w:pStyle w:val="BodyText"/>
      </w:pPr>
      <w:r>
        <w:t xml:space="preserve">To achieve this goal, we used two clinical samples of participants in early recovery from alcohol (Studies 1–2) and opioid use (Study 3) disorders with reported goals of abstinence. In Study 1 (Chapter 2), we developed three separate models that provide hour-by-hour probabilities of a future lapse back to alcohol use with increasing temporal precision: lapses in the next week, next day, and next hour. Model features were engineered from raw scores and longitudinal changes in responses to 4× daily EMAs. We used Shapley values to interpret how EMA features influenced lapse probability both across individuals and for specific lapse probability predictions.</w:t>
      </w:r>
    </w:p>
    <w:p>
      <w:pPr>
        <w:pStyle w:val="BodyText"/>
      </w:pPr>
      <w:r>
        <w:t xml:space="preserve">In Study 2 (Chapter 3), we demonstrated how the same 4× daily EMA data could be used to predict alcohol lapses occurring within a 24-hour window up to two weeks into the future. We examined several lags between the prediction time point and the start of the prediction window: 1 day, 3 days, 1 week, and 2 weeks. These models with lagged prediction windows provide insight into lapse risk with the added benefit of advanced warning, giving individuals extra time to make behavioral, social, or lifestyle changes. Study 2 also extended model evaluation to include fairness analyses by comparing model performance across subgroups with documented disparities in treatment access and outcomes.</w:t>
      </w:r>
    </w:p>
    <w:p>
      <w:pPr>
        <w:pStyle w:val="BodyText"/>
      </w:pPr>
      <w:r>
        <w:t xml:space="preserve">In Study 3 (Chapter 4), we extended lapse prediction to opioid use using a national sample of participants with opioid use disorder. This allowed us to evaluate whether lapse prediction algorithms generalize beyond alcohol to substances where use is illegal and lapses may be underreported. The dataset also included greater diversity in race/ethnicity, income, and geographic location (i.e., rural and urban settings), enabling evaluation of model fairness across a broader set of demographic groups. Model features were derived from both 1× daily EMA and passive geolocation sensing, capturing self-reported risk factors as well as behavioral patterns such as time spent in potentially high-risk locations and changes in routine. We also explored alternative methods for quantifying important features that could be communicated to individuals to explain lapse risk.</w:t>
      </w:r>
    </w:p>
    <w:bookmarkEnd w:id="25"/>
    <w:bookmarkEnd w:id="26"/>
    <w:bookmarkStart w:id="87" w:name="X19d88964df8049fca0e1b90b33796fd673ad16c"/>
    <w:p>
      <w:pPr>
        <w:pStyle w:val="Heading1"/>
      </w:pPr>
      <w:r>
        <w:t xml:space="preserve">2. Machine learning models for temporally precise lapse prediction in alcohol use disorder</w:t>
      </w:r>
    </w:p>
    <w:bookmarkStart w:id="30"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27"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project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27"/>
    <w:bookmarkStart w:id="28"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28"/>
    <w:bookmarkStart w:id="29"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(Fronk et al., 2020; for reviews, see Marlatt &amp; Gordon, 1985;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29"/>
    <w:bookmarkEnd w:id="30"/>
    <w:bookmarkStart w:id="49" w:name="method"/>
    <w:p>
      <w:pPr>
        <w:pStyle w:val="Heading2"/>
      </w:pPr>
      <w:r>
        <w:t xml:space="preserve">2.2 Method</w:t>
      </w:r>
    </w:p>
    <w:bookmarkStart w:id="32"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31">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32"/>
    <w:bookmarkStart w:id="33"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33"/>
    <w:bookmarkStart w:id="34"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34"/>
    <w:bookmarkStart w:id="38" w:name="measures"/>
    <w:p>
      <w:pPr>
        <w:pStyle w:val="Heading3"/>
      </w:pPr>
      <w:r>
        <w:t xml:space="preserve">2.2.4 Measures</w:t>
      </w:r>
    </w:p>
    <w:bookmarkStart w:id="35"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35"/>
    <w:bookmarkStart w:id="37"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rPr>
          <w:rStyle w:val="FootnoteReference"/>
        </w:rPr>
        <w:footnoteReference w:id="36"/>
      </w:r>
      <w:r>
        <w:t xml:space="preserve">.</w:t>
      </w:r>
    </w:p>
    <w:bookmarkEnd w:id="37"/>
    <w:bookmarkEnd w:id="38"/>
    <w:bookmarkStart w:id="48"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9"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39"/>
    <w:bookmarkStart w:id="40"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40"/>
    <w:bookmarkStart w:id="45" w:name="model-training-and-evaluation"/>
    <w:p>
      <w:pPr>
        <w:pStyle w:val="Heading4"/>
      </w:pPr>
      <w:r>
        <w:t xml:space="preserve">2.2.5.3 Model Training and Evaluation</w:t>
      </w:r>
    </w:p>
    <w:bookmarkStart w:id="42"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w:t>
      </w:r>
      <w:r>
        <w:rPr>
          <w:rStyle w:val="FootnoteReference"/>
        </w:rPr>
        <w:footnoteReference w:id="41"/>
      </w:r>
      <w:r>
        <w:t xml:space="preserve">.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42"/>
    <w:bookmarkStart w:id="43"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43"/>
    <w:bookmarkStart w:id="44"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44"/>
    <w:bookmarkEnd w:id="45"/>
    <w:bookmarkStart w:id="46"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46"/>
    <w:bookmarkStart w:id="47"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47"/>
    <w:bookmarkEnd w:id="48"/>
    <w:bookmarkEnd w:id="49"/>
    <w:bookmarkStart w:id="78" w:name="results"/>
    <w:p>
      <w:pPr>
        <w:pStyle w:val="Heading2"/>
      </w:pPr>
      <w:r>
        <w:t xml:space="preserve">2.3 Results</w:t>
      </w:r>
    </w:p>
    <w:bookmarkStart w:id="52"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1</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50" w:name="tbl-dem"/>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All Tables for Dissertation</w:t>
        </w:r>
      </w:hyperlink>
    </w:p>
    <w:bookmarkEnd w:id="52"/>
    <w:bookmarkStart w:id="53"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53"/>
    <w:bookmarkStart w:id="71" w:name="model-performance"/>
    <w:p>
      <w:pPr>
        <w:pStyle w:val="Heading3"/>
      </w:pPr>
      <w:r>
        <w:t xml:space="preserve">2.3.3 Model Performance</w:t>
      </w:r>
    </w:p>
    <w:bookmarkStart w:id="54"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54"/>
    <w:bookmarkStart w:id="60"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tbl>
      <w:tblPr>
        <w:tblStyle w:val="Table"/>
        <w:tblW w:type="pct" w:w="5000"/>
        <w:tblLayout w:type="fixed"/>
        <w:tblLook w:firstRow="0" w:lastRow="0" w:firstColumn="0" w:lastColumn="0" w:noHBand="0" w:noVBand="0" w:val="0000"/>
      </w:tblPr>
      <w:tblGrid>
        <w:gridCol w:w="7920"/>
      </w:tblGrid>
      <w:tr>
        <w:tc>
          <w:tcPr/>
          <w:bookmarkStart w:id="58" w:name="fig-1-ema"/>
          <w:p>
            <w:pPr>
              <w:pStyle w:val="Compact"/>
              <w:jc w:val="center"/>
            </w:pPr>
            <w:r>
              <w:drawing>
                <wp:inline>
                  <wp:extent cx="5334000" cy="3413760"/>
                  <wp:effectExtent b="0" l="0" r="0" t="0"/>
                  <wp:docPr descr="" title="" id="56" name="Picture"/>
                  <a:graphic>
                    <a:graphicData uri="http://schemas.openxmlformats.org/drawingml/2006/picture">
                      <pic:pic>
                        <pic:nvPicPr>
                          <pic:cNvPr descr="index_files/figure-docx/notebooks-figures-fig-1-ema-output-1.jpeg" id="57" name="Picture"/>
                          <pic:cNvPicPr>
                            <a:picLocks noChangeArrowheads="1" noChangeAspect="1"/>
                          </pic:cNvPicPr>
                        </pic:nvPicPr>
                        <pic:blipFill>
                          <a:blip r:embed="rId55"/>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All Figures for Dissertation</w:t>
        </w:r>
      </w:hyperlink>
    </w:p>
    <w:bookmarkEnd w:id="60"/>
    <w:bookmarkStart w:id="61"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61"/>
    <w:bookmarkStart w:id="62"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62"/>
    <w:bookmarkStart w:id="70"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63" w:name="tbl-perf-ema"/>
          <w:p>
            <w:pPr>
              <w:jc w:val="center"/>
            </w:pPr>
            <w:pPr>
              <w:jc w:val="star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tbl>
      <w:tblPr>
        <w:tblStyle w:val="Table"/>
        <w:tblW w:type="pct" w:w="5000"/>
        <w:tblLayout w:type="fixed"/>
        <w:tblLook w:firstRow="0" w:lastRow="0" w:firstColumn="0" w:lastColumn="0" w:noHBand="0" w:noVBand="0" w:val="0000"/>
      </w:tblPr>
      <w:tblGrid>
        <w:gridCol w:w="7920"/>
      </w:tblGrid>
      <w:tr>
        <w:tc>
          <w:tcPr/>
          <w:bookmarkStart w:id="68" w:name="fig-2-ema"/>
          <w:p>
            <w:pPr>
              <w:pStyle w:val="Compact"/>
              <w:jc w:val="center"/>
            </w:pPr>
            <w:r>
              <w:drawing>
                <wp:inline>
                  <wp:extent cx="5334000" cy="4445000"/>
                  <wp:effectExtent b="0" l="0" r="0" t="0"/>
                  <wp:docPr descr="" title="" id="66" name="Picture"/>
                  <a:graphic>
                    <a:graphicData uri="http://schemas.openxmlformats.org/drawingml/2006/picture">
                      <pic:pic>
                        <pic:nvPicPr>
                          <pic:cNvPr descr="index_files/figure-docx/notebooks-figures-fig-2-ema-output-1.jpe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All Figures for Dissertation</w:t>
        </w:r>
      </w:hyperlink>
    </w:p>
    <w:bookmarkEnd w:id="70"/>
    <w:bookmarkEnd w:id="71"/>
    <w:bookmarkStart w:id="77"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tbl>
      <w:tblPr>
        <w:tblStyle w:val="Table"/>
        <w:tblW w:type="pct" w:w="5000"/>
        <w:tblLayout w:type="fixed"/>
        <w:tblLook w:firstRow="0" w:lastRow="0" w:firstColumn="0" w:lastColumn="0" w:noHBand="0" w:noVBand="0" w:val="0000"/>
      </w:tblPr>
      <w:tblGrid>
        <w:gridCol w:w="7920"/>
      </w:tblGrid>
      <w:tr>
        <w:tc>
          <w:tcPr/>
          <w:bookmarkStart w:id="75" w:name="fig-3-ema"/>
          <w:p>
            <w:pPr>
              <w:pStyle w:val="Compact"/>
              <w:jc w:val="center"/>
            </w:pPr>
            <w:r>
              <w:drawing>
                <wp:inline>
                  <wp:extent cx="5334000" cy="4267200"/>
                  <wp:effectExtent b="0" l="0" r="0" t="0"/>
                  <wp:docPr descr="" title="" id="73" name="Picture"/>
                  <a:graphic>
                    <a:graphicData uri="http://schemas.openxmlformats.org/drawingml/2006/picture">
                      <pic:pic>
                        <pic:nvPicPr>
                          <pic:cNvPr descr="index_files/figure-docx/notebooks-figures-fig-3-ema-output-1.jpe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75"/>
        </w:tc>
      </w:tr>
    </w:tbl>
    <w:p>
      <w:pPr>
        <w:pStyle w:val="BodyText"/>
      </w:pPr>
      <w:r>
        <w:rPr>
          <w:vertAlign w:val="subscript"/>
        </w:rPr>
        <w:t xml:space="preserve">Source:</w:t>
      </w:r>
      <w:r>
        <w:rPr>
          <w:vertAlign w:val="subscript"/>
        </w:rPr>
        <w:t xml:space="preserve"> </w:t>
      </w:r>
      <w:hyperlink r:id="rId76">
        <w:r>
          <w:rPr>
            <w:rStyle w:val="Hyperlink"/>
            <w:vertAlign w:val="subscript"/>
          </w:rPr>
          <w:t xml:space="preserve">Make All Figures for Dissertation</w:t>
        </w:r>
      </w:hyperlink>
    </w:p>
    <w:bookmarkEnd w:id="77"/>
    <w:bookmarkEnd w:id="78"/>
    <w:bookmarkStart w:id="86" w:name="discussion"/>
    <w:p>
      <w:pPr>
        <w:pStyle w:val="Heading2"/>
      </w:pPr>
      <w:r>
        <w:t xml:space="preserve">2.4 Discussion</w:t>
      </w:r>
    </w:p>
    <w:bookmarkStart w:id="79"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79"/>
    <w:bookmarkStart w:id="80"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80"/>
    <w:bookmarkStart w:id="83" w:name="Xf6ca54159972f4f7729ee08f27d71911bd3ae56"/>
    <w:p>
      <w:pPr>
        <w:pStyle w:val="Heading3"/>
      </w:pPr>
      <w:r>
        <w:t xml:space="preserve">2.4.3 Considerations for Clinical Implementation</w:t>
      </w:r>
    </w:p>
    <w:bookmarkStart w:id="81"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81"/>
    <w:bookmarkStart w:id="82"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82"/>
    <w:bookmarkEnd w:id="83"/>
    <w:bookmarkStart w:id="85"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w:t>
      </w:r>
      <w:r>
        <w:rPr>
          <w:rStyle w:val="FootnoteReference"/>
        </w:rPr>
        <w:footnoteReference w:id="84"/>
      </w:r>
      <w:r>
        <w:t xml:space="preserve">.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85"/>
    <w:bookmarkEnd w:id="86"/>
    <w:bookmarkEnd w:id="87"/>
    <w:bookmarkStart w:id="143" w:name="Xa9dab75cb028dec3684db25ff70acaea84b1b87"/>
    <w:p>
      <w:pPr>
        <w:pStyle w:val="Heading1"/>
      </w:pPr>
      <w:r>
        <w:t xml:space="preserve">3. Lagged predictions of next day alcohol lapse risk for personalized and adaptive continuing care support</w:t>
      </w:r>
    </w:p>
    <w:bookmarkStart w:id="88" w:name="introduction-2"/>
    <w:p>
      <w:pPr>
        <w:pStyle w:val="Heading2"/>
      </w:pPr>
      <w:r>
        <w:t xml:space="preserve">3.1 Introduction</w:t>
      </w:r>
    </w:p>
    <w:p>
      <w:pPr>
        <w:pStyle w:val="FirstParagraph"/>
      </w:pPr>
      <w:r>
        <w:t xml:space="preserve">Alcohol and other substance use disorders (SUDs) are serious chronic conditions, characterized by high relapse rates</w:t>
      </w:r>
      <w:r>
        <w:t xml:space="preserve">(Dennis &amp; Scott, 2007; McLellan et al., 2000)</w:t>
      </w:r>
      <w:r>
        <w:t xml:space="preserve">, substantial co-morbidity with other physical and mental health problems</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Yet, this problem is even worse for subsequent continuing care during SUD recovery. Continuing care, including both risk monitoring and ongoing support, is the gold standard for managing chronic health conditions such as diabetes, asthma, and HIV.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When available, an important focus of continuing care during SUD recovery is the prevention of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Therefore,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geolocation sensing) can provide the frequent, longitudinal measurement of proximal risk factors that is necessary for prediction of future lapses with high temporal precision. Ecological momentary assessment (EMA) may be particularly well-suited for lapse prediction because it can provide privileged access to the subjective experiences (e.g., craving, affect, stress, motivation, self-efficacy) that are targets for change in evidence 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And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 Bae et al., 2018;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 And perhaps most importantly, Chapter 2 demonstrated that machine learning models using EMA can provide predictions with very high temporal precision at clinically implementable levels of performance. Specifically, they developed models that predict lapses in the immediate future (i.e., the next day and even the next hour) with area under the receiver operating characteristic curve of 0.91 and 0.93, respectively.</w:t>
      </w:r>
    </w:p>
    <w:p>
      <w:pPr>
        <w:pStyle w:val="BodyText"/>
      </w:pPr>
      <w:r>
        <w:t xml:space="preserve">The next day lapse prediction model in Chapter 2 can provide personalized support recommendations to address immediate risks for possible lapses in that next day. Features derived from past EMAs can be updated in the early morning to yield the predicted lapse probability for an individual that day. Personalized supports that target the top features contributing to that prediction can be provided to assist them that day. For example, if predicted lapse probability is high due to recent frequent craving, they could be reminded about the benefits of urge surfing or distracting activities during brief periods when cravings arise. Conversely, guided relaxation techniques could be recommended if lapse probability was high due to recent past and anticipated stressors that day. Patients could also be assisted to implement any of these recommendations by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monitoring and personalized support system for patients in recovery from alcohol use disorder</w:t>
      </w:r>
      <w:r>
        <w:t xml:space="preserve"> </w:t>
      </w:r>
      <w:r>
        <w:t xml:space="preserve">(Wyant et al., 2025)</w:t>
      </w:r>
      <w:r>
        <w:t xml:space="preserve">.</w:t>
      </w:r>
    </w:p>
    <w:p>
      <w:pPr>
        <w:pStyle w:val="BodyText"/>
      </w:pPr>
      <w:r>
        <w:t xml:space="preserve">Despite the promise offered by a monitoring and personalized support system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to help with many risks may require time to schedule. Similarly, work or family schedules may need to be adjusted to return to attending self-help meetings. If new recovery skills or therapeutic activities are needed to address emerging risks, sessions with a therapist may need to be booked to assist the patient to acquire these new skills. In all of these instances, patients would benefit from advanced warning about changes in their lapse probability and the associated risks that contribute to these changes. A smart monitoring and personalized support system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use with individuals.</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and sex at birth</w:t>
      </w:r>
      <w:r>
        <w:t xml:space="preserve"> </w:t>
      </w:r>
      <w:r>
        <w:t xml:space="preserve">(Greenfield et al., 2007; Kilaru et al., 2020)</w:t>
      </w:r>
      <w:r>
        <w:t xml:space="preserve">. Finally, we calculated Shapley values for feature categories defined by EMA items to better understand how these models make their prediction and how these features can be used to recommend personalized supports.</w:t>
      </w:r>
    </w:p>
    <w:bookmarkEnd w:id="88"/>
    <w:bookmarkStart w:id="117" w:name="methods"/>
    <w:p>
      <w:pPr>
        <w:pStyle w:val="Heading2"/>
      </w:pPr>
      <w:r>
        <w:t xml:space="preserve">3.2 Methods</w:t>
      </w:r>
    </w:p>
    <w:bookmarkStart w:id="91" w:name="transparency-and-openness-1"/>
    <w:p>
      <w:pPr>
        <w:pStyle w:val="Heading3"/>
      </w:pPr>
      <w:r>
        <w:t xml:space="preserve">3.2.1 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Finally, our data, questionnaires and other study materials are publicly available on our OSF page (</w:t>
      </w:r>
      <w:hyperlink r:id="rId89">
        <w:r>
          <w:rPr>
            <w:rStyle w:val="Hyperlink"/>
          </w:rPr>
          <w:t xml:space="preserve">https://osf.io/xta67/</w:t>
        </w:r>
      </w:hyperlink>
      <w:r>
        <w:t xml:space="preserve">), and our annotated analysis scripts and results are publicly available on our study website (</w:t>
      </w:r>
      <w:hyperlink r:id="rId90">
        <w:r>
          <w:rPr>
            <w:rStyle w:val="Hyperlink"/>
          </w:rPr>
          <w:t xml:space="preserve">https://jjcurtin.github.io/study_lag/</w:t>
        </w:r>
      </w:hyperlink>
      <w:r>
        <w:t xml:space="preserve">).</w:t>
      </w:r>
    </w:p>
    <w:bookmarkEnd w:id="91"/>
    <w:bookmarkStart w:id="93" w:name="participants-1"/>
    <w:p>
      <w:pPr>
        <w:pStyle w:val="Heading3"/>
      </w:pPr>
      <w:r>
        <w:t xml:space="preserve">3.2.2 Participants</w:t>
      </w:r>
    </w:p>
    <w:p>
      <w:pPr>
        <w:pStyle w:val="FirstParagraph"/>
      </w:pPr>
      <w:r>
        <w:t xml:space="preserve">We recruited participants in early recovery (1-8 weeks of abstinence) from moderate to severe alcohol use disorder in Madison, Wisconsin, US for a three month longitudinal study.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moderately severe alcohol use disorder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w:t>
      </w:r>
      <w:r>
        <w:rPr>
          <w:rStyle w:val="FootnoteReference"/>
        </w:rPr>
        <w:footnoteReference w:id="92"/>
      </w:r>
    </w:p>
    <w:p>
      <w:pPr>
        <w:pStyle w:val="BodyText"/>
      </w:pPr>
      <w:r>
        <w:t xml:space="preserve">One hundred ninety-two participants were eligible. Of these,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w:t>
      </w:r>
    </w:p>
    <w:bookmarkEnd w:id="93"/>
    <w:bookmarkStart w:id="94" w:name="procedure-1"/>
    <w:p>
      <w:pPr>
        <w:pStyle w:val="Heading3"/>
      </w:pPr>
      <w:r>
        <w:t xml:space="preserve">3.2.3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94"/>
    <w:bookmarkStart w:id="97" w:name="measures-1"/>
    <w:p>
      <w:pPr>
        <w:pStyle w:val="Heading3"/>
      </w:pPr>
      <w:r>
        <w:t xml:space="preserve">3.2.4 Measures</w:t>
      </w:r>
    </w:p>
    <w:bookmarkStart w:id="95" w:name="ecological-momentary-assessments-1"/>
    <w:p>
      <w:pPr>
        <w:pStyle w:val="Heading4"/>
      </w:pPr>
      <w:r>
        <w:t xml:space="preserve">3.2.4.1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95"/>
    <w:bookmarkStart w:id="96" w:name="individual-characteristics"/>
    <w:p>
      <w:pPr>
        <w:pStyle w:val="Heading4"/>
      </w:pPr>
      <w:r>
        <w:t xml:space="preserve">3.2.4.2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to characterize our sample. DSM-5 AUD symptom count and presence of psychological symptoms were also used to determine eligibility. Demographic information was included as features in our models. A subset of these variables (sex at birth, race, ethnicity, and income) were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can be found on our study’s OSF page.</w:t>
      </w:r>
    </w:p>
    <w:bookmarkEnd w:id="96"/>
    <w:bookmarkEnd w:id="97"/>
    <w:bookmarkStart w:id="116" w:name="data-analytic-strategy-1"/>
    <w:p>
      <w:pPr>
        <w:pStyle w:val="Heading3"/>
      </w:pPr>
      <w:r>
        <w:t xml:space="preserve">3.2.5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03" w:name="predictions"/>
    <w:p>
      <w:pPr>
        <w:pStyle w:val="Heading4"/>
      </w:pPr>
      <w:r>
        <w:t xml:space="preserve">3.2.5.1 Predictions</w:t>
      </w:r>
    </w:p>
    <w:p>
      <w:pPr>
        <w:pStyle w:val="FirstParagraph"/>
      </w:pPr>
      <w:r>
        <w:t xml:space="preserve">A</w:t>
      </w:r>
      <w:r>
        <w:t xml:space="preserve"> </w:t>
      </w:r>
      <w:r>
        <w:rPr>
          <w:i/>
          <w:iCs/>
        </w:rPr>
        <w:t xml:space="preserve">prediction timepoint</w:t>
      </w:r>
      <w:r>
        <w:t xml:space="preserve"> </w:t>
      </w:r>
      <w:r>
        <w:t xml:space="preserve">(</w:t>
      </w:r>
      <w:hyperlink w:anchor="fig-methods-lag">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s-lag">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 into the future.</w:t>
      </w:r>
    </w:p>
    <w:p>
      <w:pPr>
        <w:pStyle w:val="BodyText"/>
      </w:pPr>
      <w:r>
        <w:t xml:space="preserve">Given this structure, our models provided hour-by-hour predicted probabilities of an alcohol lapse in a future 24 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 hour periods staring at midnight that day, or similar 24 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101" w:name="fig-methods-lag"/>
          <w:p>
            <w:pPr>
              <w:pStyle w:val="Compact"/>
              <w:jc w:val="center"/>
            </w:pPr>
            <w:r>
              <w:drawing>
                <wp:inline>
                  <wp:extent cx="5334000" cy="4240840"/>
                  <wp:effectExtent b="0" l="0" r="0" t="0"/>
                  <wp:docPr descr="" title="" id="99" name="Picture"/>
                  <a:graphic>
                    <a:graphicData uri="http://schemas.openxmlformats.org/drawingml/2006/picture">
                      <pic:pic>
                        <pic:nvPicPr>
                          <pic:cNvPr descr="index_files/figure-docx/notebooks-figures-fig-methods-lag-output-1.png" id="100" name="Picture"/>
                          <pic:cNvPicPr>
                            <a:picLocks noChangeArrowheads="1" noChangeAspect="1"/>
                          </pic:cNvPicPr>
                        </pic:nvPicPr>
                        <pic:blipFill>
                          <a:blip r:embed="rId98"/>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Make All Figures for Dissertation</w:t>
        </w:r>
      </w:hyperlink>
    </w:p>
    <w:bookmarkEnd w:id="103"/>
    <w:bookmarkStart w:id="105" w:name="labels"/>
    <w:p>
      <w:pPr>
        <w:pStyle w:val="Heading4"/>
      </w:pPr>
      <w:r>
        <w:t xml:space="preserve">3.2.5.2 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r>
        <w:t xml:space="preserve"> </w:t>
      </w:r>
      <w:r>
        <w:rPr>
          <w:rStyle w:val="FootnoteReference"/>
        </w:rPr>
        <w:footnoteReference w:id="104"/>
      </w:r>
    </w:p>
    <w:p>
      <w:pPr>
        <w:pStyle w:val="BodyText"/>
      </w:pPr>
      <w:r>
        <w:t xml:space="preserve">We ended up with a total of 274,179 labels for our baseline (no lag) model, 270,911 labels for our 1-day lagged model, 264,362 labels for our 3-day lagged model, 251,458 labels for our 1-week lagged model, and 228,420 labels for our 2-week lagged model.</w:t>
      </w:r>
    </w:p>
    <w:bookmarkEnd w:id="105"/>
    <w:bookmarkStart w:id="106" w:name="feature-engineering-1"/>
    <w:p>
      <w:pPr>
        <w:pStyle w:val="Heading4"/>
      </w:pPr>
      <w:r>
        <w:t xml:space="preserve">3.2.5.3 Feature Engineering</w:t>
      </w:r>
    </w:p>
    <w:p>
      <w:pPr>
        <w:pStyle w:val="FirstParagraph"/>
      </w:pPr>
      <w:r>
        <w:t xml:space="preserve">Features were calculated using only data collected in feature scoring epochs before each prediction timepoint to ensure our models were making true future predictions. For our no lag models the prediction timepoint was at the start of prediction window, so all data prior to the start of the prediction window was included. For our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for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not White), marital status (married vs. not married vs. other), education (high school or less vs. some college vs. college degree), and employment (employed vs. unemployed).</w:t>
      </w:r>
    </w:p>
    <w:p>
      <w:pPr>
        <w:numPr>
          <w:ilvl w:val="0"/>
          <w:numId w:val="1005"/>
        </w:numPr>
      </w:pPr>
      <w:r>
        <w:rPr>
          <w:i/>
          <w:iCs/>
        </w:rPr>
        <w:t xml:space="preserve">Previous EMA responses</w:t>
      </w:r>
      <w:r>
        <w:t xml:space="preserve">: We created raw and change features using EMAs in varying feature scoring epochs (i.e., 12, 24, 48, 72, and 168 hours) before the prediction timepoint for all EMA items. Raw features included min, max, and median scores for each EMA item across all EMAs in each epoch for that participant. We calculated change features by subtracting each participant’s baseline mean score for each EMA item from their raw feature. These baseline mean scores were calculated using all of their EMAs collected from the start of their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106"/>
    <w:bookmarkStart w:id="115" w:name="model-training-and-evaluation-1"/>
    <w:p>
      <w:pPr>
        <w:pStyle w:val="Heading4"/>
      </w:pPr>
      <w:r>
        <w:t xml:space="preserve">3.2.5.4 Model Training and Evaluation</w:t>
      </w:r>
    </w:p>
    <w:bookmarkStart w:id="107" w:name="model-configurations"/>
    <w:p>
      <w:pPr>
        <w:pStyle w:val="Heading5"/>
      </w:pPr>
      <w:r>
        <w:t xml:space="preserve">3.2.5.4.1 Model Configurations</w:t>
      </w:r>
    </w:p>
    <w:p>
      <w:pPr>
        <w:pStyle w:val="FirstParagraph"/>
      </w:pPr>
      <w:r>
        <w:t xml:space="preserve">We trained and evaluated five separate classification models: one baseline (no lag) model and one model for 1 day, 3 day, 1 week, and 2 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5:1).</w:t>
      </w:r>
    </w:p>
    <w:bookmarkEnd w:id="107"/>
    <w:bookmarkStart w:id="108" w:name="cross-validation"/>
    <w:p>
      <w:pPr>
        <w:pStyle w:val="Heading5"/>
      </w:pPr>
      <w:r>
        <w:t xml:space="preserve">3.2.5.4.2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108"/>
    <w:bookmarkStart w:id="110" w:name="bayesian-model"/>
    <w:p>
      <w:pPr>
        <w:pStyle w:val="Heading5"/>
      </w:pPr>
      <w:r>
        <w:t xml:space="preserve">3.2.5.4.3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109"/>
      </w:r>
      <w:r>
        <w:t xml:space="preserve"> </w:t>
      </w:r>
      <w:r>
        <w:t xml:space="preserve">We set two random intercepts to account for our resampling method: one for the repeat, and another for the fold nested within repeat. We specified two sets of pre-registered contrasts for model comparisons. The first set compared each lagged model to the baseline no lag model (no lag vs. 1-day lag, no lag vs. 3-day lag, no lag vs. 1-week lag, no lag vs. 2-week lag). The second set compared adjacently lagged models (1-day lag vs. 3-day lag, 3-day lag vs. 1-week lag, 1-week lag vs. 2-week lag). auROCs were transformed using the logit function and regressed as a function of model contrast.</w:t>
      </w:r>
    </w:p>
    <w:p>
      <w:pPr>
        <w:pStyle w:val="BodyText"/>
      </w:pPr>
      <w:r>
        <w:t xml:space="preserve">From the Bayesian model we obtained the posterior distribution (transformed back from logit) and Bayeisan CIs for auROCs all five models. To evaluate our models’ overall performance we report the median posterior probability for auROC and Bayesian CIs. This represents our best estimate for the magnitude of the auROC parameter for each model. If the credible intervals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110"/>
    <w:bookmarkStart w:id="113" w:name="fairness-analyses"/>
    <w:p>
      <w:pPr>
        <w:pStyle w:val="Heading5"/>
      </w:pPr>
      <w:r>
        <w:t xml:space="preserve">3.2.5.4.4 Fairness Analyses</w:t>
      </w:r>
    </w:p>
    <w:p>
      <w:pPr>
        <w:pStyle w:val="FirstParagraph"/>
      </w:pPr>
      <w:r>
        <w:t xml:space="preserve">We calculated the median posterior probability and 95% Bayesian CI for auROC for each model separately by race/ethnicity (not White vs. non-Hispanic White), income (below poverty vs. above poverty</w:t>
      </w:r>
      <w:r>
        <w:rPr>
          <w:rStyle w:val="FootnoteReference"/>
        </w:rPr>
        <w:footnoteReference w:id="111"/>
      </w:r>
      <w:r>
        <w:t xml:space="preserve">), and sex at birth (female vs. male). We conducted Bayesian group comparisons to assess the likelihood that each model performs differently by group. We summarize the differences in posterior probabilities for auROC across models.</w:t>
      </w:r>
      <w:r>
        <w:rPr>
          <w:rStyle w:val="FootnoteReference"/>
        </w:rPr>
        <w:footnoteReference w:id="112"/>
      </w:r>
    </w:p>
    <w:bookmarkEnd w:id="113"/>
    <w:bookmarkStart w:id="114" w:name="feature-importance"/>
    <w:p>
      <w:pPr>
        <w:pStyle w:val="Heading5"/>
      </w:pPr>
      <w:r>
        <w:t xml:space="preserve">3.2.5.4.5 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&amp;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and the rate of past alcohol use.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114"/>
    <w:bookmarkEnd w:id="115"/>
    <w:bookmarkEnd w:id="116"/>
    <w:bookmarkEnd w:id="117"/>
    <w:bookmarkStart w:id="137" w:name="results-1"/>
    <w:p>
      <w:pPr>
        <w:pStyle w:val="Heading2"/>
      </w:pPr>
      <w:r>
        <w:t xml:space="preserve">3.3 Results</w:t>
      </w:r>
    </w:p>
    <w:bookmarkStart w:id="118" w:name="demographic-and-lapse-characteristics"/>
    <w:p>
      <w:pPr>
        <w:pStyle w:val="Heading3"/>
      </w:pPr>
      <w:r>
        <w:t xml:space="preserve">3.3.1 Demographic and Lapse Characteristics</w:t>
      </w:r>
    </w:p>
    <w:p>
      <w:pPr>
        <w:pStyle w:val="FirstParagraph"/>
      </w:pPr>
      <w:hyperlink w:anchor="tbl-dem">
        <w:r>
          <w:rPr>
            <w:rStyle w:val="Hyperlink"/>
          </w:rPr>
          <w:t xml:space="preserve">Table 1</w:t>
        </w:r>
      </w:hyperlink>
      <w:r>
        <w:t xml:space="preserve"> </w:t>
      </w:r>
      <w:r>
        <w:t xml:space="preserve">in Chapter 2 provides a detailed breakdown of the demographic and clinical characteristics of our sample (N = 151).</w:t>
      </w:r>
    </w:p>
    <w:bookmarkEnd w:id="118"/>
    <w:bookmarkStart w:id="124" w:name="model-evaluation"/>
    <w:p>
      <w:pPr>
        <w:pStyle w:val="Heading3"/>
      </w:pPr>
      <w:r>
        <w:t xml:space="preserve">3.3.2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22" w:name="fig-2-lag"/>
          <w:p>
            <w:pPr>
              <w:pStyle w:val="Compact"/>
              <w:jc w:val="center"/>
            </w:pPr>
            <w:r>
              <w:drawing>
                <wp:inline>
                  <wp:extent cx="5334000" cy="4572000"/>
                  <wp:effectExtent b="0" l="0" r="0" t="0"/>
                  <wp:docPr descr="" title="" id="120" name="Picture"/>
                  <a:graphic>
                    <a:graphicData uri="http://schemas.openxmlformats.org/drawingml/2006/picture">
                      <pic:pic>
                        <pic:nvPicPr>
                          <pic:cNvPr descr="index_files/figure-docx/notebooks-figures-fig-2-lag-output-1.png" id="121" name="Picture"/>
                          <pic:cNvPicPr>
                            <a:picLocks noChangeArrowheads="1" noChangeAspect="1"/>
                          </pic:cNvPicPr>
                        </pic:nvPicPr>
                        <pic:blipFill>
                          <a:blip r:embed="rId119"/>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Posterior probability distributions for area under ROC curve (auROC) for each model (no lag, 1-day, 3-day, 1-week, and 2-week lag). Horizonatal lines depict 95% Bayesian credible intervals (CI) and vertical solid lines depict median posterior probability for auROC. Vertical dashed line represents expected performance from a random classifier (.5 auROC).</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Make All Figures for Dissertation</w:t>
        </w:r>
      </w:hyperlink>
    </w:p>
    <w:bookmarkEnd w:id="124"/>
    <w:bookmarkStart w:id="127" w:name="model-comparisons"/>
    <w:p>
      <w:pPr>
        <w:pStyle w:val="Heading3"/>
      </w:pPr>
      <w:r>
        <w:t xml:space="preserve">3.3.3 Model Comparisons</w:t>
      </w:r>
    </w:p>
    <w:p>
      <w:pPr>
        <w:pStyle w:val="FirstParagraph"/>
      </w:pPr>
      <w:hyperlink w:anchor="tbl-contrast-lag">
        <w:r>
          <w:rPr>
            <w:rStyle w:val="Hyperlink"/>
          </w:rPr>
          <w:t xml:space="preserve">Table 3</w:t>
        </w:r>
      </w:hyperlink>
      <w:r>
        <w:t xml:space="preserve"> </w:t>
      </w:r>
      <w:r>
        <w:t xml:space="preserve">presents the median difference in auROC, 95% Bayesian CI, and posterior probability that that the auROC difference was greater than 0 for all baseline and adjacent lag contrasts. Median auROC differences greater than 0 indicate the more immediate model, on average, out-performed the more lagged model (e.g., no lag - 1-day lag, 1-day lag - 3-day lag). There was strong evidence (probabilities &gt; .98) that the lagged models performed worse than the baseline (no lag) model, with average drops in auROC ranging from -0.06–0.02, and the previous adjacent lagged model, with average drops in auROC ranging from -0.02–0.01.</w:t>
      </w:r>
    </w:p>
    <w:tbl>
      <w:tblPr>
        <w:tblStyle w:val="Table"/>
        <w:tblW w:type="pct" w:w="5000"/>
        <w:tblLayout w:type="fixed"/>
        <w:tblLook w:firstRow="0" w:lastRow="0" w:firstColumn="0" w:lastColumn="0" w:noHBand="0" w:noVBand="0" w:val="0000"/>
      </w:tblPr>
      <w:tblGrid>
        <w:gridCol w:w="7920"/>
      </w:tblGrid>
      <w:tr>
        <w:tc>
          <w:tcPr/>
          <w:bookmarkStart w:id="125" w:name="tbl-contrast-lag"/>
          <w:p>
            <w:pPr>
              <w:jc w:val="center"/>
            </w:pPr>
            <w:pPr>
              <w:jc w:val="start"/>
              <w:spacing w:before="200"/>
              <w:pStyle w:val="ImageCaption"/>
            </w:pPr>
            <w:r>
              <w:t xml:space="preserve">Table 3: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p>
                  <w:pPr>
                    <w:pStyle w:val="Compact"/>
                    <w:jc w:val="left"/>
                    <w:jc w:val="center"/>
                  </w:pPr>
                  <w:r>
                    <w:t xml:space="preserve">No lag vs. 1 day</w:t>
                  </w:r>
                </w:p>
              </w:tc>
              <w:tc>
                <w:tcPr/>
                <w:p>
                  <w:pPr>
                    <w:pStyle w:val="Compact"/>
                    <w:jc w:val="left"/>
                    <w:jc w:val="center"/>
                  </w:pPr>
                  <w:r>
                    <w:t xml:space="preserve">0.02</w:t>
                  </w:r>
                </w:p>
              </w:tc>
              <w:tc>
                <w:tcPr/>
                <w:p>
                  <w:pPr>
                    <w:pStyle w:val="Compact"/>
                    <w:jc w:val="left"/>
                    <w:jc w:val="center"/>
                  </w:pPr>
                  <w:r>
                    <w:t xml:space="preserve">[0.013, 0.027]</w:t>
                  </w:r>
                </w:p>
              </w:tc>
              <w:tc>
                <w:tcPr/>
                <w:p>
                  <w:pPr>
                    <w:pStyle w:val="Compact"/>
                    <w:jc w:val="left"/>
                    <w:jc w:val="center"/>
                  </w:pPr>
                  <w:r>
                    <w:t xml:space="preserve">1</w:t>
                  </w:r>
                </w:p>
              </w:tc>
            </w:tr>
            <w:tr>
              <w:tc>
                <w:tcPr/>
                <w:p>
                  <w:pPr>
                    <w:pStyle w:val="Compact"/>
                    <w:jc w:val="left"/>
                    <w:jc w:val="center"/>
                  </w:pPr>
                  <w:r>
                    <w:t xml:space="preserve">No lag vs. 3 days</w:t>
                  </w:r>
                </w:p>
              </w:tc>
              <w:tc>
                <w:tcPr/>
                <w:p>
                  <w:pPr>
                    <w:pStyle w:val="Compact"/>
                    <w:jc w:val="left"/>
                    <w:jc w:val="center"/>
                  </w:pPr>
                  <w:r>
                    <w:t xml:space="preserve">0.032</w:t>
                  </w:r>
                </w:p>
              </w:tc>
              <w:tc>
                <w:tcPr/>
                <w:p>
                  <w:pPr>
                    <w:pStyle w:val="Compact"/>
                    <w:jc w:val="left"/>
                    <w:jc w:val="center"/>
                  </w:pPr>
                  <w:r>
                    <w:t xml:space="preserve">[0.025, 0.04]</w:t>
                  </w:r>
                </w:p>
              </w:tc>
              <w:tc>
                <w:tcPr/>
                <w:p>
                  <w:pPr>
                    <w:pStyle w:val="Compact"/>
                    <w:jc w:val="left"/>
                    <w:jc w:val="center"/>
                  </w:pPr>
                  <w:r>
                    <w:t xml:space="preserve">1</w:t>
                  </w:r>
                </w:p>
              </w:tc>
            </w:tr>
            <w:tr>
              <w:tc>
                <w:tcPr/>
                <w:p>
                  <w:pPr>
                    <w:pStyle w:val="Compact"/>
                    <w:jc w:val="left"/>
                    <w:jc w:val="center"/>
                  </w:pPr>
                  <w:r>
                    <w:t xml:space="preserve">No lag vs. 1 week</w:t>
                  </w:r>
                </w:p>
              </w:tc>
              <w:tc>
                <w:tcPr/>
                <w:p>
                  <w:pPr>
                    <w:pStyle w:val="Compact"/>
                    <w:jc w:val="left"/>
                    <w:jc w:val="center"/>
                  </w:pPr>
                  <w:r>
                    <w:t xml:space="preserve">0.043</w:t>
                  </w:r>
                </w:p>
              </w:tc>
              <w:tc>
                <w:tcPr/>
                <w:p>
                  <w:pPr>
                    <w:pStyle w:val="Compact"/>
                    <w:jc w:val="left"/>
                    <w:jc w:val="center"/>
                  </w:pPr>
                  <w:r>
                    <w:t xml:space="preserve">[0.035, 0.052]</w:t>
                  </w:r>
                </w:p>
              </w:tc>
              <w:tc>
                <w:tcPr/>
                <w:p>
                  <w:pPr>
                    <w:pStyle w:val="Compact"/>
                    <w:jc w:val="left"/>
                    <w:jc w:val="center"/>
                  </w:pPr>
                  <w:r>
                    <w:t xml:space="preserve">1</w:t>
                  </w:r>
                </w:p>
              </w:tc>
            </w:tr>
            <w:tr>
              <w:tc>
                <w:tcPr/>
                <w:p>
                  <w:pPr>
                    <w:pStyle w:val="Compact"/>
                    <w:jc w:val="left"/>
                    <w:jc w:val="center"/>
                  </w:pPr>
                  <w:r>
                    <w:t xml:space="preserve">No lag vs. 2 weeks</w:t>
                  </w:r>
                </w:p>
              </w:tc>
              <w:tc>
                <w:tcPr/>
                <w:p>
                  <w:pPr>
                    <w:pStyle w:val="Compact"/>
                    <w:jc w:val="left"/>
                    <w:jc w:val="center"/>
                  </w:pPr>
                  <w:r>
                    <w:t xml:space="preserve">0.063</w:t>
                  </w:r>
                </w:p>
              </w:tc>
              <w:tc>
                <w:tcPr/>
                <w:p>
                  <w:pPr>
                    <w:pStyle w:val="Compact"/>
                    <w:jc w:val="left"/>
                    <w:jc w:val="center"/>
                  </w:pPr>
                  <w:r>
                    <w:t xml:space="preserve">[0.053, 0.073]</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p>
                  <w:pPr>
                    <w:pStyle w:val="Compact"/>
                    <w:jc w:val="left"/>
                    <w:jc w:val="center"/>
                  </w:pPr>
                  <w:r>
                    <w:t xml:space="preserve">1 day vs. 3 days</w:t>
                  </w:r>
                </w:p>
              </w:tc>
              <w:tc>
                <w:tcPr/>
                <w:p>
                  <w:pPr>
                    <w:pStyle w:val="Compact"/>
                    <w:jc w:val="left"/>
                    <w:jc w:val="center"/>
                  </w:pPr>
                  <w:r>
                    <w:t xml:space="preserve">0.012</w:t>
                  </w:r>
                </w:p>
              </w:tc>
              <w:tc>
                <w:tcPr/>
                <w:p>
                  <w:pPr>
                    <w:pStyle w:val="Compact"/>
                    <w:jc w:val="left"/>
                    <w:jc w:val="center"/>
                  </w:pPr>
                  <w:r>
                    <w:t xml:space="preserve">[0.005, 0.02]</w:t>
                  </w:r>
                </w:p>
              </w:tc>
              <w:tc>
                <w:tcPr/>
                <w:p>
                  <w:pPr>
                    <w:pStyle w:val="Compact"/>
                    <w:jc w:val="left"/>
                    <w:jc w:val="center"/>
                  </w:pPr>
                  <w:r>
                    <w:t xml:space="preserve">0.999</w:t>
                  </w:r>
                </w:p>
              </w:tc>
            </w:tr>
            <w:tr>
              <w:tc>
                <w:tcPr/>
                <w:p>
                  <w:pPr>
                    <w:pStyle w:val="Compact"/>
                    <w:jc w:val="left"/>
                    <w:jc w:val="center"/>
                  </w:pPr>
                  <w:r>
                    <w:t xml:space="preserve">3 days vs. 1 week</w:t>
                  </w:r>
                </w:p>
              </w:tc>
              <w:tc>
                <w:tcPr/>
                <w:p>
                  <w:pPr>
                    <w:pStyle w:val="Compact"/>
                    <w:jc w:val="left"/>
                    <w:jc w:val="center"/>
                  </w:pPr>
                  <w:r>
                    <w:t xml:space="preserve">0.011</w:t>
                  </w:r>
                </w:p>
              </w:tc>
              <w:tc>
                <w:tcPr/>
                <w:p>
                  <w:pPr>
                    <w:pStyle w:val="Compact"/>
                    <w:jc w:val="left"/>
                    <w:jc w:val="center"/>
                  </w:pPr>
                  <w:r>
                    <w:t xml:space="preserve">[0.003, 0.018]</w:t>
                  </w:r>
                </w:p>
              </w:tc>
              <w:tc>
                <w:tcPr/>
                <w:p>
                  <w:pPr>
                    <w:pStyle w:val="Compact"/>
                    <w:jc w:val="left"/>
                    <w:jc w:val="center"/>
                  </w:pPr>
                  <w:r>
                    <w:t xml:space="preserve">0.989</w:t>
                  </w:r>
                </w:p>
              </w:tc>
            </w:tr>
            <w:tr>
              <w:tc>
                <w:tcPr/>
                <w:p>
                  <w:pPr>
                    <w:pStyle w:val="Compact"/>
                    <w:jc w:val="left"/>
                    <w:jc w:val="center"/>
                  </w:pPr>
                  <w:r>
                    <w:t xml:space="preserve">1 week vs. 2 weeks</w:t>
                  </w:r>
                </w:p>
              </w:tc>
              <w:tc>
                <w:tcPr/>
                <w:p>
                  <w:pPr>
                    <w:pStyle w:val="Compact"/>
                    <w:jc w:val="left"/>
                    <w:jc w:val="center"/>
                  </w:pPr>
                  <w:r>
                    <w:t xml:space="preserve">0.02</w:t>
                  </w:r>
                </w:p>
              </w:tc>
              <w:tc>
                <w:tcPr/>
                <w:p>
                  <w:pPr>
                    <w:pStyle w:val="Compact"/>
                    <w:jc w:val="left"/>
                    <w:jc w:val="center"/>
                  </w:pPr>
                  <w:r>
                    <w:t xml:space="preserve">[0.011, 0.029]</w:t>
                  </w:r>
                </w:p>
              </w:tc>
              <w:tc>
                <w:tcPr/>
                <w:p>
                  <w:pPr>
                    <w:pStyle w:val="Compact"/>
                    <w:jc w:val="left"/>
                    <w:jc w:val="center"/>
                  </w:pPr>
                  <w:r>
                    <w:t xml:space="preserve">1</w:t>
                  </w:r>
                </w:p>
              </w:tc>
            </w:tr>
          </w:tbl>
          <w:bookmarkEnd w:id="125"/>
          <w:p/>
        </w:tc>
      </w:tr>
    </w:tbl>
    <w:p>
      <w:pPr>
        <w:pStyle w:val="BodyText"/>
      </w:pPr>
      <w:r>
        <w:rPr>
          <w:vertAlign w:val="subscript"/>
        </w:rPr>
        <w:t xml:space="preserve">Source:</w:t>
      </w:r>
      <w:r>
        <w:rPr>
          <w:vertAlign w:val="subscript"/>
        </w:rPr>
        <w:t xml:space="preserve"> </w:t>
      </w:r>
      <w:hyperlink r:id="rId126">
        <w:r>
          <w:rPr>
            <w:rStyle w:val="Hyperlink"/>
            <w:vertAlign w:val="subscript"/>
          </w:rPr>
          <w:t xml:space="preserve">Make All Tables for Dissertation</w:t>
        </w:r>
      </w:hyperlink>
    </w:p>
    <w:bookmarkEnd w:id="127"/>
    <w:bookmarkStart w:id="130" w:name="fairness-analyses-1"/>
    <w:p>
      <w:pPr>
        <w:pStyle w:val="Heading3"/>
      </w:pPr>
      <w:r>
        <w:t xml:space="preserve">3.3.4 Fairness Analyses</w:t>
      </w:r>
    </w:p>
    <w:p>
      <w:pPr>
        <w:pStyle w:val="FirstParagraph"/>
      </w:pPr>
      <w:hyperlink w:anchor="tbl-fairness">
        <w:r>
          <w:rPr>
            <w:rStyle w:val="Hyperlink"/>
          </w:rPr>
          <w:t xml:space="preserve">Table 4</w:t>
        </w:r>
      </w:hyperlink>
      <w:r>
        <w:t xml:space="preserve"> </w:t>
      </w:r>
      <w:r>
        <w:t xml:space="preserve">presents the median difference in auROC, 95% Bayesian CI, and posterior probability that the auROC difference was greater than 0 for the three fairness contrasts: race/ethnicity (Non-Hispanic White;</w:t>
      </w:r>
      <w:r>
        <w:t xml:space="preserve"> </w:t>
      </w:r>
      <w:r>
        <w:rPr>
          <w:i/>
          <w:iCs/>
        </w:rPr>
        <w:t xml:space="preserve">N</w:t>
      </w:r>
      <w:r>
        <w:t xml:space="preserve"> </w:t>
      </w:r>
      <w:r>
        <w:t xml:space="preserve">= 131 vs. not White;</w:t>
      </w:r>
      <w:r>
        <w:t xml:space="preserve"> </w:t>
      </w:r>
      <w:r>
        <w:rPr>
          <w:i/>
          <w:iCs/>
        </w:rPr>
        <w:t xml:space="preserve">N</w:t>
      </w:r>
      <w:r>
        <w:t xml:space="preserve"> </w:t>
      </w:r>
      <w:r>
        <w:t xml:space="preserve">= 20), sex at birth (male;</w:t>
      </w:r>
      <w:r>
        <w:t xml:space="preserve"> </w:t>
      </w:r>
      <w:r>
        <w:rPr>
          <w:i/>
          <w:iCs/>
        </w:rPr>
        <w:t xml:space="preserve">N</w:t>
      </w:r>
      <w:r>
        <w:t xml:space="preserve"> </w:t>
      </w:r>
      <w:r>
        <w:t xml:space="preserve">= 77 vs. female;</w:t>
      </w:r>
      <w:r>
        <w:t xml:space="preserve"> </w:t>
      </w:r>
      <w:r>
        <w:rPr>
          <w:i/>
          <w:iCs/>
        </w:rPr>
        <w:t xml:space="preserve">N</w:t>
      </w:r>
      <w:r>
        <w:t xml:space="preserve"> </w:t>
      </w:r>
      <w:r>
        <w:t xml:space="preserve">= 74), and income (above poverty;</w:t>
      </w:r>
      <w:r>
        <w:t xml:space="preserve"> </w:t>
      </w:r>
      <w:r>
        <w:rPr>
          <w:i/>
          <w:iCs/>
        </w:rPr>
        <w:t xml:space="preserve">N</w:t>
      </w:r>
      <w:r>
        <w:t xml:space="preserve"> </w:t>
      </w:r>
      <w:r>
        <w:t xml:space="preserve">= 102 vs. below poverty;</w:t>
      </w:r>
      <w:r>
        <w:t xml:space="preserve"> </w:t>
      </w:r>
      <w:r>
        <w:rPr>
          <w:i/>
          <w:iCs/>
        </w:rPr>
        <w:t xml:space="preserve">N</w:t>
      </w:r>
      <w:r>
        <w:t xml:space="preserve"> </w:t>
      </w:r>
      <w:r>
        <w:t xml:space="preserve">= 49). Median auROC differences greater than 0 indicate the model, on average, performed better for the advantaged group (male, non-Hispanic White, and above poverty) compared to the non-advantaged group (female, not White, below poverty). In</w:t>
      </w:r>
      <w:r>
        <w:t xml:space="preserve"> </w:t>
      </w:r>
      <w:hyperlink w:anchor="tbl-fairness">
        <w:r>
          <w:rPr>
            <w:rStyle w:val="Hyperlink"/>
          </w:rPr>
          <w:t xml:space="preserve">Table 4</w:t>
        </w:r>
      </w:hyperlink>
      <w:r>
        <w:t xml:space="preserve"> </w:t>
      </w:r>
      <w:r>
        <w:t xml:space="preserve">we present fairness analyses for our baseline model (no lag) and for our longest lagged model (2-week lag), as this is likely the most clinically useful lagged model for providing advanced warning of lapse risk. There was strong evidence (probabilities &gt; .96) that our models performed better for the advantaged groups compared to the non-advantaged groups. On average, across all five models, there was a median decrease in auROC of 0.13 (range -0.13–0.17) for participants who were not White compared to non-Hispanic White participants.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tbl>
      <w:tblPr>
        <w:tblStyle w:val="Table"/>
        <w:tblW w:type="pct" w:w="5000"/>
        <w:tblLayout w:type="fixed"/>
        <w:tblLook w:firstRow="0" w:lastRow="0" w:firstColumn="0" w:lastColumn="0" w:noHBand="0" w:noVBand="0" w:val="0000"/>
      </w:tblPr>
      <w:tblGrid>
        <w:gridCol w:w="7920"/>
      </w:tblGrid>
      <w:tr>
        <w:tc>
          <w:tcPr/>
          <w:bookmarkStart w:id="128" w:name="tbl-fairness"/>
          <w:p>
            <w:pPr>
              <w:jc w:val="center"/>
            </w:pPr>
            <w:pPr>
              <w:jc w:val="start"/>
              <w:spacing w:before="200"/>
              <w:pStyle w:val="ImageCaption"/>
            </w:pPr>
            <w:r>
              <w:t xml:space="preserve">Table 4: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0.042</w:t>
                  </w:r>
                </w:p>
              </w:tc>
              <w:tc>
                <w:tcPr/>
                <w:p>
                  <w:pPr>
                    <w:pStyle w:val="Compact"/>
                    <w:jc w:val="left"/>
                    <w:jc w:val="center"/>
                  </w:pPr>
                  <w:r>
                    <w:t xml:space="preserve">[0.026, 0.058]</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0.211</w:t>
                  </w:r>
                </w:p>
              </w:tc>
              <w:tc>
                <w:tcPr/>
                <w:p>
                  <w:pPr>
                    <w:pStyle w:val="Compact"/>
                    <w:jc w:val="left"/>
                    <w:jc w:val="center"/>
                  </w:pPr>
                  <w:r>
                    <w:t xml:space="preserve">[0.052, 0.421]</w:t>
                  </w:r>
                </w:p>
              </w:tc>
              <w:tc>
                <w:tcPr/>
                <w:p>
                  <w:pPr>
                    <w:pStyle w:val="Compact"/>
                    <w:jc w:val="left"/>
                    <w:jc w:val="center"/>
                  </w:pPr>
                  <w:r>
                    <w:t xml:space="preserve">0.99</w:t>
                  </w:r>
                </w:p>
              </w:tc>
            </w:tr>
            <w:tr>
              <w:tc>
                <w:tcPr/>
                <w:p>
                  <w:pPr>
                    <w:pStyle w:val="Compact"/>
                    <w:jc w:val="left"/>
                    <w:jc w:val="center"/>
                  </w:pPr>
                  <w:r>
                    <w:t xml:space="preserve">above poverty vs. below poverty</w:t>
                  </w:r>
                </w:p>
              </w:tc>
              <w:tc>
                <w:tcPr/>
                <w:p>
                  <w:pPr>
                    <w:pStyle w:val="Compact"/>
                    <w:jc w:val="left"/>
                    <w:jc w:val="center"/>
                  </w:pPr>
                  <w:r>
                    <w:t xml:space="preserve">0.026</w:t>
                  </w:r>
                </w:p>
              </w:tc>
              <w:tc>
                <w:tcPr/>
                <w:p>
                  <w:pPr>
                    <w:pStyle w:val="Compact"/>
                    <w:jc w:val="left"/>
                    <w:jc w:val="center"/>
                  </w:pPr>
                  <w:r>
                    <w:t xml:space="preserve">[0.002, 0.051]</w:t>
                  </w:r>
                </w:p>
              </w:tc>
              <w:tc>
                <w:tcPr/>
                <w:p>
                  <w:pPr>
                    <w:pStyle w:val="Compact"/>
                    <w:jc w:val="left"/>
                    <w:jc w:val="center"/>
                  </w:pPr>
                  <w:r>
                    <w:t xml:space="preserve">0.964</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0.098</w:t>
                  </w:r>
                </w:p>
              </w:tc>
              <w:tc>
                <w:tcPr/>
                <w:p>
                  <w:pPr>
                    <w:pStyle w:val="Compact"/>
                    <w:jc w:val="left"/>
                    <w:jc w:val="center"/>
                  </w:pPr>
                  <w:r>
                    <w:t xml:space="preserve">[0.077, 0.12]</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0.109</w:t>
                  </w:r>
                </w:p>
              </w:tc>
              <w:tc>
                <w:tcPr/>
                <w:p>
                  <w:pPr>
                    <w:pStyle w:val="Compact"/>
                    <w:jc w:val="left"/>
                    <w:jc w:val="center"/>
                  </w:pPr>
                  <w:r>
                    <w:t xml:space="preserve">[0.062, 0.159]</w:t>
                  </w:r>
                </w:p>
              </w:tc>
              <w:tc>
                <w:tcPr/>
                <w:p>
                  <w:pPr>
                    <w:pStyle w:val="Compact"/>
                    <w:jc w:val="left"/>
                    <w:jc w:val="center"/>
                  </w:pPr>
                  <w:r>
                    <w:t xml:space="preserve">1</w:t>
                  </w:r>
                </w:p>
              </w:tc>
            </w:tr>
            <w:tr>
              <w:tc>
                <w:tcPr/>
                <w:p>
                  <w:pPr>
                    <w:pStyle w:val="Compact"/>
                    <w:jc w:val="left"/>
                    <w:jc w:val="center"/>
                  </w:pPr>
                  <w:r>
                    <w:t xml:space="preserve">above poverty vs. below poverty</w:t>
                  </w:r>
                </w:p>
              </w:tc>
              <w:tc>
                <w:tcPr/>
                <w:p>
                  <w:pPr>
                    <w:pStyle w:val="Compact"/>
                    <w:jc w:val="left"/>
                    <w:jc w:val="center"/>
                  </w:pPr>
                  <w:r>
                    <w:t xml:space="preserve">0.058</w:t>
                  </w:r>
                </w:p>
              </w:tc>
              <w:tc>
                <w:tcPr/>
                <w:p>
                  <w:pPr>
                    <w:pStyle w:val="Compact"/>
                    <w:jc w:val="left"/>
                    <w:jc w:val="center"/>
                  </w:pPr>
                  <w:r>
                    <w:t xml:space="preserve">[0.025, 0.09]</w:t>
                  </w:r>
                </w:p>
              </w:tc>
              <w:tc>
                <w:tcPr/>
                <w:p>
                  <w:pPr>
                    <w:pStyle w:val="Compact"/>
                    <w:jc w:val="left"/>
                    <w:jc w:val="center"/>
                  </w:pPr>
                  <w:r>
                    <w:t xml:space="preserve">0.997</w:t>
                  </w:r>
                </w:p>
              </w:tc>
            </w:tr>
          </w:tbl>
          <w:bookmarkEnd w:id="128"/>
          <w:p/>
        </w:tc>
      </w:tr>
    </w:tbl>
    <w:p>
      <w:pPr>
        <w:pStyle w:val="BodyText"/>
      </w:pPr>
      <w:r>
        <w:rPr>
          <w:vertAlign w:val="subscript"/>
        </w:rPr>
        <w:t xml:space="preserve">Source:</w:t>
      </w:r>
      <w:r>
        <w:rPr>
          <w:vertAlign w:val="subscript"/>
        </w:rPr>
        <w:t xml:space="preserve"> </w:t>
      </w:r>
      <w:hyperlink r:id="rId129">
        <w:r>
          <w:rPr>
            <w:rStyle w:val="Hyperlink"/>
            <w:vertAlign w:val="subscript"/>
          </w:rPr>
          <w:t xml:space="preserve">Make All Tables for Dissertation</w:t>
        </w:r>
      </w:hyperlink>
    </w:p>
    <w:bookmarkEnd w:id="130"/>
    <w:bookmarkStart w:id="136" w:name="feature-importance-1"/>
    <w:p>
      <w:pPr>
        <w:pStyle w:val="Heading3"/>
      </w:pPr>
      <w:r>
        <w:t xml:space="preserve">3.3.5 Feature Importance</w:t>
      </w:r>
    </w:p>
    <w:p>
      <w:pPr>
        <w:pStyle w:val="FirstParagraph"/>
      </w:pPr>
      <w:r>
        <w:t xml:space="preserve">Global feature importance is an indicator of how important a feature category was to the model’s predictions, on average (i.e., across all participants and all observations). The top three globally important feature categories (i.e., highest mean |Shapley value|) for all models were past use, future efficacy, and craving. This was also consistent across demographic groups. Panel A of</w:t>
      </w:r>
      <w:r>
        <w:t xml:space="preserve"> </w:t>
      </w:r>
      <w:hyperlink w:anchor="fig-3-lag">
        <w:r>
          <w:rPr>
            <w:rStyle w:val="Hyperlink"/>
          </w:rPr>
          <w:t xml:space="preserve">Figure 6</w:t>
        </w:r>
      </w:hyperlink>
      <w:r>
        <w:t xml:space="preserve"> </w:t>
      </w:r>
      <w:r>
        <w:t xml:space="preserve">shows the relative ranking of feature categories for the no lag and 2-week lag models.</w:t>
      </w:r>
    </w:p>
    <w:p>
      <w:pPr>
        <w:pStyle w:val="BodyText"/>
      </w:pPr>
      <w:r>
        <w:t xml:space="preserve">Local feature importance is an indicator of how important a feature category is at a specific prediction timepoint (i.e., for a single individual on a specific day). Local importance can be used to map feature categories onto clinical interventions and recommendations (e.g., What does this individual need right now?). Panel B of</w:t>
      </w:r>
      <w:r>
        <w:t xml:space="preserve"> </w:t>
      </w:r>
      <w:hyperlink w:anchor="fig-3-lag">
        <w:r>
          <w:rPr>
            <w:rStyle w:val="Hyperlink"/>
          </w:rPr>
          <w:t xml:space="preserve">Figure 6</w:t>
        </w:r>
      </w:hyperlink>
      <w:r>
        <w:t xml:space="preserve"> </w:t>
      </w:r>
      <w:r>
        <w:t xml:space="preserve">shows the range of local feature importance (minimum Shapley value and maximum Shapley value) for each EMA feature category for the no lag and 2-week lag models. This plot suggests that even feature categories with low global importance (e.g., past pleasant event) have a wide range of local importance values, suggesting that for some people at some moments in time these features are clinically important.</w:t>
      </w:r>
    </w:p>
    <w:tbl>
      <w:tblPr>
        <w:tblStyle w:val="Table"/>
        <w:tblW w:type="pct" w:w="5000"/>
        <w:tblLayout w:type="fixed"/>
        <w:tblLook w:firstRow="0" w:lastRow="0" w:firstColumn="0" w:lastColumn="0" w:noHBand="0" w:noVBand="0" w:val="0000"/>
      </w:tblPr>
      <w:tblGrid>
        <w:gridCol w:w="7920"/>
      </w:tblGrid>
      <w:tr>
        <w:tc>
          <w:tcPr/>
          <w:bookmarkStart w:id="134" w:name="fig-3-lag"/>
          <w:p>
            <w:pPr>
              <w:pStyle w:val="Compact"/>
              <w:jc w:val="center"/>
            </w:pPr>
            <w:r>
              <w:drawing>
                <wp:inline>
                  <wp:extent cx="5334000" cy="3333750"/>
                  <wp:effectExtent b="0" l="0" r="0" t="0"/>
                  <wp:docPr descr="" title="" id="132" name="Picture"/>
                  <a:graphic>
                    <a:graphicData uri="http://schemas.openxmlformats.org/drawingml/2006/picture">
                      <pic:pic>
                        <pic:nvPicPr>
                          <pic:cNvPr descr="index_files/figure-docx/notebooks-figures-fig-3-lag-output-1.png" id="133" name="Picture"/>
                          <pic:cNvPicPr>
                            <a:picLocks noChangeArrowheads="1" noChangeAspect="1"/>
                          </pic:cNvPicPr>
                        </pic:nvPicPr>
                        <pic:blipFill>
                          <a:blip r:embed="rId13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Panel A displays the global importance (mean |Shapley value|) for feature categories for the no lag and 2-week lag models. Feature categories are ordered by their aggregate global importance. The importance of each feature category for each model is displayed separately by color. Panels B displays the variation in local feature importance for the no lag and 2-week lag models. Lines start at minimum Shapley value and end at maximum Shapley value.</w:t>
            </w:r>
          </w:p>
          <w:bookmarkEnd w:id="134"/>
        </w:tc>
      </w:tr>
    </w:tbl>
    <w:p>
      <w:pPr>
        <w:pStyle w:val="BodyText"/>
      </w:pPr>
      <w:r>
        <w:rPr>
          <w:vertAlign w:val="subscript"/>
        </w:rPr>
        <w:t xml:space="preserve">Source:</w:t>
      </w:r>
      <w:r>
        <w:rPr>
          <w:vertAlign w:val="subscript"/>
        </w:rPr>
        <w:t xml:space="preserve"> </w:t>
      </w:r>
      <w:hyperlink r:id="rId135">
        <w:r>
          <w:rPr>
            <w:rStyle w:val="Hyperlink"/>
            <w:vertAlign w:val="subscript"/>
          </w:rPr>
          <w:t xml:space="preserve">Make All Figures for Dissertation</w:t>
        </w:r>
      </w:hyperlink>
    </w:p>
    <w:bookmarkEnd w:id="136"/>
    <w:bookmarkEnd w:id="137"/>
    <w:bookmarkStart w:id="142" w:name="discussion-1"/>
    <w:p>
      <w:pPr>
        <w:pStyle w:val="Heading2"/>
      </w:pPr>
      <w:r>
        <w:t xml:space="preserve">3.4 Discussion</w:t>
      </w:r>
    </w:p>
    <w:bookmarkStart w:id="138" w:name="model-performance-2"/>
    <w:p>
      <w:pPr>
        <w:pStyle w:val="Heading3"/>
      </w:pPr>
      <w:r>
        <w:t xml:space="preserve">3.4.1 Model Performance</w:t>
      </w:r>
    </w:p>
    <w:p>
      <w:pPr>
        <w:pStyle w:val="FirstParagraph"/>
      </w:pPr>
      <w:r>
        <w:t xml:space="preserve">Our models performed exceptionally well. Our no lag models had a .90 median posterior probability for auROC. This model predicts the probability of an immediate (i.e., within 24 hours) lapse back to alcohol use. Our 2-week lagged model, our most lagged model, had a .84 median posterior probability for auROC, suggesting lagged models can be used to shift a 24-hour prediction window up to weeks out.</w:t>
      </w:r>
    </w:p>
    <w:p>
      <w:pPr>
        <w:pStyle w:val="BodyText"/>
      </w:pPr>
      <w:r>
        <w:t xml:space="preserve">Across all models (no lag, 1 day, 3 days, 1 week, and 2 weeks) we saw model performance decrease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change day-by-day, if not more frequently. As lag time increases, features become less proximal to the start of the prediction window. Still, we wish to emphasize that our lowest auROC (.84) is still quite good, and the benefit of advanced notice (i.e., 2 weeks) likely outweighs the cost to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When looking at global feature importance, or how important a feature category was to the model’s predictions, on average across all participants and all observations, the relative ordering of important features remained somewhat consistent across both our no lag and 2-week lag models. Past use, future efficacy, and craving were the top three features for both models. However the magnitude of their importance varied by lag time. For the 2-week lagged models, these top features were overall less important for the model’s predictions compared to the no lag model. This is consistent with the 2-week lagged model’s lower performance, compared to the no lag model.</w:t>
      </w:r>
    </w:p>
    <w:p>
      <w:pPr>
        <w:pStyle w:val="BodyText"/>
      </w:pPr>
      <w:r>
        <w:t xml:space="preserve">When looking at local feature importance, or how important a feature category is for an individual prediction timepoint for a single individual on a specific day, we saw a wide variation in possible values for both the no lag and 2-week lag models. A wide range of possible values suggests that even feature categories with low global importance (e.g., past pleasant event) are important risk-relevant factors for some people on some days.</w:t>
      </w:r>
    </w:p>
    <w:p>
      <w:pPr>
        <w:pStyle w:val="BodyText"/>
      </w:pPr>
      <w:r>
        <w:t xml:space="preserve">We believe our lapse prediction models will be most effective when embedded in a recovery monitoring and support system designed to deliver adaptive and personalized continuing care. This system could send daily, weekly, or less frequent messages to patients with personalized feedback about their risk of lapse and provide support recommendations tailored to their current recovery needs. This study provides initial support that immediate and lagged prediction models can be built with high accuracy using EMA for recovery monitoring. Furthermore, the high variance in importance of features for individual predictions is well suited for making tailored recovery support recommendations.</w:t>
      </w:r>
    </w:p>
    <w:p>
      <w:pPr>
        <w:pStyle w:val="BodyText"/>
      </w:pPr>
      <w:r>
        <w:t xml:space="preserve">Our no lag models can be used to guide individuals to take immediate actionable steps to maintain their recovery goals and support them in implementing these steps (e.g., pointing them to a specific module in an app). For example, recommending an urge surfing activity when someone’s immediate risk is driven by strong craving, recommending a guided relaxation video when someone is reporting recent stressful events, or encouraging individuals to reflect on recent past successes or reasons for choosing abstinence or moderation when self-efficacy is low.</w:t>
      </w:r>
    </w:p>
    <w:p>
      <w:pPr>
        <w:pStyle w:val="BodyText"/>
      </w:pPr>
      <w:r>
        <w:t xml:space="preserve">The 2-week lagged model provides individuals with advanced warning of their lapse risk.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w:t>
      </w:r>
    </w:p>
    <w:bookmarkEnd w:id="138"/>
    <w:bookmarkStart w:id="139" w:name="model-fairness"/>
    <w:p>
      <w:pPr>
        <w:pStyle w:val="Heading3"/>
      </w:pPr>
      <w:r>
        <w:t xml:space="preserve">3.4.2 Model Fairness</w:t>
      </w:r>
    </w:p>
    <w:p>
      <w:pPr>
        <w:pStyle w:val="FirstParagraph"/>
      </w:pPr>
      <w:r>
        <w:t xml:space="preserve">In Chapter 2, we failed to assess model fairness. In recent years, the machine learning field has begun to understand the critical importance of evaluating model fairness when algorithms are used to inform important decisions (e.g., healthcare services offered, eligibility for loans, early parole). Algorithms that perform favorably for only a single majority group could widen existing disparities in access to resources and important clinical outcomes</w:t>
      </w:r>
      <w:r>
        <w:t xml:space="preserve"> </w:t>
      </w:r>
      <w:r>
        <w:t xml:space="preserve">(Veinot et al., 2018)</w:t>
      </w:r>
      <w:r>
        <w:t xml:space="preserve">. Therefore, we are committed to continuing to improve our understanding of and methods for evaluating model fairness. In this study, we assessed model fairness by comparing model performance across important subgroups with known disparities in substance use treatment access and/or outcomes - race/ethnicity (not White vs. non-Hispanic White), income (below poverty vs. above poverty), and sex at birth (female vs. male).</w:t>
      </w:r>
    </w:p>
    <w:p>
      <w:pPr>
        <w:pStyle w:val="BodyText"/>
      </w:pPr>
      <w:r>
        <w:t xml:space="preserve">All models performed worse for people who were not White, and for people who had an income below the poverty line. The largest contributing factor is likely the lack of diversity in our training data. Our sample was majority non-Hispanic White (</w:t>
      </w:r>
      <w:r>
        <w:rPr>
          <w:i/>
          <w:iCs/>
        </w:rPr>
        <w:t xml:space="preserve">N</w:t>
      </w:r>
      <w:r>
        <w:t xml:space="preserve">=131, 87%) with an average income of $34,000. As a result, even with our coarse combination of race/ethnicity, the not White group was severely underrepresented relative to the non-Hispanic White group. Similarly, our below poverty group was underrepresented relative to the above poverty group.</w:t>
      </w:r>
    </w:p>
    <w:p>
      <w:pPr>
        <w:pStyle w:val="BodyText"/>
      </w:pPr>
      <w:r>
        <w:t xml:space="preserve">One obvious potential solution to this problem is to recruit a more representative sample. These data were collected from 2015-2017. Our group has since committed to making changes in recruitment strategies. We are currently working to collect data from a more diverse sample of individuals with alcohol use disorder to improve these models</w:t>
      </w:r>
      <w:r>
        <w:t xml:space="preserve"> </w:t>
      </w:r>
      <w:r>
        <w:t xml:space="preserve">(Wyant et al., 2025)</w:t>
      </w:r>
      <w:r>
        <w:t xml:space="preserve">. In a separate project, we recruited a national sample of participants with opioid use disorder</w:t>
      </w:r>
      <w:r>
        <w:t xml:space="preserve"> </w:t>
      </w:r>
      <w:r>
        <w:t xml:space="preserve">(Moshontz et al., 2021)</w:t>
      </w:r>
      <w:r>
        <w:t xml:space="preserve">. In addition to achieving better representation in income and race/ethnicity, we also ensured diversity across geographic location (e.g., rural vs. urban) as this is likely another important factor in evaluating fairness.</w:t>
      </w:r>
    </w:p>
    <w:p>
      <w:pPr>
        <w:pStyle w:val="BodyText"/>
      </w:pPr>
      <w:r>
        <w:t xml:space="preserve">Computational solutions to mitigate these issues in the current data may also exist. We could explore upsampling non-advantaged group representation in the data (e.g., using synthetic minority oversampling technique). We also could adjust the penalty weights so that prediction errors for non-advantaged groups are weighted more heavily than prediction errors for majority groups. We could also consider using personalized modeling approaches that consider the characteristics and behaviors important to an individual rather than generalizing across a population. For example, state space models can capitalize on time series data by building individual models for each participant using their own data. Individual models may help mitigate issues of unfairness, as the model will weigh the individual’s own data more heavily than group level estimates. In other words, how does lapse risk evolve over time for a specific individual.</w:t>
      </w:r>
    </w:p>
    <w:p>
      <w:pPr>
        <w:pStyle w:val="BodyText"/>
      </w:pPr>
      <w:r>
        <w:t xml:space="preserve">The models also performed more poorly for women compared to men, despite the fact that they were well represented. This finding suggests representation in our data is not the only factor affecting model fairness. We chose our EMA items based on domain expertise and decades of relapse risk research. However, prior to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most substance abuse treatment research due to their childbearing potential</w:t>
      </w:r>
      <w:r>
        <w:t xml:space="preserve"> </w:t>
      </w:r>
      <w:r>
        <w:t xml:space="preserve">(Vannicelli &amp; Nash, 1984)</w:t>
      </w:r>
      <w:r>
        <w:t xml:space="preserve">. As a result, it is possible that these constructs more precisely describe relapse risk factors for men than for women. This could mean that more research is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more broadly.</w:t>
      </w:r>
    </w:p>
    <w:p>
      <w:pPr>
        <w:pStyle w:val="BodyText"/>
      </w:pPr>
      <w:r>
        <w:t xml:space="preserve">An alternative approach could be to use a data-driven (bottom-up) approach to identify patterns and characteristics predictive of lapse in specific groups. Compared to traditional, theory-driven (top-down) methods, data-driven features reduce potential bias in features by minimizing researcher involvement. For example, applying natural language processing to text message content could allow new categories of features to emerge. These categories may or may not align with existing theoretical concepts of lapse and relapse, but because they are generated from participants’ own words, they may serve as reliable indicators of lapse risk for certain individuals.</w:t>
      </w:r>
    </w:p>
    <w:p>
      <w:pPr>
        <w:pStyle w:val="BodyText"/>
      </w:pPr>
      <w:r>
        <w:t xml:space="preserve">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result in individuals under-reporting lapses and/or risk factors, contributing to the gap in model performance. We saw a comparable, or slightly higher, percentage of lapse reports for disadvantaged compared to advantaged groups: race/ethnicity (6%, not White vs. 8%, non-Hispanic White), income (12%, below poverty vs. 7%, above poverty), sex at birth (9%, female vs. 7%, male). However, comparable lapse labels (i.e., reported lapses) does not necessarily equate comparable reporting (i.e., proportion of true lapses reported).</w:t>
      </w:r>
    </w:p>
    <w:bookmarkEnd w:id="139"/>
    <w:bookmarkStart w:id="140" w:name="X5ad29cf6135702ebd29ccbd3207356419a7e287"/>
    <w:p>
      <w:pPr>
        <w:pStyle w:val="Heading3"/>
      </w:pPr>
      <w:r>
        <w:t xml:space="preserve">3.4.3 Additional Limitations and Future Directions</w:t>
      </w:r>
    </w:p>
    <w:p>
      <w:pPr>
        <w:pStyle w:val="FirstParagraph"/>
      </w:pPr>
      <w:r>
        <w:t xml:space="preserve">Despite building successful prediction models, it is still unclear the best way to provide risk and support information to people. For a recovery monitoring and support system to be successful, it is important that participants trust the system, engage with the system and find the system beneficial. In an ongoing grant, our group is working to optimize the delivery of daily support messages by examining whether the inclusion or exclusion of risk-relevant message components (e.g., lapse probability, lapse probability change, important features, and a risk-relevant recommendation) increase engagement in recovery tools and supports, trust in the machine learning model, and improve clinical outcomes</w:t>
      </w:r>
      <w:r>
        <w:t xml:space="preserve"> </w:t>
      </w:r>
      <w:r>
        <w:t xml:space="preserve">(Wyant et al., 2025)</w:t>
      </w:r>
      <w:r>
        <w:t xml:space="preserve">.</w:t>
      </w:r>
    </w:p>
    <w:p>
      <w:pPr>
        <w:pStyle w:val="BodyText"/>
      </w:pPr>
      <w:r>
        <w:t xml:space="preserve">For a system using lagged models, we can imagine that even longer lags (i.e., more advanced warning) would be better still. In the present study, we were limited by how much time we could lag predictions. Participants only provided EMA for up to three months. Therefore, a lag time of two weeks between the prediction time point and start of the prediction window means data from 2 out of the 12 possible weeks is not being used. This loss of data could be one reason we saw a decrease in model performance with increased lag times.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w:t>
      </w:r>
    </w:p>
    <w:p>
      <w:pPr>
        <w:pStyle w:val="BodyText"/>
      </w:pPr>
      <w:r>
        <w:t xml:space="preserve">A recovery monitoring and support system will require new data to update model predictions. A model only using EMA could raise measurement burden concerns. Research suggests people can comply with effortful sensing methods (e.g., 4x daily EMA) while using substances</w:t>
      </w:r>
      <w:r>
        <w:t xml:space="preserve"> </w:t>
      </w:r>
      <w:r>
        <w:t xml:space="preserve">(Jones et al., 2019; Wyant et al., 2023)</w:t>
      </w:r>
      <w:r>
        <w:t xml:space="preserve">. However, it is likely that frequent daily surveys will eventually become too burdensome when considering long-term monitoring. We have begun to address this by building models with fewer EMAs (1x daily) and have found comparable performance</w:t>
      </w:r>
      <w:r>
        <w:t xml:space="preserve"> </w:t>
      </w:r>
      <w:r>
        <w:t xml:space="preserve">(</w:t>
      </w:r>
      <w:r>
        <w:rPr>
          <w:b/>
          <w:bCs/>
        </w:rPr>
        <w:t xml:space="preserve">pulickIdiographicLapsePrediction2025?</w:t>
      </w:r>
      <w:r>
        <w:t xml:space="preserve">)</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Additionally, we have begun to explore how we can supplement our models with data from other lower burden sensing methods. Geolocation is a passive sensing method that could compliment EMA well. First, it could provide insight into information not easily captured by self-report. For example, the amount of time spent in risky locations, or changes in routine that could indicate life stressors. Second, the near-continuous sampling of geolocation could offer risk-relevant information that would otherwise be missed in between the discrete sampling periods of EMA. Ultimately, passive sensing offers the opportunity to capture additional risk features that would be difficult to measure with self-report or would add additional burden by increasing the number of questions on the EMA.</w:t>
      </w:r>
    </w:p>
    <w:bookmarkEnd w:id="140"/>
    <w:bookmarkStart w:id="141" w:name="conclusion"/>
    <w:p>
      <w:pPr>
        <w:pStyle w:val="Heading3"/>
      </w:pPr>
      <w:r>
        <w:t xml:space="preserve">3.4.4 Conclusion</w:t>
      </w:r>
    </w:p>
    <w:p>
      <w:pPr>
        <w:pStyle w:val="FirstParagraph"/>
      </w:pPr>
      <w:r>
        <w:t xml:space="preserve">This study suggests it is possible to predict next day alcohol lapses up to two weeks into the future. This advanced notice could allow patients to implement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141"/>
    <w:bookmarkEnd w:id="142"/>
    <w:bookmarkEnd w:id="143"/>
    <w:bookmarkStart w:id="144" w:name="Xb01b715a71d3cc3f262d360703a81420bd8b11f"/>
    <w:p>
      <w:pPr>
        <w:pStyle w:val="Heading1"/>
      </w:pPr>
      <w:r>
        <w:t xml:space="preserve">4. Using sensing data to predict opioid lapse risk in a national sample of patients with opioid use disorder</w:t>
      </w:r>
    </w:p>
    <w:bookmarkEnd w:id="144"/>
    <w:bookmarkStart w:id="340" w:name="discussion-2"/>
    <w:p>
      <w:pPr>
        <w:pStyle w:val="Heading1"/>
      </w:pPr>
      <w:r>
        <w:t xml:space="preserve">5. Discussion</w:t>
      </w:r>
    </w:p>
    <w:bookmarkStart w:id="145" w:name="summary"/>
    <w:p>
      <w:pPr>
        <w:pStyle w:val="Heading2"/>
      </w:pPr>
      <w:r>
        <w:t xml:space="preserve">5.1 Summary</w:t>
      </w:r>
    </w:p>
    <w:p>
      <w:pPr>
        <w:pStyle w:val="FirstParagraph"/>
      </w:pPr>
      <w:r>
        <w:t xml:space="preserve">This series of studies sought to develop fair and temporally precise machine learning models for predicting lapses back to substance use that could be used in a recovery monitoring support system.</w:t>
      </w:r>
    </w:p>
    <w:p>
      <w:pPr>
        <w:pStyle w:val="BodyText"/>
      </w:pPr>
      <w:r>
        <w:t xml:space="preserve">Our models perferformed well across varying prediction window widths (one week, one day, and one hour), varying lag times between the prediction timepoint and the start of the prediction window (no lag, 1 day, 3 days, 1 week, and 2 weeks), and different substances (alcohol and opioid).</w:t>
      </w:r>
    </w:p>
    <w:p>
      <w:pPr>
        <w:pStyle w:val="BodyText"/>
      </w:pPr>
      <w:r>
        <w:t xml:space="preserve">EMA remains to be a feasible and predictive signal even when measured over a year. We found geolocation data (via our sensing method) did not add unique predictive value. However, geolocation features did emerge as important features in the model, thus expanding the range of risk factors that can be intervened on.</w:t>
      </w:r>
    </w:p>
    <w:p>
      <w:pPr>
        <w:pStyle w:val="BodyText"/>
      </w:pPr>
      <w:r>
        <w:t xml:space="preserve">Models performed fairly when demographic groups were sufficiently represented in the training data.</w:t>
      </w:r>
    </w:p>
    <w:p>
      <w:pPr>
        <w:pStyle w:val="BodyText"/>
      </w:pPr>
      <w:r>
        <w:t xml:space="preserve">Past use, craving, and abstinence self-efficacy were among the top important features for both alcohol and opioid lapse prediction models.</w:t>
      </w:r>
    </w:p>
    <w:p>
      <w:pPr>
        <w:pStyle w:val="BodyText"/>
      </w:pPr>
      <w:r>
        <w:t xml:space="preserve">Day of prediction window was an important feature for predicting lapses in AUD, but not in OUD. This may be due to differences in the temporal patterns of use for these substances. For example, alcohol use may be more likely to occur on weekends, while opioid use may not have such a strong temporal pattern.</w:t>
      </w:r>
    </w:p>
    <w:p>
      <w:pPr>
        <w:pStyle w:val="BodyText"/>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bookmarkEnd w:id="145"/>
    <w:bookmarkStart w:id="146" w:name="limitations"/>
    <w:p>
      <w:pPr>
        <w:pStyle w:val="Heading2"/>
      </w:pPr>
      <w:r>
        <w:t xml:space="preserve">5.2 Limitations</w:t>
      </w:r>
    </w:p>
    <w:p>
      <w:pPr>
        <w:numPr>
          <w:ilvl w:val="0"/>
          <w:numId w:val="1006"/>
        </w:numPr>
      </w:pPr>
      <w:r>
        <w:t xml:space="preserve">Abstinence only samples</w:t>
      </w:r>
    </w:p>
    <w:p>
      <w:pPr>
        <w:numPr>
          <w:ilvl w:val="0"/>
          <w:numId w:val="1006"/>
        </w:numPr>
      </w:pPr>
      <w:r>
        <w:t xml:space="preserve">Diversity of training data could be improved</w:t>
      </w:r>
    </w:p>
    <w:p>
      <w:pPr>
        <w:numPr>
          <w:ilvl w:val="0"/>
          <w:numId w:val="1006"/>
        </w:numPr>
      </w:pPr>
      <w:r>
        <w:t xml:space="preserve">idiographic models/state space models</w:t>
      </w:r>
    </w:p>
    <w:p>
      <w:pPr>
        <w:numPr>
          <w:ilvl w:val="0"/>
          <w:numId w:val="1006"/>
        </w:numPr>
      </w:pPr>
      <w:r>
        <w:t xml:space="preserve">Expand risk factors(started to look at geolocation features - but sensing method could be improved, other potential sensing methods?) -</w:t>
      </w:r>
    </w:p>
    <w:bookmarkEnd w:id="146"/>
    <w:bookmarkStart w:id="147" w:name="recovery-monitoring-support-system"/>
    <w:p>
      <w:pPr>
        <w:pStyle w:val="Heading2"/>
      </w:pPr>
      <w:r>
        <w:t xml:space="preserve">5.3 Recovery Monitoring Support System</w:t>
      </w:r>
    </w:p>
    <w:p>
      <w:pPr>
        <w:numPr>
          <w:ilvl w:val="0"/>
          <w:numId w:val="1007"/>
        </w:numPr>
      </w:pPr>
      <w:r>
        <w:t xml:space="preserve">Where this puts us in terms of feasibility (people provide data for up to 1 year and data yields accurate predictions of next day alcohol and opioid use)</w:t>
      </w:r>
    </w:p>
    <w:p>
      <w:pPr>
        <w:numPr>
          <w:ilvl w:val="0"/>
          <w:numId w:val="1007"/>
        </w:numPr>
      </w:pPr>
      <w:r>
        <w:t xml:space="preserve">Optimize the delivery of risk-relevant feedback</w:t>
      </w:r>
    </w:p>
    <w:p>
      <w:pPr>
        <w:numPr>
          <w:ilvl w:val="0"/>
          <w:numId w:val="1007"/>
        </w:numPr>
      </w:pPr>
      <w:r>
        <w:t xml:space="preserve">Discuss treatment matching to top featutres</w:t>
      </w:r>
    </w:p>
    <w:p>
      <w:pPr>
        <w:numPr>
          <w:ilvl w:val="0"/>
          <w:numId w:val="1007"/>
        </w:numPr>
      </w:pPr>
      <w:r>
        <w:t xml:space="preserve">other ways to personalize, recommendation based on Shapley and risk probability?</w:t>
      </w:r>
    </w:p>
    <w:bookmarkEnd w:id="147"/>
    <w:bookmarkStart w:id="148" w:name="considerations-for-real-world-deployment"/>
    <w:p>
      <w:pPr>
        <w:pStyle w:val="Heading2"/>
      </w:pPr>
      <w:r>
        <w:t xml:space="preserve">5.4 Considerations for Real World Deployment</w:t>
      </w:r>
    </w:p>
    <w:p>
      <w:pPr>
        <w:pStyle w:val="Compact"/>
        <w:numPr>
          <w:ilvl w:val="0"/>
          <w:numId w:val="1008"/>
        </w:numPr>
      </w:pPr>
      <w:r>
        <w:t xml:space="preserve">re-evaluating for performance drift, updating with data from target sample,</w:t>
      </w:r>
    </w:p>
    <w:bookmarkEnd w:id="148"/>
    <w:bookmarkStart w:id="149" w:name="additional-future-directions"/>
    <w:p>
      <w:pPr>
        <w:pStyle w:val="Heading2"/>
      </w:pPr>
      <w:r>
        <w:t xml:space="preserve">5.5 Additional Future Directions</w:t>
      </w:r>
    </w:p>
    <w:p>
      <w:pPr>
        <w:pStyle w:val="Compact"/>
        <w:numPr>
          <w:ilvl w:val="0"/>
          <w:numId w:val="1009"/>
        </w:numPr>
      </w:pPr>
      <w:r>
        <w:t xml:space="preserve">return to continuum of care.</w:t>
      </w:r>
    </w:p>
    <w:p>
      <w:pPr>
        <w:pStyle w:val="Compact"/>
        <w:numPr>
          <w:ilvl w:val="0"/>
          <w:numId w:val="1009"/>
        </w:numPr>
      </w:pPr>
      <w:r>
        <w:t xml:space="preserve">Still have structural issues for getting access to treatment.</w:t>
      </w:r>
    </w:p>
    <w:p>
      <w:pPr>
        <w:pStyle w:val="Compact"/>
        <w:numPr>
          <w:ilvl w:val="0"/>
          <w:numId w:val="1009"/>
        </w:numPr>
      </w:pPr>
      <w:r>
        <w:t xml:space="preserve">Hint at ai being helpful in these areas as well</w:t>
      </w:r>
    </w:p>
    <w:p>
      <w:pPr>
        <w:pStyle w:val="Compact"/>
        <w:numPr>
          <w:ilvl w:val="0"/>
          <w:numId w:val="1009"/>
        </w:numPr>
      </w:pPr>
      <w:r>
        <w:t xml:space="preserve">Right now we’re using our model outputs us inputs into an LLM But, we could imagine in the near future using them as inputs into agentic AI systems that could automatically deliver personalized recommendations or even directly engage with individuals to help them implement recommendations and facilitate connections to therapists and other care providers when risk levels are high (triage).</w:t>
      </w:r>
    </w:p>
    <w:bookmarkEnd w:id="149"/>
    <w:bookmarkStart w:id="339" w:name="conclusions"/>
    <w:p>
      <w:pPr>
        <w:pStyle w:val="Heading2"/>
      </w:pPr>
      <w:r>
        <w:t xml:space="preserve">5.6 Conclusions</w:t>
      </w:r>
    </w:p>
    <w:bookmarkStart w:id="338" w:name="refs"/>
    <w:bookmarkStart w:id="151"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150">
        <w:r>
          <w:rPr>
            <w:rStyle w:val="Hyperlink"/>
          </w:rPr>
          <w:t xml:space="preserve">https://doi.org/10.1007/s40429-023-00492-5</w:t>
        </w:r>
      </w:hyperlink>
    </w:p>
    <w:bookmarkEnd w:id="151"/>
    <w:bookmarkStart w:id="152"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152"/>
    <w:bookmarkStart w:id="154"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153">
        <w:r>
          <w:rPr>
            <w:rStyle w:val="Hyperlink"/>
          </w:rPr>
          <w:t xml:space="preserve">https://doi.org/10.2196/39862</w:t>
        </w:r>
      </w:hyperlink>
    </w:p>
    <w:bookmarkEnd w:id="154"/>
    <w:bookmarkStart w:id="156"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155">
        <w:r>
          <w:rPr>
            <w:rStyle w:val="Hyperlink"/>
          </w:rPr>
          <w:t xml:space="preserve">https://doi.org/10.1016/j.addbeh.2017.11.039</w:t>
        </w:r>
      </w:hyperlink>
    </w:p>
    <w:bookmarkEnd w:id="156"/>
    <w:bookmarkStart w:id="158"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157">
        <w:r>
          <w:rPr>
            <w:rStyle w:val="Hyperlink"/>
          </w:rPr>
          <w:t xml:space="preserve">https://doi.org/10.1007/s10488-016-0718-5</w:t>
        </w:r>
      </w:hyperlink>
    </w:p>
    <w:bookmarkEnd w:id="158"/>
    <w:bookmarkStart w:id="159"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159"/>
    <w:bookmarkStart w:id="161"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160">
        <w:r>
          <w:rPr>
            <w:rStyle w:val="Hyperlink"/>
          </w:rPr>
          <w:t xml:space="preserve">https://doi.org/10.1001/jamapsychiatry.2013.4546</w:t>
        </w:r>
      </w:hyperlink>
    </w:p>
    <w:bookmarkEnd w:id="161"/>
    <w:bookmarkStart w:id="163"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162">
        <w:r>
          <w:rPr>
            <w:rStyle w:val="Hyperlink"/>
          </w:rPr>
          <w:t xml:space="preserve">https://doi.org/10.1146/annurev.clinpsy.3.022806.091455</w:t>
        </w:r>
      </w:hyperlink>
    </w:p>
    <w:bookmarkEnd w:id="163"/>
    <w:bookmarkStart w:id="165"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164">
        <w:r>
          <w:rPr>
            <w:rStyle w:val="Hyperlink"/>
          </w:rPr>
          <w:t xml:space="preserve">https://doi.org/10.1016/j.drugalcdep.2022.109362</w:t>
        </w:r>
      </w:hyperlink>
    </w:p>
    <w:bookmarkEnd w:id="165"/>
    <w:bookmarkStart w:id="167"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166">
        <w:r>
          <w:rPr>
            <w:rStyle w:val="Hyperlink"/>
          </w:rPr>
          <w:t xml:space="preserve">https://doi.org/10.1111/ajad.12784</w:t>
        </w:r>
      </w:hyperlink>
    </w:p>
    <w:bookmarkEnd w:id="167"/>
    <w:bookmarkStart w:id="169"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168">
        <w:r>
          <w:rPr>
            <w:rStyle w:val="Hyperlink"/>
          </w:rPr>
          <w:t xml:space="preserve">https://doi.org/10.1176/appi.ajp.2014.13081055</w:t>
        </w:r>
      </w:hyperlink>
    </w:p>
    <w:bookmarkEnd w:id="169"/>
    <w:bookmarkStart w:id="17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170">
        <w:r>
          <w:rPr>
            <w:rStyle w:val="Hyperlink"/>
          </w:rPr>
          <w:t xml:space="preserve">https://doi.org/10.21231/GNT1-HW21</w:t>
        </w:r>
      </w:hyperlink>
    </w:p>
    <w:bookmarkEnd w:id="171"/>
    <w:bookmarkStart w:id="172"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172"/>
    <w:bookmarkStart w:id="174"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173">
        <w:r>
          <w:rPr>
            <w:rStyle w:val="Hyperlink"/>
          </w:rPr>
          <w:t xml:space="preserve">https://doi.org/10.1016/j.jsat.2013.08.004</w:t>
        </w:r>
      </w:hyperlink>
    </w:p>
    <w:bookmarkEnd w:id="174"/>
    <w:bookmarkStart w:id="176"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175">
        <w:r>
          <w:rPr>
            <w:rStyle w:val="Hyperlink"/>
          </w:rPr>
          <w:t xml:space="preserve">https://doi.org/10.1016/j.drugalcdep.2014.10.004</w:t>
        </w:r>
      </w:hyperlink>
    </w:p>
    <w:bookmarkEnd w:id="176"/>
    <w:bookmarkStart w:id="17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177">
        <w:r>
          <w:rPr>
            <w:rStyle w:val="Hyperlink"/>
          </w:rPr>
          <w:t xml:space="preserve">https://doi.org/10.1007/978-3-319-72206-1</w:t>
        </w:r>
      </w:hyperlink>
    </w:p>
    <w:bookmarkEnd w:id="178"/>
    <w:bookmarkStart w:id="18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179">
        <w:r>
          <w:rPr>
            <w:rStyle w:val="Hyperlink"/>
          </w:rPr>
          <w:t xml:space="preserve">https://doi.org/10.1176/ps.62.11.pss6211_1273</w:t>
        </w:r>
      </w:hyperlink>
    </w:p>
    <w:bookmarkEnd w:id="180"/>
    <w:bookmarkStart w:id="18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181">
        <w:r>
          <w:rPr>
            <w:rStyle w:val="Hyperlink"/>
          </w:rPr>
          <w:t xml:space="preserve">https://doi.org/10.1093/oxfordhb/9780190067991.013.9</w:t>
        </w:r>
      </w:hyperlink>
    </w:p>
    <w:bookmarkEnd w:id="182"/>
    <w:bookmarkStart w:id="184" w:name="ref-dennisManagingAddictionChronic2007"/>
    <w:p>
      <w:pPr>
        <w:pStyle w:val="Bibliography"/>
      </w:pPr>
      <w:r>
        <w:t xml:space="preserve">Dennis, M., &amp; Scott, C. K. (2007).</w:t>
      </w:r>
      <w:r>
        <w:t xml:space="preserve"> </w:t>
      </w:r>
      <w:hyperlink r:id="rId183">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184"/>
    <w:bookmarkStart w:id="185"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185"/>
    <w:bookmarkStart w:id="187"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186">
        <w:r>
          <w:rPr>
            <w:rStyle w:val="Hyperlink"/>
          </w:rPr>
          <w:t xml:space="preserve">https://doi.org/10.1016/j.brat.2019.103506</w:t>
        </w:r>
      </w:hyperlink>
    </w:p>
    <w:bookmarkEnd w:id="187"/>
    <w:bookmarkStart w:id="189"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188">
        <w:r>
          <w:rPr>
            <w:rStyle w:val="Hyperlink"/>
          </w:rPr>
          <w:t xml:space="preserve">https://doi.org/10.1037/adb0000292</w:t>
        </w:r>
      </w:hyperlink>
    </w:p>
    <w:bookmarkEnd w:id="189"/>
    <w:bookmarkStart w:id="191"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190">
        <w:r>
          <w:rPr>
            <w:rStyle w:val="Hyperlink"/>
          </w:rPr>
          <w:t xml:space="preserve">https://doi.org/10.1016/j.cmpb.2016.09.016</w:t>
        </w:r>
      </w:hyperlink>
    </w:p>
    <w:bookmarkEnd w:id="191"/>
    <w:bookmarkStart w:id="193"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192">
        <w:r>
          <w:rPr>
            <w:rStyle w:val="Hyperlink"/>
          </w:rPr>
          <w:t xml:space="preserve">https://doi.org/10.1037/a0037157</w:t>
        </w:r>
      </w:hyperlink>
    </w:p>
    <w:bookmarkEnd w:id="193"/>
    <w:bookmarkStart w:id="195"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194">
        <w:r>
          <w:rPr>
            <w:rStyle w:val="Hyperlink"/>
          </w:rPr>
          <w:t xml:space="preserve">https://doi.org/10.1037/pha0000210</w:t>
        </w:r>
      </w:hyperlink>
    </w:p>
    <w:bookmarkEnd w:id="195"/>
    <w:bookmarkStart w:id="197"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196">
        <w:r>
          <w:rPr>
            <w:rStyle w:val="Hyperlink"/>
          </w:rPr>
          <w:t xml:space="preserve">https://doi.org/10.1037/abn0000819</w:t>
        </w:r>
      </w:hyperlink>
    </w:p>
    <w:bookmarkEnd w:id="197"/>
    <w:bookmarkStart w:id="199"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198">
        <w:r>
          <w:rPr>
            <w:rStyle w:val="Hyperlink"/>
          </w:rPr>
          <w:t xml:space="preserve">https://doi.org/10/ghqvcw</w:t>
        </w:r>
      </w:hyperlink>
    </w:p>
    <w:bookmarkEnd w:id="199"/>
    <w:bookmarkStart w:id="201"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00">
        <w:r>
          <w:rPr>
            <w:rStyle w:val="Hyperlink"/>
          </w:rPr>
          <w:t xml:space="preserve">https://doi.org/10.1016/j.brat.2019.01.010</w:t>
        </w:r>
      </w:hyperlink>
    </w:p>
    <w:bookmarkEnd w:id="201"/>
    <w:bookmarkStart w:id="203"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02">
        <w:r>
          <w:rPr>
            <w:rStyle w:val="Hyperlink"/>
          </w:rPr>
          <w:t xml:space="preserve">https://doi.org/10.1016/j.drugalcdep.2020.108350</w:t>
        </w:r>
      </w:hyperlink>
    </w:p>
    <w:bookmarkEnd w:id="203"/>
    <w:bookmarkStart w:id="205"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04">
        <w:r>
          <w:rPr>
            <w:rStyle w:val="Hyperlink"/>
          </w:rPr>
          <w:t xml:space="preserve">https://doi.org/10.1080/10826084.2021.1899225</w:t>
        </w:r>
      </w:hyperlink>
    </w:p>
    <w:bookmarkEnd w:id="205"/>
    <w:bookmarkStart w:id="207"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06">
        <w:r>
          <w:rPr>
            <w:rStyle w:val="Hyperlink"/>
          </w:rPr>
          <w:t xml:space="preserve">https://doi.org/10.1001/jama.2022.2847</w:t>
        </w:r>
      </w:hyperlink>
    </w:p>
    <w:bookmarkEnd w:id="207"/>
    <w:bookmarkStart w:id="209"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08">
        <w:r>
          <w:rPr>
            <w:rStyle w:val="Hyperlink"/>
          </w:rPr>
          <w:t xml:space="preserve">https://doi.org/10.1146/annurev-clinpsy-102419-125016</w:t>
        </w:r>
      </w:hyperlink>
    </w:p>
    <w:bookmarkEnd w:id="209"/>
    <w:bookmarkStart w:id="210"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10"/>
    <w:bookmarkStart w:id="211"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11"/>
    <w:bookmarkStart w:id="213"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12">
        <w:r>
          <w:rPr>
            <w:rStyle w:val="Hyperlink"/>
          </w:rPr>
          <w:t xml:space="preserve">https://doi.org/10.1001/jamapsychiatry.2015.0584</w:t>
        </w:r>
      </w:hyperlink>
    </w:p>
    <w:bookmarkEnd w:id="213"/>
    <w:bookmarkStart w:id="215"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14">
        <w:r>
          <w:rPr>
            <w:rStyle w:val="Hyperlink"/>
          </w:rPr>
          <w:t xml:space="preserve">https://doi.org/10.1016/j.drugalcdep.2006.05.012</w:t>
        </w:r>
      </w:hyperlink>
    </w:p>
    <w:bookmarkEnd w:id="215"/>
    <w:bookmarkStart w:id="217"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16">
        <w:r>
          <w:rPr>
            <w:rStyle w:val="Hyperlink"/>
          </w:rPr>
          <w:t xml:space="preserve">https://doi.org/10.1016/j.drugalcdep.2013.07.027</w:t>
        </w:r>
      </w:hyperlink>
    </w:p>
    <w:bookmarkEnd w:id="217"/>
    <w:bookmarkStart w:id="21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18">
        <w:r>
          <w:rPr>
            <w:rStyle w:val="Hyperlink"/>
          </w:rPr>
          <w:t xml:space="preserve">https://doi.org/10.1001/jamapsychiatry.2013.4642</w:t>
        </w:r>
      </w:hyperlink>
    </w:p>
    <w:bookmarkEnd w:id="219"/>
    <w:bookmarkStart w:id="221"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20">
        <w:r>
          <w:rPr>
            <w:rStyle w:val="Hyperlink"/>
          </w:rPr>
          <w:t xml:space="preserve">https://doi.org/10.1176/appi.ajp.21090963</w:t>
        </w:r>
      </w:hyperlink>
    </w:p>
    <w:bookmarkEnd w:id="221"/>
    <w:bookmarkStart w:id="222"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22"/>
    <w:bookmarkStart w:id="224"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23">
        <w:r>
          <w:rPr>
            <w:rStyle w:val="Hyperlink"/>
          </w:rPr>
          <w:t xml:space="preserve">https://doi.org/10.2196/mental.9777</w:t>
        </w:r>
      </w:hyperlink>
    </w:p>
    <w:bookmarkEnd w:id="224"/>
    <w:bookmarkStart w:id="225"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25"/>
    <w:bookmarkStart w:id="22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26">
        <w:r>
          <w:rPr>
            <w:rStyle w:val="Hyperlink"/>
          </w:rPr>
          <w:t xml:space="preserve">https://doi.org/10.1016/j.josat.2025.209685</w:t>
        </w:r>
      </w:hyperlink>
    </w:p>
    <w:bookmarkEnd w:id="227"/>
    <w:bookmarkStart w:id="228"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28"/>
    <w:bookmarkStart w:id="229"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229"/>
    <w:bookmarkStart w:id="230"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230"/>
    <w:bookmarkStart w:id="232"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231">
        <w:r>
          <w:rPr>
            <w:rStyle w:val="Hyperlink"/>
          </w:rPr>
          <w:t xml:space="preserve">https://doi.org/10.1023/A:1008987426876</w:t>
        </w:r>
      </w:hyperlink>
    </w:p>
    <w:bookmarkEnd w:id="232"/>
    <w:bookmarkStart w:id="234"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233">
        <w:r>
          <w:rPr>
            <w:rStyle w:val="Hyperlink"/>
          </w:rPr>
          <w:t xml:space="preserve">https://doi.org/10/gfsjzg</w:t>
        </w:r>
      </w:hyperlink>
    </w:p>
    <w:bookmarkEnd w:id="234"/>
    <w:bookmarkStart w:id="235"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235"/>
    <w:bookmarkStart w:id="237"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236">
        <w:r>
          <w:rPr>
            <w:rStyle w:val="Hyperlink"/>
          </w:rPr>
          <w:t xml:space="preserve">https://doi.org/10.1016/j.drugalcdep.2016.10.038</w:t>
        </w:r>
      </w:hyperlink>
    </w:p>
    <w:bookmarkEnd w:id="237"/>
    <w:bookmarkStart w:id="239"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238">
        <w:r>
          <w:rPr>
            <w:rStyle w:val="Hyperlink"/>
          </w:rPr>
          <w:t xml:space="preserve">https://doi.org/10.1001/jamanetworkopen.2020.5852</w:t>
        </w:r>
      </w:hyperlink>
    </w:p>
    <w:bookmarkEnd w:id="239"/>
    <w:bookmarkStart w:id="241"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240">
        <w:r>
          <w:rPr>
            <w:rStyle w:val="Hyperlink"/>
          </w:rPr>
          <w:t xml:space="preserve">https://doi.org/10.1007/s11920-012-0296-5</w:t>
        </w:r>
      </w:hyperlink>
    </w:p>
    <w:bookmarkEnd w:id="241"/>
    <w:bookmarkStart w:id="243"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242">
        <w:r>
          <w:rPr>
            <w:rStyle w:val="Hyperlink"/>
          </w:rPr>
          <w:t xml:space="preserve">https://doi.org/10.1016/j.amepre.2019.08.034</w:t>
        </w:r>
      </w:hyperlink>
    </w:p>
    <w:bookmarkEnd w:id="243"/>
    <w:bookmarkStart w:id="245"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244">
        <w:r>
          <w:rPr>
            <w:rStyle w:val="Hyperlink"/>
          </w:rPr>
          <w:t xml:space="preserve">https://doi.org/10.1016/j.cger.2014.04.008</w:t>
        </w:r>
      </w:hyperlink>
    </w:p>
    <w:bookmarkEnd w:id="245"/>
    <w:bookmarkStart w:id="24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246"/>
    <w:bookmarkStart w:id="248"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247">
        <w:r>
          <w:rPr>
            <w:rStyle w:val="Hyperlink"/>
          </w:rPr>
          <w:t xml:space="preserve">https://doi.org/10.1007/978-1-4614-6849-3</w:t>
        </w:r>
      </w:hyperlink>
    </w:p>
    <w:bookmarkEnd w:id="248"/>
    <w:bookmarkStart w:id="249"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249"/>
    <w:bookmarkStart w:id="251"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250">
        <w:r>
          <w:rPr>
            <w:rStyle w:val="Hyperlink"/>
          </w:rPr>
          <w:t xml:space="preserve">https://doi.org/10.1214/17-EJS1338SI</w:t>
        </w:r>
      </w:hyperlink>
    </w:p>
    <w:bookmarkEnd w:id="251"/>
    <w:bookmarkStart w:id="252"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252"/>
    <w:bookmarkStart w:id="254"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253">
        <w:r>
          <w:rPr>
            <w:rStyle w:val="Hyperlink"/>
          </w:rPr>
          <w:t xml:space="preserve">https://doi.org/10.1080/00952990.2019.1694536</w:t>
        </w:r>
      </w:hyperlink>
    </w:p>
    <w:bookmarkEnd w:id="254"/>
    <w:bookmarkStart w:id="255"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255"/>
    <w:bookmarkStart w:id="257"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256">
        <w:r>
          <w:rPr>
            <w:rStyle w:val="Hyperlink"/>
          </w:rPr>
          <w:t xml:space="preserve">https://doi.org/10.1097/JTO.0b013e3181ec173d</w:t>
        </w:r>
      </w:hyperlink>
    </w:p>
    <w:bookmarkEnd w:id="257"/>
    <w:bookmarkStart w:id="258"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258"/>
    <w:bookmarkStart w:id="259"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259"/>
    <w:bookmarkStart w:id="260"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260"/>
    <w:bookmarkStart w:id="262"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261">
        <w:r>
          <w:rPr>
            <w:rStyle w:val="Hyperlink"/>
          </w:rPr>
          <w:t xml:space="preserve">https://doi.org/10.1016/j.cpr.2017.10.012</w:t>
        </w:r>
      </w:hyperlink>
    </w:p>
    <w:bookmarkEnd w:id="262"/>
    <w:bookmarkStart w:id="264"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263">
        <w:r>
          <w:rPr>
            <w:rStyle w:val="Hyperlink"/>
          </w:rPr>
          <w:t xml:space="preserve">https://doi.org/10.35946/arcr.v41.1.01</w:t>
        </w:r>
      </w:hyperlink>
    </w:p>
    <w:bookmarkEnd w:id="264"/>
    <w:bookmarkStart w:id="266"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265">
        <w:r>
          <w:rPr>
            <w:rStyle w:val="Hyperlink"/>
          </w:rPr>
          <w:t xml:space="preserve">https://doi.org/10.1001/jama.284.13.1689</w:t>
        </w:r>
      </w:hyperlink>
    </w:p>
    <w:bookmarkEnd w:id="266"/>
    <w:bookmarkStart w:id="268"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267">
        <w:r>
          <w:rPr>
            <w:rStyle w:val="Hyperlink"/>
          </w:rPr>
          <w:t xml:space="preserve">https://doi.org/10.1016/j.drugalcdep.2021.108706</w:t>
        </w:r>
      </w:hyperlink>
    </w:p>
    <w:bookmarkEnd w:id="268"/>
    <w:bookmarkStart w:id="270"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269">
        <w:r>
          <w:rPr>
            <w:rStyle w:val="Hyperlink"/>
          </w:rPr>
          <w:t xml:space="preserve">https://doi.org/10.1146/annurev-clinpsy-032816-044949</w:t>
        </w:r>
      </w:hyperlink>
    </w:p>
    <w:bookmarkEnd w:id="270"/>
    <w:bookmarkStart w:id="271"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271"/>
    <w:bookmarkStart w:id="27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272">
        <w:r>
          <w:rPr>
            <w:rStyle w:val="Hyperlink"/>
          </w:rPr>
          <w:t xml:space="preserve">https://doi.org/10.2196/29563</w:t>
        </w:r>
      </w:hyperlink>
    </w:p>
    <w:bookmarkEnd w:id="273"/>
    <w:bookmarkStart w:id="275" w:name="X8bb79cdd23e0a8d99e4f9b0c203aaa22c56a953"/>
    <w:p>
      <w:pPr>
        <w:pStyle w:val="Bibliography"/>
      </w:pPr>
      <w:r>
        <w:t xml:space="preserve">Office of the Surgeon General (US), Center for Mental Health Services (US), &amp; National Institute of Mental Health (US). (2001).</w:t>
      </w:r>
      <w:r>
        <w:t xml:space="preserve"> </w:t>
      </w:r>
      <w:hyperlink r:id="rId274">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275"/>
    <w:bookmarkStart w:id="277"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276">
        <w:r>
          <w:rPr>
            <w:rStyle w:val="Hyperlink"/>
          </w:rPr>
          <w:t xml:space="preserve">https://doi.org/10.1016/j.jsat.2021.108710</w:t>
        </w:r>
      </w:hyperlink>
    </w:p>
    <w:bookmarkEnd w:id="277"/>
    <w:bookmarkStart w:id="279"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278">
        <w:r>
          <w:rPr>
            <w:rStyle w:val="Hyperlink"/>
          </w:rPr>
          <w:t xml:space="preserve">https://doi.org/10.1037/tps0000250</w:t>
        </w:r>
      </w:hyperlink>
    </w:p>
    <w:bookmarkEnd w:id="279"/>
    <w:bookmarkStart w:id="280"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280"/>
    <w:bookmarkStart w:id="282"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281">
        <w:r>
          <w:rPr>
            <w:rStyle w:val="Hyperlink"/>
          </w:rPr>
          <w:t xml:space="preserve">https://doi.org/10.1016/j.drugalcdep.2019.05.017</w:t>
        </w:r>
      </w:hyperlink>
    </w:p>
    <w:bookmarkEnd w:id="282"/>
    <w:bookmarkStart w:id="284"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283">
        <w:r>
          <w:rPr>
            <w:rStyle w:val="Hyperlink"/>
          </w:rPr>
          <w:t xml:space="preserve">https://doi.org/10.1037/0003-066X.47.9.1102</w:t>
        </w:r>
      </w:hyperlink>
    </w:p>
    <w:bookmarkEnd w:id="284"/>
    <w:bookmarkStart w:id="285"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285"/>
    <w:bookmarkStart w:id="287"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286">
        <w:r>
          <w:rPr>
            <w:rStyle w:val="Hyperlink"/>
          </w:rPr>
          <w:t xml:space="preserve">https://doi.org/10.1037/adb0000550</w:t>
        </w:r>
      </w:hyperlink>
    </w:p>
    <w:bookmarkEnd w:id="287"/>
    <w:bookmarkStart w:id="289"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288">
        <w:r>
          <w:rPr>
            <w:rStyle w:val="Hyperlink"/>
          </w:rPr>
          <w:t xml:space="preserve">https://doi.org/10.1377/hlthaff.2011.0983</w:t>
        </w:r>
      </w:hyperlink>
    </w:p>
    <w:bookmarkEnd w:id="289"/>
    <w:bookmarkStart w:id="290"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290"/>
    <w:bookmarkStart w:id="29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291">
        <w:r>
          <w:rPr>
            <w:rStyle w:val="Hyperlink"/>
          </w:rPr>
          <w:t xml:space="preserve">https://doi.org/10.1146/annurev-clinpsy-021815-093351</w:t>
        </w:r>
      </w:hyperlink>
    </w:p>
    <w:bookmarkEnd w:id="292"/>
    <w:bookmarkStart w:id="29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293">
        <w:r>
          <w:rPr>
            <w:rStyle w:val="Hyperlink"/>
          </w:rPr>
          <w:t xml:space="preserve">https://doi.org/10.1111/j.1530-0277.2006.00263.x</w:t>
        </w:r>
      </w:hyperlink>
    </w:p>
    <w:bookmarkEnd w:id="294"/>
    <w:bookmarkStart w:id="296"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295">
        <w:r>
          <w:rPr>
            <w:rStyle w:val="Hyperlink"/>
          </w:rPr>
          <w:t xml:space="preserve">https://doi.org/10.1001/jamapsychiatry.2013.4450</w:t>
        </w:r>
      </w:hyperlink>
    </w:p>
    <w:bookmarkEnd w:id="296"/>
    <w:bookmarkStart w:id="298"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297">
        <w:r>
          <w:rPr>
            <w:rStyle w:val="Hyperlink"/>
          </w:rPr>
          <w:t xml:space="preserve">https://doi.org/10.1111/add.13479</w:t>
        </w:r>
      </w:hyperlink>
    </w:p>
    <w:bookmarkEnd w:id="298"/>
    <w:bookmarkStart w:id="300"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299">
        <w:r>
          <w:rPr>
            <w:rStyle w:val="Hyperlink"/>
          </w:rPr>
          <w:t xml:space="preserve">https://doi.org/10.1037/adb0000666</w:t>
        </w:r>
      </w:hyperlink>
    </w:p>
    <w:bookmarkEnd w:id="300"/>
    <w:bookmarkStart w:id="302"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01">
        <w:r>
          <w:rPr>
            <w:rStyle w:val="Hyperlink"/>
          </w:rPr>
          <w:t xml:space="preserve">https://doi.org/10.1177/1178221820976988</w:t>
        </w:r>
      </w:hyperlink>
    </w:p>
    <w:bookmarkEnd w:id="302"/>
    <w:bookmarkStart w:id="304"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03">
        <w:r>
          <w:rPr>
            <w:rStyle w:val="Hyperlink"/>
          </w:rPr>
          <w:t xml:space="preserve">https://doi.org/10.1037/0003-066X.60.4.340</w:t>
        </w:r>
      </w:hyperlink>
    </w:p>
    <w:bookmarkEnd w:id="304"/>
    <w:bookmarkStart w:id="305"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05"/>
    <w:bookmarkStart w:id="306"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06"/>
    <w:bookmarkStart w:id="308" w:name="Xb4363def9a086869984bb1996514c38c4a5108e"/>
    <w:p>
      <w:pPr>
        <w:pStyle w:val="Bibliography"/>
      </w:pPr>
      <w:r>
        <w:t xml:space="preserve">Substance Abuse and Mental Health Services Administration (US), &amp; Office of the Surgeon General (US). (2016).</w:t>
      </w:r>
      <w:r>
        <w:t xml:space="preserve"> </w:t>
      </w:r>
      <w:hyperlink r:id="rId307">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08"/>
    <w:bookmarkStart w:id="310"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09">
        <w:r>
          <w:rPr>
            <w:rStyle w:val="Hyperlink"/>
          </w:rPr>
          <w:t xml:space="preserve">https://doi.org/10.1080/19371918.2013.758975</w:t>
        </w:r>
      </w:hyperlink>
    </w:p>
    <w:bookmarkEnd w:id="310"/>
    <w:bookmarkStart w:id="312"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311">
        <w:r>
          <w:rPr>
            <w:rStyle w:val="Hyperlink"/>
          </w:rPr>
          <w:t xml:space="preserve">https://doi.org/10.1177/17456916221134490</w:t>
        </w:r>
      </w:hyperlink>
    </w:p>
    <w:bookmarkEnd w:id="312"/>
    <w:bookmarkStart w:id="314"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313">
        <w:r>
          <w:rPr>
            <w:rStyle w:val="Hyperlink"/>
          </w:rPr>
          <w:t xml:space="preserve">https://doi.org/10.1111/j.1530-0277.1984.tb05523.x</w:t>
        </w:r>
      </w:hyperlink>
    </w:p>
    <w:bookmarkEnd w:id="314"/>
    <w:bookmarkStart w:id="316"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315">
        <w:r>
          <w:rPr>
            <w:rStyle w:val="Hyperlink"/>
          </w:rPr>
          <w:t xml:space="preserve">https://doi.org/10.1093/jamia/ocy052</w:t>
        </w:r>
      </w:hyperlink>
    </w:p>
    <w:bookmarkEnd w:id="316"/>
    <w:bookmarkStart w:id="318"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317">
        <w:r>
          <w:rPr>
            <w:rStyle w:val="Hyperlink"/>
          </w:rPr>
          <w:t xml:space="preserve">https://doi.org/10.1016/j.cpr.2005.11.003</w:t>
        </w:r>
      </w:hyperlink>
    </w:p>
    <w:bookmarkEnd w:id="318"/>
    <w:bookmarkStart w:id="320"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319">
        <w:r>
          <w:rPr>
            <w:rStyle w:val="Hyperlink"/>
          </w:rPr>
          <w:t xml:space="preserve">https://doi.org/10.1016/j.jsat.2021.108417</w:t>
        </w:r>
      </w:hyperlink>
    </w:p>
    <w:bookmarkEnd w:id="320"/>
    <w:bookmarkStart w:id="322" w:name="X2d30c84041d97351f676569bf3de3da0c8a9d6d"/>
    <w:p>
      <w:pPr>
        <w:pStyle w:val="Bibliography"/>
      </w:pPr>
      <w:r>
        <w:t xml:space="preserve">WHO ASSIST Working Group. (2002).</w:t>
      </w:r>
      <w:r>
        <w:t xml:space="preserve"> </w:t>
      </w:r>
      <w:hyperlink r:id="rId321">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322"/>
    <w:bookmarkStart w:id="323"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323"/>
    <w:bookmarkStart w:id="325"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324">
        <w:r>
          <w:rPr>
            <w:rStyle w:val="Hyperlink"/>
          </w:rPr>
          <w:t xml:space="preserve">https://doi.org/10.1037/0003-066X.59.4.224</w:t>
        </w:r>
      </w:hyperlink>
    </w:p>
    <w:bookmarkEnd w:id="325"/>
    <w:bookmarkStart w:id="327"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326">
        <w:r>
          <w:rPr>
            <w:rStyle w:val="Hyperlink"/>
          </w:rPr>
          <w:t xml:space="preserve">https://doi.org/10.1016/j.cpr.2007.01.002</w:t>
        </w:r>
      </w:hyperlink>
    </w:p>
    <w:bookmarkEnd w:id="327"/>
    <w:bookmarkStart w:id="329"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328">
        <w:r>
          <w:rPr>
            <w:rStyle w:val="Hyperlink"/>
          </w:rPr>
          <w:t xml:space="preserve">https://doi.org/10.1080/14659891.2018.1523968</w:t>
        </w:r>
      </w:hyperlink>
    </w:p>
    <w:bookmarkEnd w:id="329"/>
    <w:bookmarkStart w:id="331"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330">
        <w:r>
          <w:rPr>
            <w:rStyle w:val="Hyperlink"/>
          </w:rPr>
          <w:t xml:space="preserve">https://doi.org/10.1037/pas0000685</w:t>
        </w:r>
      </w:hyperlink>
    </w:p>
    <w:bookmarkEnd w:id="331"/>
    <w:bookmarkStart w:id="333"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332">
        <w:r>
          <w:rPr>
            <w:rStyle w:val="Hyperlink"/>
          </w:rPr>
          <w:t xml:space="preserve">https://doi.org/10.2196/41833</w:t>
        </w:r>
      </w:hyperlink>
    </w:p>
    <w:bookmarkEnd w:id="333"/>
    <w:bookmarkStart w:id="335"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334">
        <w:r>
          <w:rPr>
            <w:rStyle w:val="Hyperlink"/>
          </w:rPr>
          <w:t xml:space="preserve">https://doi.org/10.2196/81697</w:t>
        </w:r>
      </w:hyperlink>
    </w:p>
    <w:bookmarkEnd w:id="335"/>
    <w:bookmarkStart w:id="337"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336">
        <w:r>
          <w:rPr>
            <w:rStyle w:val="Hyperlink"/>
          </w:rPr>
          <w:t xml:space="preserve">https://doi.org/10.2196/mhealth.9117</w:t>
        </w:r>
      </w:hyperlink>
    </w:p>
    <w:bookmarkEnd w:id="337"/>
    <w:bookmarkEnd w:id="338"/>
    <w:bookmarkEnd w:id="339"/>
    <w:bookmarkEnd w:id="3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Features for income and employment were inadvertently excluded from all models.</w:t>
      </w:r>
    </w:p>
  </w:footnote>
  <w:footnote w:id="41">
    <w:p>
      <w:pPr>
        <w:pStyle w:val="FootnoteText"/>
      </w:pPr>
      <w:r>
        <w:rPr>
          <w:rStyle w:val="FootnoteReference"/>
        </w:rPr>
        <w:footnoteRef/>
      </w:r>
      <w:r>
        <w:t xml:space="preserve"> </w:t>
      </w:r>
      <w:r>
        <w:t xml:space="preserve">In early exploratory analyses, we evaluated auROCs of all four algorithms using grouped k-fold cross-validation for models based on preliminary feature engineering using the EMAs. XGBoost models consistently outperformed other algorithms such that we focused all further development on XGBoost to reduce the substantial computational time associated with model training and evaluation.</w:t>
      </w:r>
    </w:p>
  </w:footnote>
  <w:footnote w:id="84">
    <w:p>
      <w:pPr>
        <w:pStyle w:val="FootnoteText"/>
      </w:pPr>
      <w:r>
        <w:rPr>
          <w:rStyle w:val="FootnoteReference"/>
        </w:rPr>
        <w:footnoteRef/>
      </w:r>
      <w:r>
        <w:t xml:space="preserve"> </w:t>
      </w:r>
      <w:r>
        <w:t xml:space="preserve">Although XGBoost ignores participant-level information, we do leverage this information to some degree by including change features that anchor participants’ EMA responses to their own previous responses.</w:t>
      </w:r>
    </w:p>
  </w:footnote>
  <w:footnote w:id="92">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p>
  </w:footnote>
  <w:footnote w:id="104">
    <w:p>
      <w:pPr>
        <w:pStyle w:val="FootnoteText"/>
      </w:pPr>
      <w:r>
        <w:rPr>
          <w:rStyle w:val="FootnoteReference"/>
        </w:rPr>
        <w:footnoteRef/>
      </w:r>
      <w:r>
        <w:t xml:space="preserve"> </w:t>
      </w:r>
      <w:r>
        <w:t xml:space="preserve">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footnote>
  <w:footnote w:id="10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111">
    <w:p>
      <w:pPr>
        <w:pStyle w:val="FootnoteText"/>
      </w:pPr>
      <w:r>
        <w:rPr>
          <w:rStyle w:val="FootnoteReference"/>
        </w:rPr>
        <w:footnoteRef/>
      </w:r>
      <w:r>
        <w:t xml:space="preserve"> </w:t>
      </w:r>
      <w:r>
        <w:t xml:space="preserve">The poverty cutoff was defined from the 2024 federal poverty line for the 48 contiguous United States. Participants at or below $15,060 annual income were categorized as below poverty.</w:t>
      </w:r>
    </w:p>
  </w:footnote>
  <w:footnote w:id="11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non-advantaged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jpg" /><Relationship Type="http://schemas.openxmlformats.org/officeDocument/2006/relationships/image" Id="rId65" Target="media/rId65.jpg" /><Relationship Type="http://schemas.openxmlformats.org/officeDocument/2006/relationships/image" Id="rId119" Target="media/rId119.png" /><Relationship Type="http://schemas.openxmlformats.org/officeDocument/2006/relationships/image" Id="rId72" Target="media/rId72.jpg" /><Relationship Type="http://schemas.openxmlformats.org/officeDocument/2006/relationships/image" Id="rId131" Target="media/rId131.png" /><Relationship Type="http://schemas.openxmlformats.org/officeDocument/2006/relationships/image" Id="rId98" Target="media/rId98.png" /><Relationship Type="http://schemas.openxmlformats.org/officeDocument/2006/relationships/hyperlink" Id="rId206" Target="https://doi.org/10.1001/jama.2022.2847" TargetMode="External" /><Relationship Type="http://schemas.openxmlformats.org/officeDocument/2006/relationships/hyperlink" Id="rId265" Target="https://doi.org/10.1001/jama.284.13.1689" TargetMode="External" /><Relationship Type="http://schemas.openxmlformats.org/officeDocument/2006/relationships/hyperlink" Id="rId238" Target="https://doi.org/10.1001/jamanetworkopen.2020.5852" TargetMode="External" /><Relationship Type="http://schemas.openxmlformats.org/officeDocument/2006/relationships/hyperlink" Id="rId295" Target="https://doi.org/10.1001/jamapsychiatry.2013.4450" TargetMode="External" /><Relationship Type="http://schemas.openxmlformats.org/officeDocument/2006/relationships/hyperlink" Id="rId160" Target="https://doi.org/10.1001/jamapsychiatry.2013.4546" TargetMode="External" /><Relationship Type="http://schemas.openxmlformats.org/officeDocument/2006/relationships/hyperlink" Id="rId218" Target="https://doi.org/10.1001/jamapsychiatry.2013.4642" TargetMode="External" /><Relationship Type="http://schemas.openxmlformats.org/officeDocument/2006/relationships/hyperlink" Id="rId212" Target="https://doi.org/10.1001/jamapsychiatry.2015.0584" TargetMode="External" /><Relationship Type="http://schemas.openxmlformats.org/officeDocument/2006/relationships/hyperlink" Id="rId247" Target="https://doi.org/10.1007/978-1-4614-6849-3" TargetMode="External" /><Relationship Type="http://schemas.openxmlformats.org/officeDocument/2006/relationships/hyperlink" Id="rId177" Target="https://doi.org/10.1007/978-3-319-72206-1" TargetMode="External" /><Relationship Type="http://schemas.openxmlformats.org/officeDocument/2006/relationships/hyperlink" Id="rId157" Target="https://doi.org/10.1007/s10488-016-0718-5" TargetMode="External" /><Relationship Type="http://schemas.openxmlformats.org/officeDocument/2006/relationships/hyperlink" Id="rId240" Target="https://doi.org/10.1007/s11920-012-0296-5" TargetMode="External" /><Relationship Type="http://schemas.openxmlformats.org/officeDocument/2006/relationships/hyperlink" Id="rId150" Target="https://doi.org/10.1007/s40429-023-00492-5" TargetMode="External" /><Relationship Type="http://schemas.openxmlformats.org/officeDocument/2006/relationships/hyperlink" Id="rId155" Target="https://doi.org/10.1016/j.addbeh.2017.11.039" TargetMode="External" /><Relationship Type="http://schemas.openxmlformats.org/officeDocument/2006/relationships/hyperlink" Id="rId242" Target="https://doi.org/10.1016/j.amepre.2019.08.034" TargetMode="External" /><Relationship Type="http://schemas.openxmlformats.org/officeDocument/2006/relationships/hyperlink" Id="rId200" Target="https://doi.org/10.1016/j.brat.2019.01.010" TargetMode="External" /><Relationship Type="http://schemas.openxmlformats.org/officeDocument/2006/relationships/hyperlink" Id="rId186" Target="https://doi.org/10.1016/j.brat.2019.103506" TargetMode="External" /><Relationship Type="http://schemas.openxmlformats.org/officeDocument/2006/relationships/hyperlink" Id="rId244" Target="https://doi.org/10.1016/j.cger.2014.04.008" TargetMode="External" /><Relationship Type="http://schemas.openxmlformats.org/officeDocument/2006/relationships/hyperlink" Id="rId190" Target="https://doi.org/10.1016/j.cmpb.2016.09.016" TargetMode="External" /><Relationship Type="http://schemas.openxmlformats.org/officeDocument/2006/relationships/hyperlink" Id="rId317" Target="https://doi.org/10.1016/j.cpr.2005.11.003" TargetMode="External" /><Relationship Type="http://schemas.openxmlformats.org/officeDocument/2006/relationships/hyperlink" Id="rId326" Target="https://doi.org/10.1016/j.cpr.2007.01.002" TargetMode="External" /><Relationship Type="http://schemas.openxmlformats.org/officeDocument/2006/relationships/hyperlink" Id="rId261" Target="https://doi.org/10.1016/j.cpr.2017.10.012" TargetMode="External" /><Relationship Type="http://schemas.openxmlformats.org/officeDocument/2006/relationships/hyperlink" Id="rId214" Target="https://doi.org/10.1016/j.drugalcdep.2006.05.012" TargetMode="External" /><Relationship Type="http://schemas.openxmlformats.org/officeDocument/2006/relationships/hyperlink" Id="rId216" Target="https://doi.org/10.1016/j.drugalcdep.2013.07.027" TargetMode="External" /><Relationship Type="http://schemas.openxmlformats.org/officeDocument/2006/relationships/hyperlink" Id="rId175" Target="https://doi.org/10.1016/j.drugalcdep.2014.10.004" TargetMode="External" /><Relationship Type="http://schemas.openxmlformats.org/officeDocument/2006/relationships/hyperlink" Id="rId236" Target="https://doi.org/10.1016/j.drugalcdep.2016.10.038" TargetMode="External" /><Relationship Type="http://schemas.openxmlformats.org/officeDocument/2006/relationships/hyperlink" Id="rId281" Target="https://doi.org/10.1016/j.drugalcdep.2019.05.017" TargetMode="External" /><Relationship Type="http://schemas.openxmlformats.org/officeDocument/2006/relationships/hyperlink" Id="rId202" Target="https://doi.org/10.1016/j.drugalcdep.2020.108350" TargetMode="External" /><Relationship Type="http://schemas.openxmlformats.org/officeDocument/2006/relationships/hyperlink" Id="rId267" Target="https://doi.org/10.1016/j.drugalcdep.2021.108706" TargetMode="External" /><Relationship Type="http://schemas.openxmlformats.org/officeDocument/2006/relationships/hyperlink" Id="rId164" Target="https://doi.org/10.1016/j.drugalcdep.2022.109362" TargetMode="External" /><Relationship Type="http://schemas.openxmlformats.org/officeDocument/2006/relationships/hyperlink" Id="rId226" Target="https://doi.org/10.1016/j.josat.2025.209685" TargetMode="External" /><Relationship Type="http://schemas.openxmlformats.org/officeDocument/2006/relationships/hyperlink" Id="rId173" Target="https://doi.org/10.1016/j.jsat.2013.08.004" TargetMode="External" /><Relationship Type="http://schemas.openxmlformats.org/officeDocument/2006/relationships/hyperlink" Id="rId319" Target="https://doi.org/10.1016/j.jsat.2021.108417" TargetMode="External" /><Relationship Type="http://schemas.openxmlformats.org/officeDocument/2006/relationships/hyperlink" Id="rId276" Target="https://doi.org/10.1016/j.jsat.2021.108710" TargetMode="External" /><Relationship Type="http://schemas.openxmlformats.org/officeDocument/2006/relationships/hyperlink" Id="rId231" Target="https://doi.org/10.1023/A:1008987426876" TargetMode="External" /><Relationship Type="http://schemas.openxmlformats.org/officeDocument/2006/relationships/hyperlink" Id="rId283" Target="https://doi.org/10.1037/0003-066X.47.9.1102" TargetMode="External" /><Relationship Type="http://schemas.openxmlformats.org/officeDocument/2006/relationships/hyperlink" Id="rId324" Target="https://doi.org/10.1037/0003-066X.59.4.224" TargetMode="External" /><Relationship Type="http://schemas.openxmlformats.org/officeDocument/2006/relationships/hyperlink" Id="rId303" Target="https://doi.org/10.1037/0003-066X.60.4.340" TargetMode="External" /><Relationship Type="http://schemas.openxmlformats.org/officeDocument/2006/relationships/hyperlink" Id="rId192" Target="https://doi.org/10.1037/a0037157" TargetMode="External" /><Relationship Type="http://schemas.openxmlformats.org/officeDocument/2006/relationships/hyperlink" Id="rId196" Target="https://doi.org/10.1037/abn0000819" TargetMode="External" /><Relationship Type="http://schemas.openxmlformats.org/officeDocument/2006/relationships/hyperlink" Id="rId188" Target="https://doi.org/10.1037/adb0000292" TargetMode="External" /><Relationship Type="http://schemas.openxmlformats.org/officeDocument/2006/relationships/hyperlink" Id="rId286" Target="https://doi.org/10.1037/adb0000550" TargetMode="External" /><Relationship Type="http://schemas.openxmlformats.org/officeDocument/2006/relationships/hyperlink" Id="rId299" Target="https://doi.org/10.1037/adb0000666" TargetMode="External" /><Relationship Type="http://schemas.openxmlformats.org/officeDocument/2006/relationships/hyperlink" Id="rId330" Target="https://doi.org/10.1037/pas0000685" TargetMode="External" /><Relationship Type="http://schemas.openxmlformats.org/officeDocument/2006/relationships/hyperlink" Id="rId194" Target="https://doi.org/10.1037/pha0000210" TargetMode="External" /><Relationship Type="http://schemas.openxmlformats.org/officeDocument/2006/relationships/hyperlink" Id="rId278" Target="https://doi.org/10.1037/tps0000250" TargetMode="External" /><Relationship Type="http://schemas.openxmlformats.org/officeDocument/2006/relationships/hyperlink" Id="rId253" Target="https://doi.org/10.1080/00952990.2019.1694536" TargetMode="External" /><Relationship Type="http://schemas.openxmlformats.org/officeDocument/2006/relationships/hyperlink" Id="rId204" Target="https://doi.org/10.1080/10826084.2021.1899225" TargetMode="External" /><Relationship Type="http://schemas.openxmlformats.org/officeDocument/2006/relationships/hyperlink" Id="rId328" Target="https://doi.org/10.1080/14659891.2018.1523968" TargetMode="External" /><Relationship Type="http://schemas.openxmlformats.org/officeDocument/2006/relationships/hyperlink" Id="rId309" Target="https://doi.org/10.1080/19371918.2013.758975" TargetMode="External" /><Relationship Type="http://schemas.openxmlformats.org/officeDocument/2006/relationships/hyperlink" Id="rId315" Target="https://doi.org/10.1093/jamia/ocy052" TargetMode="External" /><Relationship Type="http://schemas.openxmlformats.org/officeDocument/2006/relationships/hyperlink" Id="rId181" Target="https://doi.org/10.1093/oxfordhb/9780190067991.013.9" TargetMode="External" /><Relationship Type="http://schemas.openxmlformats.org/officeDocument/2006/relationships/hyperlink" Id="rId256" Target="https://doi.org/10.1097/JTO.0b013e3181ec173d" TargetMode="External" /><Relationship Type="http://schemas.openxmlformats.org/officeDocument/2006/relationships/hyperlink" Id="rId297" Target="https://doi.org/10.1111/add.13479" TargetMode="External" /><Relationship Type="http://schemas.openxmlformats.org/officeDocument/2006/relationships/hyperlink" Id="rId166" Target="https://doi.org/10.1111/ajad.12784" TargetMode="External" /><Relationship Type="http://schemas.openxmlformats.org/officeDocument/2006/relationships/hyperlink" Id="rId313" Target="https://doi.org/10.1111/j.1530-0277.1984.tb05523.x" TargetMode="External" /><Relationship Type="http://schemas.openxmlformats.org/officeDocument/2006/relationships/hyperlink" Id="rId293" Target="https://doi.org/10.1111/j.1530-0277.2006.00263.x" TargetMode="External" /><Relationship Type="http://schemas.openxmlformats.org/officeDocument/2006/relationships/hyperlink" Id="rId291" Target="https://doi.org/10.1146/annurev-clinpsy-021815-093351" TargetMode="External" /><Relationship Type="http://schemas.openxmlformats.org/officeDocument/2006/relationships/hyperlink" Id="rId269" Target="https://doi.org/10.1146/annurev-clinpsy-032816-044949" TargetMode="External" /><Relationship Type="http://schemas.openxmlformats.org/officeDocument/2006/relationships/hyperlink" Id="rId208" Target="https://doi.org/10.1146/annurev-clinpsy-102419-125016" TargetMode="External" /><Relationship Type="http://schemas.openxmlformats.org/officeDocument/2006/relationships/hyperlink" Id="rId162" Target="https://doi.org/10.1146/annurev.clinpsy.3.022806.091455" TargetMode="External" /><Relationship Type="http://schemas.openxmlformats.org/officeDocument/2006/relationships/hyperlink" Id="rId168" Target="https://doi.org/10.1176/appi.ajp.2014.13081055" TargetMode="External" /><Relationship Type="http://schemas.openxmlformats.org/officeDocument/2006/relationships/hyperlink" Id="rId220" Target="https://doi.org/10.1176/appi.ajp.21090963" TargetMode="External" /><Relationship Type="http://schemas.openxmlformats.org/officeDocument/2006/relationships/hyperlink" Id="rId179" Target="https://doi.org/10.1176/ps.62.11.pss6211_1273" TargetMode="External" /><Relationship Type="http://schemas.openxmlformats.org/officeDocument/2006/relationships/hyperlink" Id="rId301" Target="https://doi.org/10.1177/1178221820976988" TargetMode="External" /><Relationship Type="http://schemas.openxmlformats.org/officeDocument/2006/relationships/hyperlink" Id="rId311" Target="https://doi.org/10.1177/17456916221134490" TargetMode="External" /><Relationship Type="http://schemas.openxmlformats.org/officeDocument/2006/relationships/hyperlink" Id="rId250" Target="https://doi.org/10.1214/17-EJS1338SI" TargetMode="External" /><Relationship Type="http://schemas.openxmlformats.org/officeDocument/2006/relationships/hyperlink" Id="rId288" Target="https://doi.org/10.1377/hlthaff.2011.0983" TargetMode="External" /><Relationship Type="http://schemas.openxmlformats.org/officeDocument/2006/relationships/hyperlink" Id="rId170" Target="https://doi.org/10.21231/GNT1-HW21" TargetMode="External" /><Relationship Type="http://schemas.openxmlformats.org/officeDocument/2006/relationships/hyperlink" Id="rId272" Target="https://doi.org/10.2196/29563" TargetMode="External" /><Relationship Type="http://schemas.openxmlformats.org/officeDocument/2006/relationships/hyperlink" Id="rId153" Target="https://doi.org/10.2196/39862" TargetMode="External" /><Relationship Type="http://schemas.openxmlformats.org/officeDocument/2006/relationships/hyperlink" Id="rId332" Target="https://doi.org/10.2196/41833" TargetMode="External" /><Relationship Type="http://schemas.openxmlformats.org/officeDocument/2006/relationships/hyperlink" Id="rId334" Target="https://doi.org/10.2196/81697" TargetMode="External" /><Relationship Type="http://schemas.openxmlformats.org/officeDocument/2006/relationships/hyperlink" Id="rId223" Target="https://doi.org/10.2196/mental.9777" TargetMode="External" /><Relationship Type="http://schemas.openxmlformats.org/officeDocument/2006/relationships/hyperlink" Id="rId336" Target="https://doi.org/10.2196/mhealth.9117" TargetMode="External" /><Relationship Type="http://schemas.openxmlformats.org/officeDocument/2006/relationships/hyperlink" Id="rId263" Target="https://doi.org/10.35946/arcr.v41.1.01" TargetMode="External" /><Relationship Type="http://schemas.openxmlformats.org/officeDocument/2006/relationships/hyperlink" Id="rId233" Target="https://doi.org/10/gfsjzg" TargetMode="External" /><Relationship Type="http://schemas.openxmlformats.org/officeDocument/2006/relationships/hyperlink" Id="rId198" Target="https://doi.org/10/ghqvcw" TargetMode="External" /><Relationship Type="http://schemas.openxmlformats.org/officeDocument/2006/relationships/hyperlink" Id="rId90"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9" Target="https://kendrapaquette.github.io/study_dissertation/notebooks\figures-preview.html#cell-fig-1-ema" TargetMode="External" /><Relationship Type="http://schemas.openxmlformats.org/officeDocument/2006/relationships/hyperlink" Id="rId69" Target="https://kendrapaquette.github.io/study_dissertation/notebooks\figures-preview.html#cell-fig-2-ema" TargetMode="External" /><Relationship Type="http://schemas.openxmlformats.org/officeDocument/2006/relationships/hyperlink" Id="rId123" Target="https://kendrapaquette.github.io/study_dissertation/notebooks\figures-preview.html#cell-fig-2-lag" TargetMode="External" /><Relationship Type="http://schemas.openxmlformats.org/officeDocument/2006/relationships/hyperlink" Id="rId76" Target="https://kendrapaquette.github.io/study_dissertation/notebooks\figures-preview.html#cell-fig-3-ema" TargetMode="External" /><Relationship Type="http://schemas.openxmlformats.org/officeDocument/2006/relationships/hyperlink" Id="rId135" Target="https://kendrapaquette.github.io/study_dissertation/notebooks\figures-preview.html#cell-fig-3-lag" TargetMode="External" /><Relationship Type="http://schemas.openxmlformats.org/officeDocument/2006/relationships/hyperlink" Id="rId102" Target="https://kendrapaquette.github.io/study_dissertation/notebooks\figures-preview.html#cell-fig-methods-lag" TargetMode="External" /><Relationship Type="http://schemas.openxmlformats.org/officeDocument/2006/relationships/hyperlink" Id="rId126" Target="https://kendrapaquette.github.io/study_dissertation/notebooks\tables-preview.html#cell-tbl-contrast-lag" TargetMode="External" /><Relationship Type="http://schemas.openxmlformats.org/officeDocument/2006/relationships/hyperlink" Id="rId51" Target="https://kendrapaquette.github.io/study_dissertation/notebooks\tables-preview.html#cell-tbl-dem" TargetMode="External" /><Relationship Type="http://schemas.openxmlformats.org/officeDocument/2006/relationships/hyperlink" Id="rId129" Target="https://kendrapaquette.github.io/study_dissertation/notebooks\tables-preview.html#cell-tbl-fairness" TargetMode="External" /><Relationship Type="http://schemas.openxmlformats.org/officeDocument/2006/relationships/hyperlink" Id="rId64"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9" Target="https://osf.io/xta67/" TargetMode="External" /><Relationship Type="http://schemas.openxmlformats.org/officeDocument/2006/relationships/hyperlink" Id="rId183" Target="https://www.ncbi.nlm.nih.gov/pmc/articles/PMC2797101" TargetMode="External" /><Relationship Type="http://schemas.openxmlformats.org/officeDocument/2006/relationships/hyperlink" Id="rId321" Target="https://www.ncbi.nlm.nih.gov/pubmed/12199834" TargetMode="External" /><Relationship Type="http://schemas.openxmlformats.org/officeDocument/2006/relationships/hyperlink" Id="rId274" Target="https://www.ncbi.nlm.nih.gov/pubmed/20669516" TargetMode="External" /><Relationship Type="http://schemas.openxmlformats.org/officeDocument/2006/relationships/hyperlink" Id="rId307"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06" Target="https://doi.org/10.1001/jama.2022.2847" TargetMode="External" /><Relationship Type="http://schemas.openxmlformats.org/officeDocument/2006/relationships/hyperlink" Id="rId265" Target="https://doi.org/10.1001/jama.284.13.1689" TargetMode="External" /><Relationship Type="http://schemas.openxmlformats.org/officeDocument/2006/relationships/hyperlink" Id="rId238" Target="https://doi.org/10.1001/jamanetworkopen.2020.5852" TargetMode="External" /><Relationship Type="http://schemas.openxmlformats.org/officeDocument/2006/relationships/hyperlink" Id="rId295" Target="https://doi.org/10.1001/jamapsychiatry.2013.4450" TargetMode="External" /><Relationship Type="http://schemas.openxmlformats.org/officeDocument/2006/relationships/hyperlink" Id="rId160" Target="https://doi.org/10.1001/jamapsychiatry.2013.4546" TargetMode="External" /><Relationship Type="http://schemas.openxmlformats.org/officeDocument/2006/relationships/hyperlink" Id="rId218" Target="https://doi.org/10.1001/jamapsychiatry.2013.4642" TargetMode="External" /><Relationship Type="http://schemas.openxmlformats.org/officeDocument/2006/relationships/hyperlink" Id="rId212" Target="https://doi.org/10.1001/jamapsychiatry.2015.0584" TargetMode="External" /><Relationship Type="http://schemas.openxmlformats.org/officeDocument/2006/relationships/hyperlink" Id="rId247" Target="https://doi.org/10.1007/978-1-4614-6849-3" TargetMode="External" /><Relationship Type="http://schemas.openxmlformats.org/officeDocument/2006/relationships/hyperlink" Id="rId177" Target="https://doi.org/10.1007/978-3-319-72206-1" TargetMode="External" /><Relationship Type="http://schemas.openxmlformats.org/officeDocument/2006/relationships/hyperlink" Id="rId157" Target="https://doi.org/10.1007/s10488-016-0718-5" TargetMode="External" /><Relationship Type="http://schemas.openxmlformats.org/officeDocument/2006/relationships/hyperlink" Id="rId240" Target="https://doi.org/10.1007/s11920-012-0296-5" TargetMode="External" /><Relationship Type="http://schemas.openxmlformats.org/officeDocument/2006/relationships/hyperlink" Id="rId150" Target="https://doi.org/10.1007/s40429-023-00492-5" TargetMode="External" /><Relationship Type="http://schemas.openxmlformats.org/officeDocument/2006/relationships/hyperlink" Id="rId155" Target="https://doi.org/10.1016/j.addbeh.2017.11.039" TargetMode="External" /><Relationship Type="http://schemas.openxmlformats.org/officeDocument/2006/relationships/hyperlink" Id="rId242" Target="https://doi.org/10.1016/j.amepre.2019.08.034" TargetMode="External" /><Relationship Type="http://schemas.openxmlformats.org/officeDocument/2006/relationships/hyperlink" Id="rId200" Target="https://doi.org/10.1016/j.brat.2019.01.010" TargetMode="External" /><Relationship Type="http://schemas.openxmlformats.org/officeDocument/2006/relationships/hyperlink" Id="rId186" Target="https://doi.org/10.1016/j.brat.2019.103506" TargetMode="External" /><Relationship Type="http://schemas.openxmlformats.org/officeDocument/2006/relationships/hyperlink" Id="rId244" Target="https://doi.org/10.1016/j.cger.2014.04.008" TargetMode="External" /><Relationship Type="http://schemas.openxmlformats.org/officeDocument/2006/relationships/hyperlink" Id="rId190" Target="https://doi.org/10.1016/j.cmpb.2016.09.016" TargetMode="External" /><Relationship Type="http://schemas.openxmlformats.org/officeDocument/2006/relationships/hyperlink" Id="rId317" Target="https://doi.org/10.1016/j.cpr.2005.11.003" TargetMode="External" /><Relationship Type="http://schemas.openxmlformats.org/officeDocument/2006/relationships/hyperlink" Id="rId326" Target="https://doi.org/10.1016/j.cpr.2007.01.002" TargetMode="External" /><Relationship Type="http://schemas.openxmlformats.org/officeDocument/2006/relationships/hyperlink" Id="rId261" Target="https://doi.org/10.1016/j.cpr.2017.10.012" TargetMode="External" /><Relationship Type="http://schemas.openxmlformats.org/officeDocument/2006/relationships/hyperlink" Id="rId214" Target="https://doi.org/10.1016/j.drugalcdep.2006.05.012" TargetMode="External" /><Relationship Type="http://schemas.openxmlformats.org/officeDocument/2006/relationships/hyperlink" Id="rId216" Target="https://doi.org/10.1016/j.drugalcdep.2013.07.027" TargetMode="External" /><Relationship Type="http://schemas.openxmlformats.org/officeDocument/2006/relationships/hyperlink" Id="rId175" Target="https://doi.org/10.1016/j.drugalcdep.2014.10.004" TargetMode="External" /><Relationship Type="http://schemas.openxmlformats.org/officeDocument/2006/relationships/hyperlink" Id="rId236" Target="https://doi.org/10.1016/j.drugalcdep.2016.10.038" TargetMode="External" /><Relationship Type="http://schemas.openxmlformats.org/officeDocument/2006/relationships/hyperlink" Id="rId281" Target="https://doi.org/10.1016/j.drugalcdep.2019.05.017" TargetMode="External" /><Relationship Type="http://schemas.openxmlformats.org/officeDocument/2006/relationships/hyperlink" Id="rId202" Target="https://doi.org/10.1016/j.drugalcdep.2020.108350" TargetMode="External" /><Relationship Type="http://schemas.openxmlformats.org/officeDocument/2006/relationships/hyperlink" Id="rId267" Target="https://doi.org/10.1016/j.drugalcdep.2021.108706" TargetMode="External" /><Relationship Type="http://schemas.openxmlformats.org/officeDocument/2006/relationships/hyperlink" Id="rId164" Target="https://doi.org/10.1016/j.drugalcdep.2022.109362" TargetMode="External" /><Relationship Type="http://schemas.openxmlformats.org/officeDocument/2006/relationships/hyperlink" Id="rId226" Target="https://doi.org/10.1016/j.josat.2025.209685" TargetMode="External" /><Relationship Type="http://schemas.openxmlformats.org/officeDocument/2006/relationships/hyperlink" Id="rId173" Target="https://doi.org/10.1016/j.jsat.2013.08.004" TargetMode="External" /><Relationship Type="http://schemas.openxmlformats.org/officeDocument/2006/relationships/hyperlink" Id="rId319" Target="https://doi.org/10.1016/j.jsat.2021.108417" TargetMode="External" /><Relationship Type="http://schemas.openxmlformats.org/officeDocument/2006/relationships/hyperlink" Id="rId276" Target="https://doi.org/10.1016/j.jsat.2021.108710" TargetMode="External" /><Relationship Type="http://schemas.openxmlformats.org/officeDocument/2006/relationships/hyperlink" Id="rId231" Target="https://doi.org/10.1023/A:1008987426876" TargetMode="External" /><Relationship Type="http://schemas.openxmlformats.org/officeDocument/2006/relationships/hyperlink" Id="rId283" Target="https://doi.org/10.1037/0003-066X.47.9.1102" TargetMode="External" /><Relationship Type="http://schemas.openxmlformats.org/officeDocument/2006/relationships/hyperlink" Id="rId324" Target="https://doi.org/10.1037/0003-066X.59.4.224" TargetMode="External" /><Relationship Type="http://schemas.openxmlformats.org/officeDocument/2006/relationships/hyperlink" Id="rId303" Target="https://doi.org/10.1037/0003-066X.60.4.340" TargetMode="External" /><Relationship Type="http://schemas.openxmlformats.org/officeDocument/2006/relationships/hyperlink" Id="rId192" Target="https://doi.org/10.1037/a0037157" TargetMode="External" /><Relationship Type="http://schemas.openxmlformats.org/officeDocument/2006/relationships/hyperlink" Id="rId196" Target="https://doi.org/10.1037/abn0000819" TargetMode="External" /><Relationship Type="http://schemas.openxmlformats.org/officeDocument/2006/relationships/hyperlink" Id="rId188" Target="https://doi.org/10.1037/adb0000292" TargetMode="External" /><Relationship Type="http://schemas.openxmlformats.org/officeDocument/2006/relationships/hyperlink" Id="rId286" Target="https://doi.org/10.1037/adb0000550" TargetMode="External" /><Relationship Type="http://schemas.openxmlformats.org/officeDocument/2006/relationships/hyperlink" Id="rId299" Target="https://doi.org/10.1037/adb0000666" TargetMode="External" /><Relationship Type="http://schemas.openxmlformats.org/officeDocument/2006/relationships/hyperlink" Id="rId330" Target="https://doi.org/10.1037/pas0000685" TargetMode="External" /><Relationship Type="http://schemas.openxmlformats.org/officeDocument/2006/relationships/hyperlink" Id="rId194" Target="https://doi.org/10.1037/pha0000210" TargetMode="External" /><Relationship Type="http://schemas.openxmlformats.org/officeDocument/2006/relationships/hyperlink" Id="rId278" Target="https://doi.org/10.1037/tps0000250" TargetMode="External" /><Relationship Type="http://schemas.openxmlformats.org/officeDocument/2006/relationships/hyperlink" Id="rId253" Target="https://doi.org/10.1080/00952990.2019.1694536" TargetMode="External" /><Relationship Type="http://schemas.openxmlformats.org/officeDocument/2006/relationships/hyperlink" Id="rId204" Target="https://doi.org/10.1080/10826084.2021.1899225" TargetMode="External" /><Relationship Type="http://schemas.openxmlformats.org/officeDocument/2006/relationships/hyperlink" Id="rId328" Target="https://doi.org/10.1080/14659891.2018.1523968" TargetMode="External" /><Relationship Type="http://schemas.openxmlformats.org/officeDocument/2006/relationships/hyperlink" Id="rId309" Target="https://doi.org/10.1080/19371918.2013.758975" TargetMode="External" /><Relationship Type="http://schemas.openxmlformats.org/officeDocument/2006/relationships/hyperlink" Id="rId315" Target="https://doi.org/10.1093/jamia/ocy052" TargetMode="External" /><Relationship Type="http://schemas.openxmlformats.org/officeDocument/2006/relationships/hyperlink" Id="rId181" Target="https://doi.org/10.1093/oxfordhb/9780190067991.013.9" TargetMode="External" /><Relationship Type="http://schemas.openxmlformats.org/officeDocument/2006/relationships/hyperlink" Id="rId256" Target="https://doi.org/10.1097/JTO.0b013e3181ec173d" TargetMode="External" /><Relationship Type="http://schemas.openxmlformats.org/officeDocument/2006/relationships/hyperlink" Id="rId297" Target="https://doi.org/10.1111/add.13479" TargetMode="External" /><Relationship Type="http://schemas.openxmlformats.org/officeDocument/2006/relationships/hyperlink" Id="rId166" Target="https://doi.org/10.1111/ajad.12784" TargetMode="External" /><Relationship Type="http://schemas.openxmlformats.org/officeDocument/2006/relationships/hyperlink" Id="rId313" Target="https://doi.org/10.1111/j.1530-0277.1984.tb05523.x" TargetMode="External" /><Relationship Type="http://schemas.openxmlformats.org/officeDocument/2006/relationships/hyperlink" Id="rId293" Target="https://doi.org/10.1111/j.1530-0277.2006.00263.x" TargetMode="External" /><Relationship Type="http://schemas.openxmlformats.org/officeDocument/2006/relationships/hyperlink" Id="rId291" Target="https://doi.org/10.1146/annurev-clinpsy-021815-093351" TargetMode="External" /><Relationship Type="http://schemas.openxmlformats.org/officeDocument/2006/relationships/hyperlink" Id="rId269" Target="https://doi.org/10.1146/annurev-clinpsy-032816-044949" TargetMode="External" /><Relationship Type="http://schemas.openxmlformats.org/officeDocument/2006/relationships/hyperlink" Id="rId208" Target="https://doi.org/10.1146/annurev-clinpsy-102419-125016" TargetMode="External" /><Relationship Type="http://schemas.openxmlformats.org/officeDocument/2006/relationships/hyperlink" Id="rId162" Target="https://doi.org/10.1146/annurev.clinpsy.3.022806.091455" TargetMode="External" /><Relationship Type="http://schemas.openxmlformats.org/officeDocument/2006/relationships/hyperlink" Id="rId168" Target="https://doi.org/10.1176/appi.ajp.2014.13081055" TargetMode="External" /><Relationship Type="http://schemas.openxmlformats.org/officeDocument/2006/relationships/hyperlink" Id="rId220" Target="https://doi.org/10.1176/appi.ajp.21090963" TargetMode="External" /><Relationship Type="http://schemas.openxmlformats.org/officeDocument/2006/relationships/hyperlink" Id="rId179" Target="https://doi.org/10.1176/ps.62.11.pss6211_1273" TargetMode="External" /><Relationship Type="http://schemas.openxmlformats.org/officeDocument/2006/relationships/hyperlink" Id="rId301" Target="https://doi.org/10.1177/1178221820976988" TargetMode="External" /><Relationship Type="http://schemas.openxmlformats.org/officeDocument/2006/relationships/hyperlink" Id="rId311" Target="https://doi.org/10.1177/17456916221134490" TargetMode="External" /><Relationship Type="http://schemas.openxmlformats.org/officeDocument/2006/relationships/hyperlink" Id="rId250" Target="https://doi.org/10.1214/17-EJS1338SI" TargetMode="External" /><Relationship Type="http://schemas.openxmlformats.org/officeDocument/2006/relationships/hyperlink" Id="rId288" Target="https://doi.org/10.1377/hlthaff.2011.0983" TargetMode="External" /><Relationship Type="http://schemas.openxmlformats.org/officeDocument/2006/relationships/hyperlink" Id="rId170" Target="https://doi.org/10.21231/GNT1-HW21" TargetMode="External" /><Relationship Type="http://schemas.openxmlformats.org/officeDocument/2006/relationships/hyperlink" Id="rId272" Target="https://doi.org/10.2196/29563" TargetMode="External" /><Relationship Type="http://schemas.openxmlformats.org/officeDocument/2006/relationships/hyperlink" Id="rId153" Target="https://doi.org/10.2196/39862" TargetMode="External" /><Relationship Type="http://schemas.openxmlformats.org/officeDocument/2006/relationships/hyperlink" Id="rId332" Target="https://doi.org/10.2196/41833" TargetMode="External" /><Relationship Type="http://schemas.openxmlformats.org/officeDocument/2006/relationships/hyperlink" Id="rId334" Target="https://doi.org/10.2196/81697" TargetMode="External" /><Relationship Type="http://schemas.openxmlformats.org/officeDocument/2006/relationships/hyperlink" Id="rId223" Target="https://doi.org/10.2196/mental.9777" TargetMode="External" /><Relationship Type="http://schemas.openxmlformats.org/officeDocument/2006/relationships/hyperlink" Id="rId336" Target="https://doi.org/10.2196/mhealth.9117" TargetMode="External" /><Relationship Type="http://schemas.openxmlformats.org/officeDocument/2006/relationships/hyperlink" Id="rId263" Target="https://doi.org/10.35946/arcr.v41.1.01" TargetMode="External" /><Relationship Type="http://schemas.openxmlformats.org/officeDocument/2006/relationships/hyperlink" Id="rId233" Target="https://doi.org/10/gfsjzg" TargetMode="External" /><Relationship Type="http://schemas.openxmlformats.org/officeDocument/2006/relationships/hyperlink" Id="rId198" Target="https://doi.org/10/ghqvcw" TargetMode="External" /><Relationship Type="http://schemas.openxmlformats.org/officeDocument/2006/relationships/hyperlink" Id="rId90"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9" Target="https://kendrapaquette.github.io/study_dissertation/notebooks\figures-preview.html#cell-fig-1-ema" TargetMode="External" /><Relationship Type="http://schemas.openxmlformats.org/officeDocument/2006/relationships/hyperlink" Id="rId69" Target="https://kendrapaquette.github.io/study_dissertation/notebooks\figures-preview.html#cell-fig-2-ema" TargetMode="External" /><Relationship Type="http://schemas.openxmlformats.org/officeDocument/2006/relationships/hyperlink" Id="rId123" Target="https://kendrapaquette.github.io/study_dissertation/notebooks\figures-preview.html#cell-fig-2-lag" TargetMode="External" /><Relationship Type="http://schemas.openxmlformats.org/officeDocument/2006/relationships/hyperlink" Id="rId76" Target="https://kendrapaquette.github.io/study_dissertation/notebooks\figures-preview.html#cell-fig-3-ema" TargetMode="External" /><Relationship Type="http://schemas.openxmlformats.org/officeDocument/2006/relationships/hyperlink" Id="rId135" Target="https://kendrapaquette.github.io/study_dissertation/notebooks\figures-preview.html#cell-fig-3-lag" TargetMode="External" /><Relationship Type="http://schemas.openxmlformats.org/officeDocument/2006/relationships/hyperlink" Id="rId102" Target="https://kendrapaquette.github.io/study_dissertation/notebooks\figures-preview.html#cell-fig-methods-lag" TargetMode="External" /><Relationship Type="http://schemas.openxmlformats.org/officeDocument/2006/relationships/hyperlink" Id="rId126" Target="https://kendrapaquette.github.io/study_dissertation/notebooks\tables-preview.html#cell-tbl-contrast-lag" TargetMode="External" /><Relationship Type="http://schemas.openxmlformats.org/officeDocument/2006/relationships/hyperlink" Id="rId51" Target="https://kendrapaquette.github.io/study_dissertation/notebooks\tables-preview.html#cell-tbl-dem" TargetMode="External" /><Relationship Type="http://schemas.openxmlformats.org/officeDocument/2006/relationships/hyperlink" Id="rId129" Target="https://kendrapaquette.github.io/study_dissertation/notebooks\tables-preview.html#cell-tbl-fairness" TargetMode="External" /><Relationship Type="http://schemas.openxmlformats.org/officeDocument/2006/relationships/hyperlink" Id="rId64"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9" Target="https://osf.io/xta67/" TargetMode="External" /><Relationship Type="http://schemas.openxmlformats.org/officeDocument/2006/relationships/hyperlink" Id="rId183" Target="https://www.ncbi.nlm.nih.gov/pmc/articles/PMC2797101" TargetMode="External" /><Relationship Type="http://schemas.openxmlformats.org/officeDocument/2006/relationships/hyperlink" Id="rId321" Target="https://www.ncbi.nlm.nih.gov/pubmed/12199834" TargetMode="External" /><Relationship Type="http://schemas.openxmlformats.org/officeDocument/2006/relationships/hyperlink" Id="rId274" Target="https://www.ncbi.nlm.nih.gov/pubmed/20669516" TargetMode="External" /><Relationship Type="http://schemas.openxmlformats.org/officeDocument/2006/relationships/hyperlink" Id="rId307"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2026-03-25T13:04:07Z</dcterms:created>
  <dcterms:modified xsi:type="dcterms:W3CDTF">2026-03-25T13:04:07Z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2026-03-25</vt:lpwstr>
  </property>
  <property fmtid="{D5CDD505-2E9C-101B-9397-08002B2CF9AE}" pid="9" name="editor_option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subtitle">
    <vt:lpwstr>Predicting Lapse Risk in Substance Use Disorders Using Machine Learning</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