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w:t>
      </w:r>
      <w:r>
        <w:t xml:space="preserve"> </w:t>
      </w:r>
      <w:r>
        <w:t xml:space="preserve">Predictions</w:t>
      </w:r>
      <w:r>
        <w:t xml:space="preserve"> </w:t>
      </w:r>
      <w:r>
        <w:t xml:space="preserve">of</w:t>
      </w:r>
      <w:r>
        <w:t xml:space="preserve"> </w:t>
      </w:r>
      <w:r>
        <w:t xml:space="preserve">Next</w:t>
      </w:r>
      <w:r>
        <w:t xml:space="preserve"> </w:t>
      </w:r>
      <w:r>
        <w:t xml:space="preserve">Week</w:t>
      </w:r>
      <w:r>
        <w:t xml:space="preserve"> </w:t>
      </w:r>
      <w:r>
        <w:t xml:space="preserve">Alcohol</w:t>
      </w:r>
      <w:r>
        <w:t xml:space="preserve"> </w:t>
      </w:r>
      <w:r>
        <w:t xml:space="preserve">Use</w:t>
      </w:r>
      <w:r>
        <w:t xml:space="preserve"> </w:t>
      </w:r>
      <w:r>
        <w:t xml:space="preserve">for</w:t>
      </w:r>
      <w:r>
        <w:t xml:space="preserve"> </w:t>
      </w:r>
      <w:r>
        <w:t xml:space="preserve">Precision</w:t>
      </w:r>
      <w:r>
        <w:t xml:space="preserve"> </w:t>
      </w:r>
      <w:r>
        <w:t xml:space="preserve">Mental</w:t>
      </w:r>
      <w:r>
        <w:t xml:space="preserve"> </w:t>
      </w:r>
      <w:r>
        <w:t xml:space="preserve">Health</w:t>
      </w:r>
      <w:r>
        <w:t xml:space="preserve"> </w:t>
      </w:r>
      <w:r>
        <w:t xml:space="preserve">Support</w:t>
      </w:r>
    </w:p>
    <w:p>
      <w:pPr>
        <w:pStyle w:val="Author"/>
      </w:pPr>
      <w:r>
        <w:t xml:space="preserve">Kendra</w:t>
      </w:r>
      <w:r>
        <w:t xml:space="preserve"> </w:t>
      </w:r>
      <w:r>
        <w:t xml:space="preserve">Wyant</w:t>
      </w:r>
    </w:p>
    <w:p>
      <w:pPr>
        <w:pStyle w:val="Author"/>
      </w:pPr>
      <w:r>
        <w:t xml:space="preserve">Gaylen</w:t>
      </w:r>
      <w:r>
        <w:t xml:space="preserve"> </w:t>
      </w:r>
      <w:r>
        <w:t xml:space="preserve">E.</w:t>
      </w:r>
      <w:r>
        <w:t xml:space="preserve"> </w:t>
      </w:r>
      <w:r>
        <w:t xml:space="preserve">Fronk</w:t>
      </w:r>
    </w:p>
    <w:p>
      <w:pPr>
        <w:pStyle w:val="Author"/>
      </w:pPr>
      <w:r>
        <w:t xml:space="preserve">Jiachen</w:t>
      </w:r>
      <w:r>
        <w:t xml:space="preserve"> </w:t>
      </w:r>
      <w:r>
        <w:t xml:space="preserve">Yu</w:t>
      </w:r>
    </w:p>
    <w:p>
      <w:pPr>
        <w:pStyle w:val="Author"/>
      </w:pPr>
      <w:r>
        <w:t xml:space="preserve">John</w:t>
      </w:r>
      <w:r>
        <w:t xml:space="preserve"> </w:t>
      </w:r>
      <w:r>
        <w:t xml:space="preserve">J.</w:t>
      </w:r>
      <w:r>
        <w:t xml:space="preserve"> </w:t>
      </w:r>
      <w:r>
        <w:t xml:space="preserve">Curtin</w:t>
      </w:r>
    </w:p>
    <w:p>
      <w:pPr>
        <w:pStyle w:val="Date"/>
      </w:pPr>
      <w:r>
        <w:t xml:space="preserve">2024-12-15</w:t>
      </w:r>
    </w:p>
    <w:p>
      <w:pPr>
        <w:pStyle w:val="AbstractTitle"/>
      </w:pPr>
      <w:r>
        <w:t xml:space="preserve">Abstract</w:t>
      </w:r>
    </w:p>
    <w:p>
      <w:pPr>
        <w:pStyle w:val="Abstract"/>
      </w:pPr>
      <w:r>
        <w:t xml:space="preserve">We</w:t>
      </w:r>
      <w:r>
        <w:t xml:space="preserve"> </w:t>
      </w:r>
      <w:r>
        <w:t xml:space="preserve">evaluated</w:t>
      </w:r>
      <w:r>
        <w:t xml:space="preserve"> </w:t>
      </w:r>
      <w:r>
        <w:t xml:space="preserve">the</w:t>
      </w:r>
      <w:r>
        <w:t xml:space="preserve"> </w:t>
      </w:r>
      <w:r>
        <w:t xml:space="preserve">performance</w:t>
      </w:r>
      <w:r>
        <w:t xml:space="preserve"> </w:t>
      </w:r>
      <w:r>
        <w:t xml:space="preserve">of</w:t>
      </w:r>
      <w:r>
        <w:t xml:space="preserve"> </w:t>
      </w:r>
      <w:r>
        <w:t xml:space="preserve">a</w:t>
      </w:r>
      <w:r>
        <w:t xml:space="preserve"> </w:t>
      </w:r>
      <w:r>
        <w:t xml:space="preserve">model</w:t>
      </w:r>
      <w:r>
        <w:t xml:space="preserve"> </w:t>
      </w:r>
      <w:r>
        <w:t xml:space="preserve">predicting</w:t>
      </w:r>
      <w:r>
        <w:t xml:space="preserve"> </w:t>
      </w:r>
      <w:r>
        <w:t xml:space="preserve">immediate</w:t>
      </w:r>
      <w:r>
        <w:t xml:space="preserve"> </w:t>
      </w:r>
      <w:r>
        <w:t xml:space="preserve">alcohol</w:t>
      </w:r>
      <w:r>
        <w:t xml:space="preserve"> </w:t>
      </w:r>
      <w:r>
        <w:t xml:space="preserve">lapses</w:t>
      </w:r>
      <w:r>
        <w:t xml:space="preserve"> </w:t>
      </w:r>
      <w:r>
        <w:t xml:space="preserve">and</w:t>
      </w:r>
      <w:r>
        <w:t xml:space="preserve"> </w:t>
      </w:r>
      <w:r>
        <w:t xml:space="preserve">models</w:t>
      </w:r>
      <w:r>
        <w:t xml:space="preserve"> </w:t>
      </w:r>
      <w:r>
        <w:t xml:space="preserve">with</w:t>
      </w:r>
      <w:r>
        <w:t xml:space="preserve"> </w:t>
      </w:r>
      <w:r>
        <w:t xml:space="preserve">increasing</w:t>
      </w:r>
      <w:r>
        <w:t xml:space="preserve"> </w:t>
      </w:r>
      <w:r>
        <w:t xml:space="preserve">lag</w:t>
      </w:r>
      <w:r>
        <w:t xml:space="preserve"> </w:t>
      </w:r>
      <w:r>
        <w:t xml:space="preserve">time</w:t>
      </w:r>
      <w:r>
        <w:t xml:space="preserve"> </w:t>
      </w:r>
      <w:r>
        <w:t xml:space="preserve">between</w:t>
      </w:r>
      <w:r>
        <w:t xml:space="preserve"> </w:t>
      </w:r>
      <w:r>
        <w:t xml:space="preserve">the</w:t>
      </w:r>
      <w:r>
        <w:t xml:space="preserve"> </w:t>
      </w:r>
      <w:r>
        <w:t xml:space="preserve">prediction</w:t>
      </w:r>
      <w:r>
        <w:t xml:space="preserve"> </w:t>
      </w:r>
      <w:r>
        <w:t xml:space="preserve">time</w:t>
      </w:r>
      <w:r>
        <w:t xml:space="preserve"> </w:t>
      </w:r>
      <w:r>
        <w:t xml:space="preserve">points</w:t>
      </w:r>
      <w:r>
        <w:t xml:space="preserve"> </w:t>
      </w:r>
      <w:r>
        <w:t xml:space="preserve">and</w:t>
      </w:r>
      <w:r>
        <w:t xml:space="preserve"> </w:t>
      </w:r>
      <w:r>
        <w:t xml:space="preserve">start</w:t>
      </w:r>
      <w:r>
        <w:t xml:space="preserve"> </w:t>
      </w:r>
      <w:r>
        <w:t xml:space="preserve">of</w:t>
      </w:r>
      <w:r>
        <w:t xml:space="preserve"> </w:t>
      </w:r>
      <w:r>
        <w:t xml:space="preserve">the</w:t>
      </w:r>
      <w:r>
        <w:t xml:space="preserve"> </w:t>
      </w:r>
      <w:r>
        <w:t xml:space="preserve">prediction</w:t>
      </w:r>
      <w:r>
        <w:t xml:space="preserve"> </w:t>
      </w:r>
      <w:r>
        <w:t xml:space="preserve">window</w:t>
      </w:r>
      <w:r>
        <w:t xml:space="preserve"> </w:t>
      </w:r>
      <w:r>
        <w:t xml:space="preserve">(24,</w:t>
      </w:r>
      <w:r>
        <w:t xml:space="preserve"> </w:t>
      </w:r>
      <w:r>
        <w:t xml:space="preserve">72,</w:t>
      </w:r>
      <w:r>
        <w:t xml:space="preserve"> </w:t>
      </w:r>
      <w:r>
        <w:t xml:space="preserve">168,</w:t>
      </w:r>
      <w:r>
        <w:t xml:space="preserve"> </w:t>
      </w:r>
      <w:r>
        <w:t xml:space="preserve">or</w:t>
      </w:r>
      <w:r>
        <w:t xml:space="preserve"> </w:t>
      </w:r>
      <w:r>
        <w:t xml:space="preserve">336</w:t>
      </w:r>
      <w:r>
        <w:t xml:space="preserve"> </w:t>
      </w:r>
      <w:r>
        <w:t xml:space="preserve">hour</w:t>
      </w:r>
      <w:r>
        <w:t xml:space="preserve"> </w:t>
      </w:r>
      <w:r>
        <w:t xml:space="preserve">lag).</w:t>
      </w:r>
      <w:r>
        <w:t xml:space="preserve"> </w:t>
      </w:r>
      <w:r>
        <w:t xml:space="preserve">Model</w:t>
      </w:r>
      <w:r>
        <w:t xml:space="preserve"> </w:t>
      </w:r>
      <w:r>
        <w:t xml:space="preserve">features</w:t>
      </w:r>
      <w:r>
        <w:t xml:space="preserve"> </w:t>
      </w:r>
      <w:r>
        <w:t xml:space="preserve">were</w:t>
      </w:r>
      <w:r>
        <w:t xml:space="preserve"> </w:t>
      </w:r>
      <w:r>
        <w:t xml:space="preserve">engineered</w:t>
      </w:r>
      <w:r>
        <w:t xml:space="preserve"> </w:t>
      </w:r>
      <w:r>
        <w:t xml:space="preserve">from</w:t>
      </w:r>
      <w:r>
        <w:t xml:space="preserve"> </w:t>
      </w:r>
      <w:r>
        <w:t xml:space="preserve">4x</w:t>
      </w:r>
      <w:r>
        <w:t xml:space="preserve"> </w:t>
      </w:r>
      <w:r>
        <w:t xml:space="preserve">daily</w:t>
      </w:r>
      <w:r>
        <w:t xml:space="preserve"> </w:t>
      </w:r>
      <w:r>
        <w:t xml:space="preserve">ecological</w:t>
      </w:r>
      <w:r>
        <w:t xml:space="preserve"> </w:t>
      </w:r>
      <w:r>
        <w:t xml:space="preserve">momentary</w:t>
      </w:r>
      <w:r>
        <w:t xml:space="preserve"> </w:t>
      </w:r>
      <w:r>
        <w:t xml:space="preserve">assessment.</w:t>
      </w:r>
      <w:r>
        <w:t xml:space="preserve"> </w:t>
      </w:r>
      <w:r>
        <w:t xml:space="preserve">Participants</w:t>
      </w:r>
      <w:r>
        <w:t xml:space="preserve"> </w:t>
      </w:r>
      <w:r>
        <w:t xml:space="preserve">(N</w:t>
      </w:r>
      <w:r>
        <w:t xml:space="preserve"> </w:t>
      </w:r>
      <w:r>
        <w:t xml:space="preserve">=151;</w:t>
      </w:r>
      <w:r>
        <w:t xml:space="preserve"> </w:t>
      </w:r>
      <w:r>
        <w:t xml:space="preserve">51%</w:t>
      </w:r>
      <w:r>
        <w:t xml:space="preserve"> </w:t>
      </w:r>
      <w:r>
        <w:t xml:space="preserve">male;</w:t>
      </w:r>
      <w:r>
        <w:t xml:space="preserve"> </w:t>
      </w:r>
      <w:r>
        <w:t xml:space="preserve">mean</w:t>
      </w:r>
      <w:r>
        <w:t xml:space="preserve"> </w:t>
      </w:r>
      <w:r>
        <w:t xml:space="preserve">age=</w:t>
      </w:r>
      <w:r>
        <w:t xml:space="preserve"> </w:t>
      </w:r>
      <w:r>
        <w:t xml:space="preserve">41;</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were</w:t>
      </w:r>
      <w:r>
        <w:t xml:space="preserve"> </w:t>
      </w:r>
      <w:r>
        <w:t xml:space="preserve">in</w:t>
      </w:r>
      <w:r>
        <w:t xml:space="preserve"> </w:t>
      </w:r>
      <w:r>
        <w:t xml:space="preserve">early</w:t>
      </w:r>
      <w:r>
        <w:t xml:space="preserve"> </w:t>
      </w:r>
      <w:r>
        <w:t xml:space="preserve">recovery</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and</w:t>
      </w:r>
      <w:r>
        <w:t xml:space="preserve"> </w:t>
      </w:r>
      <w:r>
        <w:t xml:space="preserve">provided</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We</w:t>
      </w:r>
      <w:r>
        <w:t xml:space="preserve"> </w:t>
      </w:r>
      <w:r>
        <w:t xml:space="preserve">used</w:t>
      </w:r>
      <w:r>
        <w:t xml:space="preserve"> </w:t>
      </w:r>
      <w:r>
        <w:t xml:space="preserve">nested</w:t>
      </w:r>
      <w:r>
        <w:t xml:space="preserve"> </w:t>
      </w:r>
      <w:r>
        <w:t xml:space="preserve">cross-validation</w:t>
      </w:r>
      <w:r>
        <w:t xml:space="preserve"> </w:t>
      </w:r>
      <w:r>
        <w:t xml:space="preserve">to</w:t>
      </w:r>
      <w:r>
        <w:t xml:space="preserve"> </w:t>
      </w:r>
      <w:r>
        <w:t xml:space="preserve">select</w:t>
      </w:r>
      <w:r>
        <w:t xml:space="preserve"> </w:t>
      </w:r>
      <w:r>
        <w:t xml:space="preserve">and</w:t>
      </w:r>
      <w:r>
        <w:t xml:space="preserve"> </w:t>
      </w:r>
      <w:r>
        <w:t xml:space="preserve">evaluate</w:t>
      </w:r>
      <w:r>
        <w:t xml:space="preserve"> </w:t>
      </w:r>
      <w:r>
        <w:t xml:space="preserve">the</w:t>
      </w:r>
      <w:r>
        <w:t xml:space="preserve"> </w:t>
      </w:r>
      <w:r>
        <w:t xml:space="preserve">best</w:t>
      </w:r>
      <w:r>
        <w:t xml:space="preserve"> </w:t>
      </w:r>
      <w:r>
        <w:t xml:space="preserve">models.</w:t>
      </w:r>
      <w:r>
        <w:t xml:space="preserve"> </w:t>
      </w:r>
      <w:r>
        <w:t xml:space="preserve">Median</w:t>
      </w:r>
      <w:r>
        <w:t xml:space="preserve"> </w:t>
      </w:r>
      <w:r>
        <w:t xml:space="preserve">auROCs</w:t>
      </w:r>
      <w:r>
        <w:t xml:space="preserve"> </w:t>
      </w:r>
      <w:r>
        <w:t xml:space="preserve">were</w:t>
      </w:r>
      <w:r>
        <w:t xml:space="preserve"> </w:t>
      </w:r>
      <w:r>
        <w:t xml:space="preserve">high</w:t>
      </w:r>
      <w:r>
        <w:t xml:space="preserve"> </w:t>
      </w:r>
      <w:r>
        <w:t xml:space="preserve">across</w:t>
      </w:r>
      <w:r>
        <w:t xml:space="preserve"> </w:t>
      </w:r>
      <w:r>
        <w:t xml:space="preserve">models</w:t>
      </w:r>
      <w:r>
        <w:t xml:space="preserve"> </w:t>
      </w:r>
      <w:r>
        <w:t xml:space="preserve">(range</w:t>
      </w:r>
      <w:r>
        <w:t xml:space="preserve"> </w:t>
      </w:r>
      <w:r>
        <w:t xml:space="preserve">=</w:t>
      </w:r>
      <w:r>
        <w:t xml:space="preserve"> </w:t>
      </w:r>
      <w:r>
        <w:t xml:space="preserve">0.85</w:t>
      </w:r>
      <w:r>
        <w:t xml:space="preserve"> </w:t>
      </w:r>
      <w:r>
        <w:t xml:space="preserve">–</w:t>
      </w:r>
      <w:r>
        <w:t xml:space="preserve"> </w:t>
      </w:r>
      <w:r>
        <w:t xml:space="preserve">0.89).</w:t>
      </w:r>
      <w:r>
        <w:t xml:space="preserve"> </w:t>
      </w:r>
      <w:r>
        <w:t xml:space="preserve">All</w:t>
      </w:r>
      <w:r>
        <w:t xml:space="preserve"> </w:t>
      </w:r>
      <w:r>
        <w:t xml:space="preserve">lagged</w:t>
      </w:r>
      <w:r>
        <w:t xml:space="preserve"> </w:t>
      </w:r>
      <w:r>
        <w:t xml:space="preserve">models</w:t>
      </w:r>
      <w:r>
        <w:t xml:space="preserve"> </w:t>
      </w:r>
      <w:r>
        <w:t xml:space="preserve">performed</w:t>
      </w:r>
      <w:r>
        <w:t xml:space="preserve"> </w:t>
      </w:r>
      <w:r>
        <w:t xml:space="preserve">worse</w:t>
      </w:r>
      <w:r>
        <w:t xml:space="preserve"> </w:t>
      </w:r>
      <w:r>
        <w:t xml:space="preserve">than</w:t>
      </w:r>
      <w:r>
        <w:t xml:space="preserve"> </w:t>
      </w:r>
      <w:r>
        <w:t xml:space="preserve">the</w:t>
      </w:r>
      <w:r>
        <w:t xml:space="preserve"> </w:t>
      </w:r>
      <w:r>
        <w:t xml:space="preserve">0</w:t>
      </w:r>
      <w:r>
        <w:t xml:space="preserve"> </w:t>
      </w:r>
      <w:r>
        <w:t xml:space="preserve">lag</w:t>
      </w:r>
      <w:r>
        <w:t xml:space="preserve"> </w:t>
      </w:r>
      <w:r>
        <w:t xml:space="preserve">model</w:t>
      </w:r>
      <w:r>
        <w:t xml:space="preserve"> </w:t>
      </w:r>
      <w:r>
        <w:t xml:space="preserve">(probabilities</w:t>
      </w:r>
      <w:r>
        <w:t xml:space="preserve"> </w:t>
      </w:r>
      <w:r>
        <w:t xml:space="preserve">&gt;</w:t>
      </w:r>
      <w:r>
        <w:t xml:space="preserve"> </w:t>
      </w:r>
      <w:r>
        <w:t xml:space="preserve">.95).</w:t>
      </w:r>
      <w:r>
        <w:t xml:space="preserve"> </w:t>
      </w:r>
      <w:r>
        <w:t xml:space="preserve">All</w:t>
      </w:r>
      <w:r>
        <w:t xml:space="preserve"> </w:t>
      </w:r>
      <w:r>
        <w:t xml:space="preserve">models</w:t>
      </w:r>
      <w:r>
        <w:t xml:space="preserve"> </w:t>
      </w:r>
      <w:r>
        <w:t xml:space="preserve">performed</w:t>
      </w:r>
      <w:r>
        <w:t xml:space="preserve"> </w:t>
      </w:r>
      <w:r>
        <w:t xml:space="preserve">worse</w:t>
      </w:r>
      <w:r>
        <w:t xml:space="preserve"> </w:t>
      </w:r>
      <w:r>
        <w:t xml:space="preserve">for</w:t>
      </w:r>
      <w:r>
        <w:t xml:space="preserve"> </w:t>
      </w:r>
      <w:r>
        <w:t xml:space="preserve">disadvantaged</w:t>
      </w:r>
      <w:r>
        <w:t xml:space="preserve"> </w:t>
      </w:r>
      <w:r>
        <w:t xml:space="preserve">groups</w:t>
      </w:r>
      <w:r>
        <w:t xml:space="preserve"> </w:t>
      </w:r>
      <w:r>
        <w:t xml:space="preserve">(not</w:t>
      </w:r>
      <w:r>
        <w:t xml:space="preserve"> </w:t>
      </w:r>
      <w:r>
        <w:t xml:space="preserve">White</w:t>
      </w:r>
      <w:r>
        <w:t xml:space="preserve"> </w:t>
      </w:r>
      <w:r>
        <w:t xml:space="preserve">vs. non-Hispanic</w:t>
      </w:r>
      <w:r>
        <w:t xml:space="preserve"> </w:t>
      </w:r>
      <w:r>
        <w:t xml:space="preserve">White,</w:t>
      </w:r>
      <w:r>
        <w:t xml:space="preserve"> </w:t>
      </w:r>
      <w:r>
        <w:t xml:space="preserve">below</w:t>
      </w:r>
      <w:r>
        <w:t xml:space="preserve"> </w:t>
      </w:r>
      <w:r>
        <w:t xml:space="preserve">poverty</w:t>
      </w:r>
      <w:r>
        <w:t xml:space="preserve"> </w:t>
      </w:r>
      <w:r>
        <w:t xml:space="preserve">vs. above</w:t>
      </w:r>
      <w:r>
        <w:t xml:space="preserve"> </w:t>
      </w:r>
      <w:r>
        <w:t xml:space="preserve">poverty,</w:t>
      </w:r>
      <w:r>
        <w:t xml:space="preserve"> </w:t>
      </w:r>
      <w:r>
        <w:t xml:space="preserve">female</w:t>
      </w:r>
      <w:r>
        <w:t xml:space="preserve"> </w:t>
      </w:r>
      <w:r>
        <w:t xml:space="preserve">vs. male).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3"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 substantial co-morbidity with other physical and mental health problems[</w:t>
      </w:r>
      <w:r>
        <w:t xml:space="preserve">], and an increased risk of mortality</w:t>
      </w:r>
      <w:r>
        <w:t xml:space="preserve"> </w:t>
      </w:r>
      <w:r>
        <w:t xml:space="preserve">(Dennis and Scott 2007)</w:t>
      </w:r>
      <w:r>
        <w:t xml:space="preserve">. Too few individuals receive medications or clinician-delivered interventions to help them initially achieve abstinence and/or reduce harms associated with their use [</w:t>
      </w:r>
      <w:r>
        <w:t xml:space="preserve">. Yet, this problem is even worse for subsequent continuing care during recovery. Continuing care, including both risk monitoring and ongoing support is the gold standard for managing chronic health conditions such as diabetes, asthma, and HIV. Yet, continuing care for substance use disorders is largely lacking</w:t>
      </w:r>
      <w:r>
        <w:t xml:space="preserve"> </w:t>
      </w:r>
      <w:r>
        <w:t xml:space="preserve">(SAMHSA Center for Behavioral Health Statistics and Quality 2021; Stanojlović and Davidson 2021; Socías, Volkow, and Wood 2016)</w:t>
      </w:r>
      <w:r>
        <w:t xml:space="preserve">.</w:t>
      </w:r>
    </w:p>
    <w:p>
      <w:pPr>
        <w:pStyle w:val="BodyText"/>
      </w:pPr>
      <w:r>
        <w:t xml:space="preserve">The risk factors that instigate lapses (i.e. goal-inconsistent use) and full relapse to problematic use are individualized, numerous, dynamic, interactive, and non-linear [</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treatment to the right individual at the right time, every time [</w:t>
      </w:r>
      <w:r>
        <w:t xml:space="preserve">]. Of course, to be successful, a precision mental health approach to continuing care</w:t>
      </w:r>
    </w:p>
    <w:bookmarkStart w:id="21" w:name="previous-work"/>
    <w:p>
      <w:pPr>
        <w:pStyle w:val="Heading2"/>
      </w:pPr>
      <w:r>
        <w:t xml:space="preserve">Previous Work</w:t>
      </w:r>
    </w:p>
    <w:p>
      <w:pPr>
        <w:pStyle w:val="FirstParagraph"/>
      </w:pPr>
      <w:r>
        <w:t xml:space="preserve">Recent advances in both machine learning and personal sensing may address these barriers to successful precision mental health. Machine learning can handle large sets of features and non-linear and interactive relationships between these features. As a result models better represent the nuanced complexity of mental health conditions. Moreover, machine learning tools can help understand which factors are important to a specific individual at a specific moment in time, addressing the question of</w:t>
      </w:r>
      <w:r>
        <w:t xml:space="preserve"> </w:t>
      </w:r>
      <w:r>
        <w:rPr>
          <w:i/>
          <w:iCs/>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
          <w:iCs/>
        </w:rPr>
        <w:t xml:space="preserve">when</w:t>
      </w:r>
      <w:r>
        <w:t xml:space="preserve">. This precision is particularly important for predicting discrete symptoms or behaviors. It would be unreasonable to expect that we could predict a lapse with any temporal precision using only demographic and baseline characteristics that become more distal as time progresses. Rather, lapse prediction requires dense, long-term monitoring of symptoms and related states proximal to the outcome. 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and Gordon 1985; Witkiewitz and Marlatt 2004)</w:t>
      </w:r>
      <w:r>
        <w:t xml:space="preserve">. EMA also appears to be well tolerated by individuals with substance use disorders</w:t>
      </w:r>
      <w:r>
        <w:t xml:space="preserve"> </w:t>
      </w:r>
      <w:r>
        <w:t xml:space="preserve">(Wyant et al. 2023; Moshontz et al. 2021)</w:t>
      </w:r>
      <w:r>
        <w:t xml:space="preserve">. Thus, it can serve as an important signal for predicting substance use outcomes and interpreting clinically relevant features over a sustained period.</w:t>
      </w:r>
    </w:p>
    <w:p>
      <w:pPr>
        <w:pStyle w:val="BodyText"/>
      </w:pPr>
      <w:r>
        <w:t xml:space="preserve">Promising preliminary work suggests it is possible to build EMA models that predict immediate lapses back to substance use</w:t>
      </w:r>
      <w:r>
        <w:t xml:space="preserve"> </w:t>
      </w:r>
      <w:r>
        <w:t xml:space="preserve">(Walters et al. 2021; Bae et al. 2018; Soyster, Ashlock, and Fisher 2022; Chih et al. 2014)</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used all available data up until a moment in time to predict the probability of an alcohol lapse in the next week, day, and hour.</w:t>
      </w:r>
    </w:p>
    <w:p>
      <w:pPr>
        <w:pStyle w:val="BodyText"/>
      </w:pPr>
      <w:r>
        <w:t xml:space="preserve">Narrow prediction window widths (i.e., next hour or next day) are well suited for addressing immediate risk. These models can be dynamically updated (i.e., at least daily) to provide individuals information about changes in their risk and make supportive recommendations based on the top features contributing to their risk. For example, recommending a coping with craving activity when someone has increased craving, or recommending a guided relaxation video when someone is reporting recent stressful events. Importantly, this assumes that the recommendations can be implemented immediately.</w:t>
      </w:r>
    </w:p>
    <w:p>
      <w:pPr>
        <w:pStyle w:val="BodyText"/>
      </w:pPr>
      <w:r>
        <w:t xml:space="preserve">However, many appropriate support recommendations take time to set up, and are not available in the moment (e.g., attending a self-help meeting, planning an outing with important people in their life, or scheduling an appointment with a therapist). In these cases, patients would benefit from advanced warning about changes in their risk.</w:t>
      </w:r>
    </w:p>
    <w:p>
      <w:pPr>
        <w:pStyle w:val="BodyText"/>
      </w:pPr>
      <w:r>
        <w:t xml:space="preserve">While our next week model may be less helpful for addressing immediate risk, as a lapse can occur at any point in the week window (i.e., immediately up until one week from now). It may be preferred for as a</w:t>
      </w:r>
      <w:r>
        <w:t xml:space="preserve"> </w:t>
      </w:r>
      <w:r>
        <w:rPr>
          <w:i/>
          <w:iCs/>
        </w:rPr>
        <w:t xml:space="preserve">time-lagged</w:t>
      </w:r>
      <w:r>
        <w:t xml:space="preserve"> </w:t>
      </w:r>
      <w:r>
        <w:t xml:space="preserve">model where prediction windows are shifted further into the future (i.e., away from the moment in time the model is updated) to provide patients with increased lead time to implement supports not immediately available to them. A wider prediction window width (i.e, one week) will yield higher proportions of positive labels mitigating issues of an unbalanced outcome. Additionally, when scheduling real world support, it is important that the lead up time is adequate and not that the prediction is necessarily temporally precise.</w:t>
      </w:r>
    </w:p>
    <w:bookmarkEnd w:id="21"/>
    <w:bookmarkStart w:id="22" w:name="current-study"/>
    <w:p>
      <w:pPr>
        <w:pStyle w:val="Heading2"/>
      </w:pPr>
      <w:r>
        <w:t xml:space="preserve">Current Study</w:t>
      </w:r>
    </w:p>
    <w:p>
      <w:pPr>
        <w:pStyle w:val="FirstParagraph"/>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It is also important to look beyond overall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(Pinedo 2019; Kilaru et al. 2020)</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22"/>
    <w:bookmarkEnd w:id="23"/>
    <w:bookmarkStart w:id="48" w:name="methods"/>
    <w:p>
      <w:pPr>
        <w:pStyle w:val="Heading1"/>
      </w:pPr>
      <w:r>
        <w:t xml:space="preserve">Methods</w:t>
      </w:r>
    </w:p>
    <w:bookmarkStart w:id="25"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4">
        <w:r>
          <w:rPr>
            <w:rStyle w:val="Hyperlink"/>
          </w:rPr>
          <w:t xml:space="preserve">https://osf.io/xta67/</w:t>
        </w:r>
      </w:hyperlink>
      <w:r>
        <w:t xml:space="preserve">).</w:t>
      </w:r>
    </w:p>
    <w:bookmarkEnd w:id="25"/>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7"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 point</w:t>
      </w:r>
      <w:r>
        <w:t xml:space="preserve"> </w:t>
      </w:r>
      <w:r>
        <w:t xml:space="preserve">is the hour at which our model calculated a predicted probability of a lapse. All available data up until, but not including, the prediction time point (i.e., the scoring epoch) was used to generate these predictions (see Feature Engineering section). Prediction time points were updated hourly (</w:t>
      </w:r>
      <w:hyperlink w:anchor="fig-methods">
        <w:r>
          <w:rPr>
            <w:rStyle w:val="Hyperlink"/>
          </w:rPr>
          <w:t xml:space="preserve">Figure 1</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
          <w:iCs/>
        </w:rPr>
        <w:t xml:space="preserve">prediction window</w:t>
      </w:r>
      <w:r>
        <w:t xml:space="preserve"> </w:t>
      </w:r>
      <w:r>
        <w:t xml:space="preserve">is the window of time in which a lapse might occur. The prediction window width for all our models was one week (i.e., models predicted the probability of a lapse occurring within a one week window). Prediction windows rolled forward hour-by-hour with the prediction time point (</w:t>
      </w:r>
      <w:hyperlink w:anchor="fig-methods">
        <w:r>
          <w:rPr>
            <w:rStyle w:val="Hyperlink"/>
          </w:rPr>
          <w:t xml:space="preserve">Figure 1</w:t>
        </w:r>
      </w:hyperlink>
      <w:r>
        <w:t xml:space="preserve">, Panel B).</w:t>
      </w:r>
    </w:p>
    <w:p>
      <w:pPr>
        <w:pStyle w:val="BodyText"/>
      </w:pPr>
      <w:r>
        <w:t xml:space="preserve">Finally, there were five possible</w:t>
      </w:r>
      <w:r>
        <w:t xml:space="preserve"> </w:t>
      </w:r>
      <w:r>
        <w:rPr>
          <w:i/>
          <w:iCs/>
        </w:rPr>
        <w:t xml:space="preserve">lag times</w:t>
      </w:r>
      <w:r>
        <w:t xml:space="preserve"> </w:t>
      </w:r>
      <w:r>
        <w:t xml:space="preserve">between the prediction time point and start of the prediction window. A prediction window either started immediately after the prediction time point (0 lag) or was lagged by 24, 72, 168, or 336 hours (</w:t>
      </w:r>
      <w:hyperlink w:anchor="fig-methods">
        <w:r>
          <w:rPr>
            <w:rStyle w:val="Hyperlink"/>
          </w:rPr>
          <w:t xml:space="preserve">Figure 1</w:t>
        </w:r>
      </w:hyperlink>
      <w:r>
        <w:t xml:space="preserve">, Panel B).</w:t>
      </w:r>
    </w:p>
    <w:p>
      <w:pPr>
        <w:pStyle w:val="BodyText"/>
      </w:pPr>
      <w:r>
        <w:t xml:space="preserve">Therefore, our models provided hour-by-hour probabilities of an alcohol lapse in the next week pushed out up to two weeks into the future. For example, for a participant on their 30th day on study, the model would use all 30 days of data and make predictions for 5 different lags.</w:t>
      </w:r>
    </w:p>
    <w:tbl>
      <w:tblPr>
        <w:tblStyle w:val="Table"/>
        <w:tblW w:type="pct" w:w="5000"/>
        <w:tblLayout w:type="fixed"/>
        <w:tblLook w:firstRow="0" w:lastRow="0" w:firstColumn="0" w:lastColumn="0" w:noHBand="0" w:noVBand="0" w:val="0000"/>
      </w:tblPr>
      <w:tblGrid>
        <w:gridCol w:w="7920"/>
      </w:tblGrid>
      <w:tr>
        <w:tc>
          <w:tcPr/>
          <w:bookmarkStart w:id="34" w:name="fig-methods"/>
          <w:p>
            <w:pPr>
              <w:pStyle w:val="Compact"/>
              <w:jc w:val="center"/>
            </w:pPr>
            <w:r>
              <w:drawing>
                <wp:inline>
                  <wp:extent cx="5334000" cy="4240840"/>
                  <wp:effectExtent b="0" l="0" r="0" t="0"/>
                  <wp:docPr descr="" title="" id="32" name="Picture"/>
                  <a:graphic>
                    <a:graphicData uri="http://schemas.openxmlformats.org/drawingml/2006/picture">
                      <pic:pic>
                        <pic:nvPicPr>
                          <pic:cNvPr descr="index_files/figure-docx/notebooks-mak_figures-fig-methods-output-1.png" id="33" name="Picture"/>
                          <pic:cNvPicPr>
                            <a:picLocks noChangeArrowheads="1" noChangeAspect="1"/>
                          </pic:cNvPicPr>
                        </pic:nvPicPr>
                        <pic:blipFill>
                          <a:blip r:embed="rId31"/>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of time in which a lapse might occur) rolls forward hour-by-hour with the prediction time point with the prediction time point. The prediction window width for all our models was one week (i.e., models predicted the probability of a lapse occurring within a one week window). Additionally, there were five possible lag times between the prediction time point and start of the prediction window. A prediction window either started immediately after the prediction time point (0 lag) or was lagged by 24, 72, 168, or 336 hours.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7"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37"/>
    <w:bookmarkStart w:id="38" w:name="feature-engineering"/>
    <w:p>
      <w:pPr>
        <w:pStyle w:val="Heading3"/>
      </w:pPr>
      <w:r>
        <w:t xml:space="preserve">Feature Engineering</w:t>
      </w:r>
    </w:p>
    <w:p>
      <w:pPr>
        <w:pStyle w:val="FirstParagraph"/>
      </w:pPr>
      <w:r>
        <w:t xml:space="preserve">Features were calculated using only data collected before each prediction time point to ensure our models were making true future predictions. For our no lag models the prediction time point was at the start of prediction window, so all data prior to the start of the prediction window was included. For our lagged models, the prediction time point was 24, 72, 168, or 336 hours prior to the start of the prediction window, so the last EMA data used for feature engineering were collected 24, 72, 168, or 336 hours prior to the start of the prediction window.</w:t>
      </w:r>
    </w:p>
    <w:p>
      <w:pPr>
        <w:pStyle w:val="BodyText"/>
      </w:pPr>
      <w:r>
        <w:t xml:space="preserve">A total of 279 features were derived from two data sources:</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8"/>
    <w:bookmarkStart w:id="46" w:name="model-training-and-evaluation"/>
    <w:p>
      <w:pPr>
        <w:pStyle w:val="Heading3"/>
      </w:pPr>
      <w:r>
        <w:t xml:space="preserve">Model Training and Evaluation</w:t>
      </w:r>
    </w:p>
    <w:bookmarkStart w:id="39" w:name="model-configurations"/>
    <w:p>
      <w:pPr>
        <w:pStyle w:val="Heading4"/>
      </w:pPr>
      <w:r>
        <w:t xml:space="preserve">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Filho, and Flach 2017)</w:t>
      </w:r>
      <w:r>
        <w:t xml:space="preserve">.</w:t>
      </w:r>
    </w:p>
    <w:bookmarkEnd w:id="39"/>
    <w:bookmarkStart w:id="40"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0"/>
    <w:bookmarkStart w:id="42"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1"/>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42"/>
    <w:bookmarkStart w:id="45"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3"/>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supplement.</w:t>
      </w:r>
      <w:r>
        <w:rPr>
          <w:rStyle w:val="FootnoteReference"/>
        </w:rPr>
        <w:footnoteReference w:id="44"/>
      </w:r>
    </w:p>
    <w:bookmarkEnd w:id="45"/>
    <w:bookmarkEnd w:id="46"/>
    <w:bookmarkEnd w:id="47"/>
    <w:bookmarkEnd w:id="48"/>
    <w:bookmarkStart w:id="115" w:name="results"/>
    <w:p>
      <w:pPr>
        <w:pStyle w:val="Heading1"/>
      </w:pPr>
      <w:r>
        <w:t xml:space="preserve">Results</w:t>
      </w:r>
    </w:p>
    <w:bookmarkStart w:id="51"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49"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49"/>
          <w:p/>
        </w:tc>
      </w:tr>
    </w:tbl>
    <w:p>
      <w:pPr>
        <w:pStyle w:val="BodyText"/>
      </w:pPr>
      <w:r>
        <w:rPr>
          <w:vertAlign w:val="subscript"/>
        </w:rPr>
        <w:t xml:space="preserve">Source:</w:t>
      </w:r>
      <w:r>
        <w:rPr>
          <w:vertAlign w:val="subscript"/>
        </w:rPr>
        <w:t xml:space="preserve"> </w:t>
      </w:r>
      <w:hyperlink r:id="rId50">
        <w:r>
          <w:rPr>
            <w:rStyle w:val="Hyperlink"/>
            <w:vertAlign w:val="subscript"/>
          </w:rPr>
          <w:t xml:space="preserve">Make All Tables for Main Manuscript</w:t>
        </w:r>
      </w:hyperlink>
    </w:p>
    <w:bookmarkEnd w:id="51"/>
    <w:bookmarkStart w:id="57"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0.892 (baseline), 0.886 (24 hour lag), 0.874 (72 hour lag), 0.869 (168 hour lag), and 0.851 (336 hour lag). These values represent our best estimates for the magnitude of the auROC parameter for each model. The 95% Bayesian CI for the auROCs for these models were relatively narrow and did not contain 0.5: baseline [0.872-0.910], 24 hour lag [0.865-0.905], 72 hour lag [0.851-0.894], 168 hour lag [0.846-0.891], 336 hour lag [0.825-0.874]. Panel A in</w:t>
      </w:r>
      <w:r>
        <w:t xml:space="preserve"> </w:t>
      </w:r>
      <w:hyperlink w:anchor="fig-2">
        <w:r>
          <w:rPr>
            <w:rStyle w:val="Hyperlink"/>
          </w:rPr>
          <w:t xml:space="preserve">Figure 2</w:t>
        </w:r>
      </w:hyperlink>
      <w:r>
        <w:t xml:space="preserve"> </w:t>
      </w:r>
      <w:r>
        <w:t xml:space="preserve">displays these median auROCs and 95% Bayesian CIs by model. A description of feature importance by model is available in the supplement.</w:t>
      </w:r>
    </w:p>
    <w:tbl>
      <w:tblPr>
        <w:tblStyle w:val="Table"/>
        <w:tblW w:type="pct" w:w="5000"/>
        <w:tblLayout w:type="fixed"/>
        <w:tblLook w:firstRow="0" w:lastRow="0" w:firstColumn="0" w:lastColumn="0" w:noHBand="0" w:noVBand="0" w:val="0000"/>
      </w:tblPr>
      <w:tblGrid>
        <w:gridCol w:w="7920"/>
      </w:tblGrid>
      <w:tr>
        <w:tc>
          <w:tcPr/>
          <w:bookmarkStart w:id="55" w:name="fig-2"/>
          <w:p>
            <w:pPr>
              <w:pStyle w:val="Compact"/>
              <w:jc w:val="center"/>
            </w:pPr>
            <w:r>
              <w:drawing>
                <wp:inline>
                  <wp:extent cx="5334000" cy="4000499"/>
                  <wp:effectExtent b="0" l="0" r="0" t="0"/>
                  <wp:docPr descr="" title="" id="53" name="Picture"/>
                  <a:graphic>
                    <a:graphicData uri="http://schemas.openxmlformats.org/drawingml/2006/picture">
                      <pic:pic>
                        <pic:nvPicPr>
                          <pic:cNvPr descr="index_files/figure-docx/notebooks-mak_figures-fig-2-output-1.png" id="54" name="Picture"/>
                          <pic:cNvPicPr>
                            <a:picLocks noChangeArrowheads="1" noChangeAspect="1"/>
                          </pic:cNvPicPr>
                        </pic:nvPicPr>
                        <pic:blipFill>
                          <a:blip r:embed="rId52"/>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in displays the median posterior probability for area under ROC curve (auROC) and 95% Bayesian CI for each lagged model (0, 24, 72, 168, 336 hours). Dashed line represents a random classifier with an auROC of .5. Panels B-D display the median auROC and Bayesian credible interval by model and fairness contrast. The darker lines represent the advantaged groups (White, male, above poverty) and the lighter lines represent the disadvantaged groups (not-White, female, below poverty). Dashed line represents a random classifier with an auROC of .5.</w:t>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Figures for Main Manuscript</w:t>
        </w:r>
      </w:hyperlink>
    </w:p>
    <w:bookmarkEnd w:id="57"/>
    <w:bookmarkStart w:id="60"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.95) that the lagged models performed worse than the baseline (no lag) model, with average drops in auROC ranging from 0.006-0.041. There was also moderately strong evidence (probabilities &gt; .86) that the more lagged models performed worse than the previous adjacent lag, with average drops in auROC ranging from 0.004-0.018.</w:t>
      </w:r>
    </w:p>
    <w:tbl>
      <w:tblPr>
        <w:tblStyle w:val="Table"/>
        <w:tblW w:type="pct" w:w="5000"/>
        <w:tblLayout w:type="fixed"/>
        <w:tblLook w:firstRow="0" w:lastRow="0" w:firstColumn="0" w:lastColumn="0" w:noHBand="0" w:noVBand="0" w:val="0000"/>
      </w:tblPr>
      <w:tblGrid>
        <w:gridCol w:w="7920"/>
      </w:tblGrid>
      <w:tr>
        <w:tc>
          <w:tcPr/>
          <w:bookmarkStart w:id="58"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p>
                  <w:pPr>
                    <w:pStyle w:val="Compact"/>
                    <w:jc w:val="left"/>
                    <w:jc w:val="center"/>
                  </w:pPr>
                  <w:r>
                    <w:t xml:space="preserve">0 vs. 24</w:t>
                  </w:r>
                </w:p>
              </w:tc>
              <w:tc>
                <w:tcPr/>
                <w:p>
                  <w:pPr>
                    <w:pStyle w:val="Compact"/>
                    <w:jc w:val="left"/>
                    <w:jc w:val="center"/>
                  </w:pPr>
                  <w:r>
                    <w:t xml:space="preserve">0.006</w:t>
                  </w:r>
                </w:p>
              </w:tc>
              <w:tc>
                <w:tcPr/>
                <w:p>
                  <w:pPr>
                    <w:pStyle w:val="Compact"/>
                    <w:jc w:val="left"/>
                    <w:jc w:val="center"/>
                  </w:pPr>
                  <w:r>
                    <w:t xml:space="preserve">[0, 0.012]</w:t>
                  </w:r>
                </w:p>
              </w:tc>
              <w:tc>
                <w:tcPr/>
                <w:p>
                  <w:pPr>
                    <w:pStyle w:val="Compact"/>
                    <w:jc w:val="left"/>
                    <w:jc w:val="center"/>
                  </w:pPr>
                  <w:r>
                    <w:t xml:space="preserve">0.956</w:t>
                  </w:r>
                </w:p>
              </w:tc>
            </w:tr>
            <w:tr>
              <w:tc>
                <w:tcPr/>
                <w:p>
                  <w:pPr>
                    <w:pStyle w:val="Compact"/>
                    <w:jc w:val="left"/>
                    <w:jc w:val="center"/>
                  </w:pPr>
                  <w:r>
                    <w:t xml:space="preserve">0 vs. 72</w:t>
                  </w:r>
                </w:p>
              </w:tc>
              <w:tc>
                <w:tcPr/>
                <w:p>
                  <w:pPr>
                    <w:pStyle w:val="Compact"/>
                    <w:jc w:val="left"/>
                    <w:jc w:val="center"/>
                  </w:pPr>
                  <w:r>
                    <w:t xml:space="preserve">0.018</w:t>
                  </w:r>
                </w:p>
              </w:tc>
              <w:tc>
                <w:tcPr/>
                <w:p>
                  <w:pPr>
                    <w:pStyle w:val="Compact"/>
                    <w:jc w:val="left"/>
                    <w:jc w:val="center"/>
                  </w:pPr>
                  <w:r>
                    <w:t xml:space="preserve">[0.012, 0.025]</w:t>
                  </w:r>
                </w:p>
              </w:tc>
              <w:tc>
                <w:tcPr/>
                <w:p>
                  <w:pPr>
                    <w:pStyle w:val="Compact"/>
                    <w:jc w:val="left"/>
                    <w:jc w:val="center"/>
                  </w:pPr>
                  <w:r>
                    <w:t xml:space="preserve">1</w:t>
                  </w:r>
                </w:p>
              </w:tc>
            </w:tr>
            <w:tr>
              <w:tc>
                <w:tcPr/>
                <w:p>
                  <w:pPr>
                    <w:pStyle w:val="Compact"/>
                    <w:jc w:val="left"/>
                    <w:jc w:val="center"/>
                  </w:pPr>
                  <w:r>
                    <w:t xml:space="preserve">0 vs. 168</w:t>
                  </w:r>
                </w:p>
              </w:tc>
              <w:tc>
                <w:tcPr/>
                <w:p>
                  <w:pPr>
                    <w:pStyle w:val="Compact"/>
                    <w:jc w:val="left"/>
                    <w:jc w:val="center"/>
                  </w:pPr>
                  <w:r>
                    <w:t xml:space="preserve">0.023</w:t>
                  </w:r>
                </w:p>
              </w:tc>
              <w:tc>
                <w:tcPr/>
                <w:p>
                  <w:pPr>
                    <w:pStyle w:val="Compact"/>
                    <w:jc w:val="left"/>
                    <w:jc w:val="center"/>
                  </w:pPr>
                  <w:r>
                    <w:t xml:space="preserve">[0.016, 0.029]</w:t>
                  </w:r>
                </w:p>
              </w:tc>
              <w:tc>
                <w:tcPr/>
                <w:p>
                  <w:pPr>
                    <w:pStyle w:val="Compact"/>
                    <w:jc w:val="left"/>
                    <w:jc w:val="center"/>
                  </w:pPr>
                  <w:r>
                    <w:t xml:space="preserve">1</w:t>
                  </w:r>
                </w:p>
              </w:tc>
            </w:tr>
            <w:tr>
              <w:tc>
                <w:tcPr/>
                <w:p>
                  <w:pPr>
                    <w:pStyle w:val="Compact"/>
                    <w:jc w:val="left"/>
                    <w:jc w:val="center"/>
                  </w:pPr>
                  <w:r>
                    <w:t xml:space="preserve">0 vs. 336</w:t>
                  </w:r>
                </w:p>
              </w:tc>
              <w:tc>
                <w:tcPr/>
                <w:p>
                  <w:pPr>
                    <w:pStyle w:val="Compact"/>
                    <w:jc w:val="left"/>
                    <w:jc w:val="center"/>
                  </w:pPr>
                  <w:r>
                    <w:t xml:space="preserve">0.041</w:t>
                  </w:r>
                </w:p>
              </w:tc>
              <w:tc>
                <w:tcPr/>
                <w:p>
                  <w:pPr>
                    <w:pStyle w:val="Compact"/>
                    <w:jc w:val="left"/>
                    <w:jc w:val="center"/>
                  </w:pPr>
                  <w:r>
                    <w:t xml:space="preserve">[0.033, 0.05]</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p>
                  <w:pPr>
                    <w:pStyle w:val="Compact"/>
                    <w:jc w:val="left"/>
                    <w:jc w:val="center"/>
                  </w:pPr>
                  <w:r>
                    <w:t xml:space="preserve">24 vs. 72</w:t>
                  </w:r>
                </w:p>
              </w:tc>
              <w:tc>
                <w:tcPr/>
                <w:p>
                  <w:pPr>
                    <w:pStyle w:val="Compact"/>
                    <w:jc w:val="left"/>
                    <w:jc w:val="center"/>
                  </w:pPr>
                  <w:r>
                    <w:t xml:space="preserve">0.012</w:t>
                  </w:r>
                </w:p>
              </w:tc>
              <w:tc>
                <w:tcPr/>
                <w:p>
                  <w:pPr>
                    <w:pStyle w:val="Compact"/>
                    <w:jc w:val="left"/>
                    <w:jc w:val="center"/>
                  </w:pPr>
                  <w:r>
                    <w:t xml:space="preserve">[0.006, 0.019]</w:t>
                  </w:r>
                </w:p>
              </w:tc>
              <w:tc>
                <w:tcPr/>
                <w:p>
                  <w:pPr>
                    <w:pStyle w:val="Compact"/>
                    <w:jc w:val="left"/>
                    <w:jc w:val="center"/>
                  </w:pPr>
                  <w:r>
                    <w:t xml:space="preserve">0.999</w:t>
                  </w:r>
                </w:p>
              </w:tc>
            </w:tr>
            <w:tr>
              <w:tc>
                <w:tcPr/>
                <w:p>
                  <w:pPr>
                    <w:pStyle w:val="Compact"/>
                    <w:jc w:val="left"/>
                    <w:jc w:val="center"/>
                  </w:pPr>
                  <w:r>
                    <w:t xml:space="preserve">72 vs. 168</w:t>
                  </w:r>
                </w:p>
              </w:tc>
              <w:tc>
                <w:tcPr/>
                <w:p>
                  <w:pPr>
                    <w:pStyle w:val="Compact"/>
                    <w:jc w:val="left"/>
                    <w:jc w:val="center"/>
                  </w:pPr>
                  <w:r>
                    <w:t xml:space="preserve">0.004</w:t>
                  </w:r>
                </w:p>
              </w:tc>
              <w:tc>
                <w:tcPr/>
                <w:p>
                  <w:pPr>
                    <w:pStyle w:val="Compact"/>
                    <w:jc w:val="left"/>
                    <w:jc w:val="center"/>
                  </w:pPr>
                  <w:r>
                    <w:t xml:space="preserve">[-0.002, 0.011]</w:t>
                  </w:r>
                </w:p>
              </w:tc>
              <w:tc>
                <w:tcPr/>
                <w:p>
                  <w:pPr>
                    <w:pStyle w:val="Compact"/>
                    <w:jc w:val="left"/>
                    <w:jc w:val="center"/>
                  </w:pPr>
                  <w:r>
                    <w:t xml:space="preserve">0.862</w:t>
                  </w:r>
                </w:p>
              </w:tc>
            </w:tr>
            <w:tr>
              <w:tc>
                <w:tcPr/>
                <w:p>
                  <w:pPr>
                    <w:pStyle w:val="Compact"/>
                    <w:jc w:val="left"/>
                    <w:jc w:val="center"/>
                  </w:pPr>
                  <w:r>
                    <w:t xml:space="preserve">168 vs. 336</w:t>
                  </w:r>
                </w:p>
              </w:tc>
              <w:tc>
                <w:tcPr/>
                <w:p>
                  <w:pPr>
                    <w:pStyle w:val="Compact"/>
                    <w:jc w:val="left"/>
                    <w:jc w:val="center"/>
                  </w:pPr>
                  <w:r>
                    <w:t xml:space="preserve">0.018</w:t>
                  </w:r>
                </w:p>
              </w:tc>
              <w:tc>
                <w:tcPr/>
                <w:p>
                  <w:pPr>
                    <w:pStyle w:val="Compact"/>
                    <w:jc w:val="left"/>
                    <w:jc w:val="center"/>
                  </w:pPr>
                  <w:r>
                    <w:t xml:space="preserve">[0.011, 0.026]</w:t>
                  </w:r>
                </w:p>
              </w:tc>
              <w:tc>
                <w:tcPr/>
                <w:p>
                  <w:pPr>
                    <w:pStyle w:val="Compact"/>
                    <w:jc w:val="left"/>
                    <w:jc w:val="center"/>
                  </w:pPr>
                  <w:r>
                    <w:t xml:space="preserve">1</w:t>
                  </w:r>
                </w:p>
              </w:tc>
            </w:tr>
          </w:tbl>
          <w:bookmarkEnd w:id="58"/>
          <w:p/>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Tables for Main Manuscript</w:t>
        </w:r>
      </w:hyperlink>
    </w:p>
    <w:bookmarkEnd w:id="60"/>
    <w:bookmarkStart w:id="61" w:name="fairness-analyses-1"/>
    <w:p>
      <w:pPr>
        <w:pStyle w:val="Heading2"/>
      </w:pPr>
      <w:r>
        <w:t xml:space="preserve">Fairness Analyses</w:t>
      </w:r>
    </w:p>
    <w:p>
      <w:pPr>
        <w:pStyle w:val="FirstParagraph"/>
      </w:pPr>
      <w:r>
        <w:t xml:space="preserve">Panels B-D in</w:t>
      </w:r>
      <w:r>
        <w:t xml:space="preserve"> </w:t>
      </w:r>
      <w:hyperlink w:anchor="fig-2">
        <w:r>
          <w:rPr>
            <w:rStyle w:val="Hyperlink"/>
          </w:rPr>
          <w:t xml:space="preserve">Figure 2</w:t>
        </w:r>
      </w:hyperlink>
      <w:r>
        <w:t xml:space="preserve"> </w:t>
      </w:r>
      <w:r>
        <w:t xml:space="preserve">shows the median auROC and credible intervals for each model separately by race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There was strong evidence (probabilities &gt; .98) that our models performed better for the advantaged groups (White, male, above poverty) compared to the disadvantaged groups (not-White, female, below poverty). On average there was a median decrease in auROC of 0.161 (range 0.108-0.175) for participants who were not White compared to non-Hispanic White participants. On average there was a median decrease in auROC of 0.080 (range 0.058-0.116) for female participants compared to male participants. On average there was a median decrease in auROC of 0.092 (range 0.087-0.133) for participants below the federal poverty line compared to participants above the federal poverty line. We also report the median difference in auROC, 95% Bayesian CI, and posterior probability that that the auROC difference was greater than 0 for all comparisons separately by model in the supplement.</w:t>
      </w:r>
    </w:p>
    <w:bookmarkEnd w:id="61"/>
    <w:bookmarkStart w:id="62" w:name="discussion"/>
    <w:p>
      <w:pPr>
        <w:pStyle w:val="Heading2"/>
      </w:pPr>
      <w:r>
        <w:t xml:space="preserve">Discussion</w:t>
      </w:r>
    </w:p>
    <w:bookmarkEnd w:id="62"/>
    <w:bookmarkStart w:id="63" w:name="model-performance"/>
    <w:p>
      <w:pPr>
        <w:pStyle w:val="Heading2"/>
      </w:pPr>
      <w:r>
        <w:t xml:space="preserve">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(.85) is still excellent, and the benefit of advanced notice likely outweighs the cost to performance.</w:t>
      </w:r>
    </w:p>
    <w:bookmarkEnd w:id="63"/>
    <w:bookmarkStart w:id="64"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4"/>
    <w:bookmarkStart w:id="65"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Conversely, the week-level model can be lagged to provide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5"/>
    <w:bookmarkStart w:id="66" w:name="conclusion"/>
    <w:p>
      <w:pPr>
        <w:pStyle w:val="Heading2"/>
      </w:pPr>
      <w:r>
        <w:t xml:space="preserve">Conclusion</w:t>
      </w:r>
    </w:p>
    <w:p>
      <w:pPr>
        <w:pStyle w:val="FirstParagraph"/>
      </w:pPr>
      <w:r>
        <w:t xml:space="preserve">This study suggests it is possible to predict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6"/>
    <w:bookmarkStart w:id="114" w:name="references"/>
    <w:p>
      <w:pPr>
        <w:pStyle w:val="Heading2"/>
      </w:pPr>
      <w:r>
        <w:t xml:space="preserve">References</w:t>
      </w:r>
    </w:p>
    <w:bookmarkStart w:id="113" w:name="refs"/>
    <w:bookmarkStart w:id="68"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67">
        <w:r>
          <w:rPr>
            <w:rStyle w:val="Hyperlink"/>
          </w:rPr>
          <w:t xml:space="preserve">https://doi.org/10.1016/j.addbeh.2017.11.039</w:t>
        </w:r>
      </w:hyperlink>
      <w:r>
        <w:t xml:space="preserve">.</w:t>
      </w:r>
    </w:p>
    <w:bookmarkEnd w:id="68"/>
    <w:bookmarkStart w:id="70"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69">
        <w:r>
          <w:rPr>
            <w:rStyle w:val="Hyperlink"/>
          </w:rPr>
          <w:t xml:space="preserve">https://doi.org/10.21231/GNT1-HW21</w:t>
        </w:r>
      </w:hyperlink>
      <w:r>
        <w:t xml:space="preserve">.</w:t>
      </w:r>
    </w:p>
    <w:bookmarkEnd w:id="70"/>
    <w:bookmarkStart w:id="72"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71">
        <w:r>
          <w:rPr>
            <w:rStyle w:val="Hyperlink"/>
          </w:rPr>
          <w:t xml:space="preserve">https://doi.org/10.1016/j.jsat.2013.08.004</w:t>
        </w:r>
      </w:hyperlink>
      <w:r>
        <w:t xml:space="preserve">.</w:t>
      </w:r>
    </w:p>
    <w:bookmarkEnd w:id="72"/>
    <w:bookmarkStart w:id="74" w:name="ref-dennisManagingAddictionChronic2007"/>
    <w:p>
      <w:pPr>
        <w:pStyle w:val="Bibliography"/>
      </w:pPr>
      <w:r>
        <w:t xml:space="preserve">Dennis, Michael, and Christy K Scott. 2007.</w:t>
      </w:r>
      <w:r>
        <w:t xml:space="preserve"> </w:t>
      </w:r>
      <w:r>
        <w:t xml:space="preserve">“</w:t>
      </w:r>
      <w:hyperlink r:id="rId73">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74"/>
    <w:bookmarkStart w:id="7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75"/>
    <w:bookmarkStart w:id="7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76"/>
    <w:bookmarkStart w:id="78"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77">
        <w:r>
          <w:rPr>
            <w:rStyle w:val="Hyperlink"/>
          </w:rPr>
          <w:t xml:space="preserve">https://doi.org/10.1016/j.drugalcdep.2006.05.012</w:t>
        </w:r>
      </w:hyperlink>
      <w:r>
        <w:t xml:space="preserve">.</w:t>
      </w:r>
    </w:p>
    <w:bookmarkEnd w:id="78"/>
    <w:bookmarkStart w:id="79"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79"/>
    <w:bookmarkStart w:id="81"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80">
        <w:r>
          <w:rPr>
            <w:rStyle w:val="Hyperlink"/>
          </w:rPr>
          <w:t xml:space="preserve">https://doi.org/gfsjzg</w:t>
        </w:r>
      </w:hyperlink>
      <w:r>
        <w:t xml:space="preserve">.</w:t>
      </w:r>
    </w:p>
    <w:bookmarkEnd w:id="81"/>
    <w:bookmarkStart w:id="83"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82">
        <w:r>
          <w:rPr>
            <w:rStyle w:val="Hyperlink"/>
          </w:rPr>
          <w:t xml:space="preserve">https://doi.org/10.1001/jamanetworkopen.2020.5852</w:t>
        </w:r>
      </w:hyperlink>
      <w:r>
        <w:t xml:space="preserve">.</w:t>
      </w:r>
    </w:p>
    <w:bookmarkEnd w:id="83"/>
    <w:bookmarkStart w:id="84"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84"/>
    <w:bookmarkStart w:id="86"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85">
        <w:r>
          <w:rPr>
            <w:rStyle w:val="Hyperlink"/>
          </w:rPr>
          <w:t xml:space="preserve">https://doi.org/10.1007/978-1-4614-6849-3</w:t>
        </w:r>
      </w:hyperlink>
      <w:r>
        <w:t xml:space="preserve">.</w:t>
      </w:r>
    </w:p>
    <w:bookmarkEnd w:id="86"/>
    <w:bookmarkStart w:id="87"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87"/>
    <w:bookmarkStart w:id="89"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 </w:t>
      </w:r>
      <w:r>
        <w:t xml:space="preserve">11 (2): 5052–80.</w:t>
      </w:r>
      <w:r>
        <w:t xml:space="preserve"> </w:t>
      </w:r>
      <w:hyperlink r:id="rId88">
        <w:r>
          <w:rPr>
            <w:rStyle w:val="Hyperlink"/>
          </w:rPr>
          <w:t xml:space="preserve">https://doi.org/10.1214/17-EJS1338SI</w:t>
        </w:r>
      </w:hyperlink>
      <w:r>
        <w:t xml:space="preserve">.</w:t>
      </w:r>
    </w:p>
    <w:bookmarkEnd w:id="89"/>
    <w:bookmarkStart w:id="9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90"/>
    <w:bookmarkStart w:id="92"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91">
        <w:r>
          <w:rPr>
            <w:rStyle w:val="Hyperlink"/>
          </w:rPr>
          <w:t xml:space="preserve">https://doi.org/10.2196/29563</w:t>
        </w:r>
      </w:hyperlink>
      <w:r>
        <w:t xml:space="preserve">.</w:t>
      </w:r>
    </w:p>
    <w:bookmarkEnd w:id="92"/>
    <w:bookmarkStart w:id="94"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93">
        <w:r>
          <w:rPr>
            <w:rStyle w:val="Hyperlink"/>
          </w:rPr>
          <w:t xml:space="preserve">https://doi.org/10.1016/j.jsat.2021.108710</w:t>
        </w:r>
      </w:hyperlink>
      <w:r>
        <w:t xml:space="preserve">.</w:t>
      </w:r>
    </w:p>
    <w:bookmarkEnd w:id="94"/>
    <w:bookmarkStart w:id="96"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95">
        <w:r>
          <w:rPr>
            <w:rStyle w:val="Hyperlink"/>
          </w:rPr>
          <w:t xml:space="preserve">https://doi.org/10.1016/j.drugalcdep.2019.05.017</w:t>
        </w:r>
      </w:hyperlink>
      <w:r>
        <w:t xml:space="preserve">.</w:t>
      </w:r>
    </w:p>
    <w:bookmarkEnd w:id="96"/>
    <w:bookmarkStart w:id="9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97"/>
    <w:bookmarkStart w:id="98" w:name="X56bd7ab8262c354bc601dbeb8bf6940a3ba3863"/>
    <w:p>
      <w:pPr>
        <w:pStyle w:val="Bibliography"/>
      </w:pPr>
      <w:r>
        <w:t xml:space="preserve">SAMHSA Center for Behavioral Health Statistics and Quality. 2021.</w:t>
      </w:r>
      <w:r>
        <w:t xml:space="preserve"> </w:t>
      </w:r>
      <w:r>
        <w:t xml:space="preserve">“2021</w:t>
      </w:r>
      <w:r>
        <w:t xml:space="preserve"> </w:t>
      </w:r>
      <w:r>
        <w:t xml:space="preserve">NSDUH Detailed Tables</w:t>
      </w:r>
      <w:r>
        <w:t xml:space="preserve"> </w:t>
      </w:r>
      <w:r>
        <w:t xml:space="preserve"> </w:t>
      </w:r>
      <w:r>
        <w:t xml:space="preserve">CBHSQ Data</w:t>
      </w:r>
      <w:r>
        <w:t xml:space="preserve">.”</w:t>
      </w:r>
      <w:r>
        <w:t xml:space="preserve"> </w:t>
      </w:r>
      <w:r>
        <w:rPr>
          <w:i/>
          <w:iCs/>
        </w:rPr>
        <w:t xml:space="preserve">Substance Abuse and Mental Health Services Administration</w:t>
      </w:r>
      <w:r>
        <w:t xml:space="preserve">. https://www.samhsa.gov/data/report/2021-nsduh-detailed-tables.</w:t>
      </w:r>
    </w:p>
    <w:bookmarkEnd w:id="98"/>
    <w:bookmarkStart w:id="100"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99">
        <w:r>
          <w:rPr>
            <w:rStyle w:val="Hyperlink"/>
          </w:rPr>
          <w:t xml:space="preserve">https://doi.org/10.1111/add.13479</w:t>
        </w:r>
      </w:hyperlink>
      <w:r>
        <w:t xml:space="preserve">.</w:t>
      </w:r>
    </w:p>
    <w:bookmarkEnd w:id="100"/>
    <w:bookmarkStart w:id="102"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01">
        <w:r>
          <w:rPr>
            <w:rStyle w:val="Hyperlink"/>
          </w:rPr>
          <w:t xml:space="preserve">https://doi.org/10.1037/adb0000666</w:t>
        </w:r>
      </w:hyperlink>
      <w:r>
        <w:t xml:space="preserve">.</w:t>
      </w:r>
    </w:p>
    <w:bookmarkEnd w:id="102"/>
    <w:bookmarkStart w:id="104"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03">
        <w:r>
          <w:rPr>
            <w:rStyle w:val="Hyperlink"/>
          </w:rPr>
          <w:t xml:space="preserve">https://doi.org/10.1177/1178221820976988</w:t>
        </w:r>
      </w:hyperlink>
      <w:r>
        <w:t xml:space="preserve">.</w:t>
      </w:r>
    </w:p>
    <w:bookmarkEnd w:id="104"/>
    <w:bookmarkStart w:id="106"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05">
        <w:r>
          <w:rPr>
            <w:rStyle w:val="Hyperlink"/>
          </w:rPr>
          <w:t xml:space="preserve">https://doi.org/10.1016/j.jsat.2021.108417</w:t>
        </w:r>
      </w:hyperlink>
      <w:r>
        <w:t xml:space="preserve">.</w:t>
      </w:r>
    </w:p>
    <w:bookmarkEnd w:id="106"/>
    <w:bookmarkStart w:id="108"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07">
        <w:r>
          <w:rPr>
            <w:rStyle w:val="Hyperlink"/>
          </w:rPr>
          <w:t xml:space="preserve">https://doi.org/10.1037/0003-066X.59.4.224</w:t>
        </w:r>
      </w:hyperlink>
      <w:r>
        <w:t xml:space="preserve">.</w:t>
      </w:r>
    </w:p>
    <w:bookmarkEnd w:id="108"/>
    <w:bookmarkStart w:id="11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09">
        <w:r>
          <w:rPr>
            <w:rStyle w:val="Hyperlink"/>
          </w:rPr>
          <w:t xml:space="preserve">https://doi.org/10.2196/41833</w:t>
        </w:r>
      </w:hyperlink>
      <w:r>
        <w:t xml:space="preserve">.</w:t>
      </w:r>
    </w:p>
    <w:bookmarkEnd w:id="110"/>
    <w:bookmarkStart w:id="11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11">
        <w:r>
          <w:rPr>
            <w:rStyle w:val="Hyperlink"/>
          </w:rPr>
          <w:t xml:space="preserve">https://doi.org/10.31234/osf.io/cgsf7</w:t>
        </w:r>
      </w:hyperlink>
      <w:r>
        <w:t xml:space="preserve">.</w:t>
      </w:r>
    </w:p>
    <w:bookmarkEnd w:id="112"/>
    <w:bookmarkEnd w:id="113"/>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3">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4">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31" Target="media/rId31.png" /><Relationship Type="http://schemas.openxmlformats.org/officeDocument/2006/relationships/hyperlink" Id="rId20" Target="https://KendraPaquette.github.io/study_lag/index-preview.html" TargetMode="External" /><Relationship Type="http://schemas.openxmlformats.org/officeDocument/2006/relationships/hyperlink" Id="rId56" Target="https://KendraPaquette.github.io/study_lag/notebooks\mak_figures-preview.html#cell-fig-2" TargetMode="External" /><Relationship Type="http://schemas.openxmlformats.org/officeDocument/2006/relationships/hyperlink" Id="rId35" Target="https://KendraPaquette.github.io/study_lag/notebooks\mak_figures-preview.html#cell-fig-methods" TargetMode="External" /><Relationship Type="http://schemas.openxmlformats.org/officeDocument/2006/relationships/hyperlink" Id="rId59" Target="https://KendraPaquette.github.io/study_lag/notebooks\mak_tables-preview.html#cell-tbl-contrast" TargetMode="External" /><Relationship Type="http://schemas.openxmlformats.org/officeDocument/2006/relationships/hyperlink" Id="rId50" Target="https://KendraPaquette.github.io/study_lag/notebooks\mak_tables-preview.html#cell-tbl-demohtml" TargetMode="External" /><Relationship Type="http://schemas.openxmlformats.org/officeDocument/2006/relationships/hyperlink" Id="rId82" Target="https://doi.org/10.1001/jamanetworkopen.2020.5852" TargetMode="External" /><Relationship Type="http://schemas.openxmlformats.org/officeDocument/2006/relationships/hyperlink" Id="rId85" Target="https://doi.org/10.1007/978-1-4614-6849-3" TargetMode="External" /><Relationship Type="http://schemas.openxmlformats.org/officeDocument/2006/relationships/hyperlink" Id="rId67" Target="https://doi.org/10.1016/j.addbeh.2017.11.039" TargetMode="External" /><Relationship Type="http://schemas.openxmlformats.org/officeDocument/2006/relationships/hyperlink" Id="rId77" Target="https://doi.org/10.1016/j.drugalcdep.2006.05.012" TargetMode="External" /><Relationship Type="http://schemas.openxmlformats.org/officeDocument/2006/relationships/hyperlink" Id="rId95" Target="https://doi.org/10.1016/j.drugalcdep.2019.05.017" TargetMode="External" /><Relationship Type="http://schemas.openxmlformats.org/officeDocument/2006/relationships/hyperlink" Id="rId71" Target="https://doi.org/10.1016/j.jsat.2013.08.004" TargetMode="External" /><Relationship Type="http://schemas.openxmlformats.org/officeDocument/2006/relationships/hyperlink" Id="rId105" Target="https://doi.org/10.1016/j.jsat.2021.108417" TargetMode="External" /><Relationship Type="http://schemas.openxmlformats.org/officeDocument/2006/relationships/hyperlink" Id="rId93" Target="https://doi.org/10.1016/j.jsat.2021.108710" TargetMode="External" /><Relationship Type="http://schemas.openxmlformats.org/officeDocument/2006/relationships/hyperlink" Id="rId107" Target="https://doi.org/10.1037/0003-066X.59.4.224" TargetMode="External" /><Relationship Type="http://schemas.openxmlformats.org/officeDocument/2006/relationships/hyperlink" Id="rId101" Target="https://doi.org/10.1037/adb0000666" TargetMode="External" /><Relationship Type="http://schemas.openxmlformats.org/officeDocument/2006/relationships/hyperlink" Id="rId99" Target="https://doi.org/10.1111/add.13479" TargetMode="External" /><Relationship Type="http://schemas.openxmlformats.org/officeDocument/2006/relationships/hyperlink" Id="rId103" Target="https://doi.org/10.1177/1178221820976988" TargetMode="External" /><Relationship Type="http://schemas.openxmlformats.org/officeDocument/2006/relationships/hyperlink" Id="rId88" Target="https://doi.org/10.1214/17-EJS1338SI" TargetMode="External" /><Relationship Type="http://schemas.openxmlformats.org/officeDocument/2006/relationships/hyperlink" Id="rId69" Target="https://doi.org/10.21231/GNT1-HW21" TargetMode="External" /><Relationship Type="http://schemas.openxmlformats.org/officeDocument/2006/relationships/hyperlink" Id="rId91" Target="https://doi.org/10.2196/29563" TargetMode="External" /><Relationship Type="http://schemas.openxmlformats.org/officeDocument/2006/relationships/hyperlink" Id="rId109" Target="https://doi.org/10.2196/41833" TargetMode="External" /><Relationship Type="http://schemas.openxmlformats.org/officeDocument/2006/relationships/hyperlink" Id="rId111" Target="https://doi.org/10.31234/osf.io/cgsf7" TargetMode="External" /><Relationship Type="http://schemas.openxmlformats.org/officeDocument/2006/relationships/hyperlink" Id="rId80" Target="https://doi.org/gfsjzg" TargetMode="External" /><Relationship Type="http://schemas.openxmlformats.org/officeDocument/2006/relationships/hyperlink" Id="rId24" Target="https://osf.io/xta67/" TargetMode="External" /><Relationship Type="http://schemas.openxmlformats.org/officeDocument/2006/relationships/hyperlink" Id="rId73"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lag/index-preview.html" TargetMode="External" /><Relationship Type="http://schemas.openxmlformats.org/officeDocument/2006/relationships/hyperlink" Id="rId56" Target="https://KendraPaquette.github.io/study_lag/notebooks\mak_figures-preview.html#cell-fig-2" TargetMode="External" /><Relationship Type="http://schemas.openxmlformats.org/officeDocument/2006/relationships/hyperlink" Id="rId35" Target="https://KendraPaquette.github.io/study_lag/notebooks\mak_figures-preview.html#cell-fig-methods" TargetMode="External" /><Relationship Type="http://schemas.openxmlformats.org/officeDocument/2006/relationships/hyperlink" Id="rId59" Target="https://KendraPaquette.github.io/study_lag/notebooks\mak_tables-preview.html#cell-tbl-contrast" TargetMode="External" /><Relationship Type="http://schemas.openxmlformats.org/officeDocument/2006/relationships/hyperlink" Id="rId50" Target="https://KendraPaquette.github.io/study_lag/notebooks\mak_tables-preview.html#cell-tbl-demohtml" TargetMode="External" /><Relationship Type="http://schemas.openxmlformats.org/officeDocument/2006/relationships/hyperlink" Id="rId82" Target="https://doi.org/10.1001/jamanetworkopen.2020.5852" TargetMode="External" /><Relationship Type="http://schemas.openxmlformats.org/officeDocument/2006/relationships/hyperlink" Id="rId85" Target="https://doi.org/10.1007/978-1-4614-6849-3" TargetMode="External" /><Relationship Type="http://schemas.openxmlformats.org/officeDocument/2006/relationships/hyperlink" Id="rId67" Target="https://doi.org/10.1016/j.addbeh.2017.11.039" TargetMode="External" /><Relationship Type="http://schemas.openxmlformats.org/officeDocument/2006/relationships/hyperlink" Id="rId77" Target="https://doi.org/10.1016/j.drugalcdep.2006.05.012" TargetMode="External" /><Relationship Type="http://schemas.openxmlformats.org/officeDocument/2006/relationships/hyperlink" Id="rId95" Target="https://doi.org/10.1016/j.drugalcdep.2019.05.017" TargetMode="External" /><Relationship Type="http://schemas.openxmlformats.org/officeDocument/2006/relationships/hyperlink" Id="rId71" Target="https://doi.org/10.1016/j.jsat.2013.08.004" TargetMode="External" /><Relationship Type="http://schemas.openxmlformats.org/officeDocument/2006/relationships/hyperlink" Id="rId105" Target="https://doi.org/10.1016/j.jsat.2021.108417" TargetMode="External" /><Relationship Type="http://schemas.openxmlformats.org/officeDocument/2006/relationships/hyperlink" Id="rId93" Target="https://doi.org/10.1016/j.jsat.2021.108710" TargetMode="External" /><Relationship Type="http://schemas.openxmlformats.org/officeDocument/2006/relationships/hyperlink" Id="rId107" Target="https://doi.org/10.1037/0003-066X.59.4.224" TargetMode="External" /><Relationship Type="http://schemas.openxmlformats.org/officeDocument/2006/relationships/hyperlink" Id="rId101" Target="https://doi.org/10.1037/adb0000666" TargetMode="External" /><Relationship Type="http://schemas.openxmlformats.org/officeDocument/2006/relationships/hyperlink" Id="rId99" Target="https://doi.org/10.1111/add.13479" TargetMode="External" /><Relationship Type="http://schemas.openxmlformats.org/officeDocument/2006/relationships/hyperlink" Id="rId103" Target="https://doi.org/10.1177/1178221820976988" TargetMode="External" /><Relationship Type="http://schemas.openxmlformats.org/officeDocument/2006/relationships/hyperlink" Id="rId88" Target="https://doi.org/10.1214/17-EJS1338SI" TargetMode="External" /><Relationship Type="http://schemas.openxmlformats.org/officeDocument/2006/relationships/hyperlink" Id="rId69" Target="https://doi.org/10.21231/GNT1-HW21" TargetMode="External" /><Relationship Type="http://schemas.openxmlformats.org/officeDocument/2006/relationships/hyperlink" Id="rId91" Target="https://doi.org/10.2196/29563" TargetMode="External" /><Relationship Type="http://schemas.openxmlformats.org/officeDocument/2006/relationships/hyperlink" Id="rId109" Target="https://doi.org/10.2196/41833" TargetMode="External" /><Relationship Type="http://schemas.openxmlformats.org/officeDocument/2006/relationships/hyperlink" Id="rId111" Target="https://doi.org/10.31234/osf.io/cgsf7" TargetMode="External" /><Relationship Type="http://schemas.openxmlformats.org/officeDocument/2006/relationships/hyperlink" Id="rId80" Target="https://doi.org/gfsjzg" TargetMode="External" /><Relationship Type="http://schemas.openxmlformats.org/officeDocument/2006/relationships/hyperlink" Id="rId24" Target="https://osf.io/xta67/" TargetMode="External" /><Relationship Type="http://schemas.openxmlformats.org/officeDocument/2006/relationships/hyperlink" Id="rId73"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Week Alcohol Use for Precision Mental Health Support</dc:title>
  <dc:creator>Kendra Wyant; Gaylen E. Fronk; Jiachen Yu; John J. Curtin</dc:creator>
  <cp:keywords>Substance use disorders, Precision mental health</cp:keywords>
  <dcterms:created xsi:type="dcterms:W3CDTF">2024-12-16T02:32:13Z</dcterms:created>
  <dcterms:modified xsi:type="dcterms:W3CDTF">2024-12-16T02:32:13Z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the performance of a model predicting immediate alcohol lapses and models with increasing lag time between the prediction time points and start of the prediction window (24, 72, 168, or 336 hour lag). Model features were engineered from 4x daily ecological momentary assessment. Participants (N =151; 51% male; mean age= 41; 87% White, 97% Non-Hispanic) were in early recovery from alcohol use disorder and provided data for up to three months. We used nested cross-validation to select and evaluate the best models. Median auROCs were high across models (range = 0.85 – 0.89). All lagged models performed worse than the 0 lag model (probabilities &gt; .95). All models performed worse for disadvantaged groups (not White vs. non-Hispanic White, below poverty vs. above poverty, female vs. male).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2024-12-15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