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Precision medicine has been a goal in healthcare for over half a century</w:t>
      </w:r>
      <w:r>
        <w:t xml:space="preserve"> </w:t>
      </w:r>
      <w:r>
        <w:t xml:space="preserve">(DeRubeis 2019)</w:t>
      </w:r>
      <w:r>
        <w:t xml:space="preserve">. Traditionally, precision medicine seeks to answer the question of</w:t>
      </w:r>
      <w:r>
        <w:t xml:space="preserve"> </w:t>
      </w:r>
      <w:r>
        <w:rPr>
          <w:i/>
          <w:iCs/>
        </w:rPr>
        <w:t xml:space="preserve">how</w:t>
      </w:r>
      <w:r>
        <w:t xml:space="preserve"> </w:t>
      </w:r>
      <w:r>
        <w:t xml:space="preserve">we best treat a specific individual, given their unique combination of genetic, lifestyle, and environmental characteristics (e.g., which medication is most effective for whom).</w:t>
      </w:r>
    </w:p>
    <w:p>
      <w:pPr>
        <w:pStyle w:val="BodyText"/>
      </w:pPr>
      <w:r>
        <w:t xml:space="preserve">Today, this approach is also applied to chronic mental health conditions (i.e., precision mental health) such as depression, substance use disorders, and suicide. Mental health conditions are complex, fluctuating processes. Medical conditions often have clear biological precursors, which may be treated well with a single medication. In contrast, mental health conditions are products of numerous psychosocial factors, and treatments must be selected from a wide array of supports.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p>
      <w:pPr>
        <w:pStyle w:val="BodyText"/>
      </w:pPr>
      <w:r>
        <w:t xml:space="preserve">There has been long-standing interest in precision mental health and substance use disorders. An early example is the Project MATCH research group, which attempted to match individuals with alcohol use disorder to their optimal treatment based on baseline measures of individual characteristics</w:t>
      </w:r>
      <w:r>
        <w:t xml:space="preserve"> </w:t>
      </w:r>
      <w:r>
        <w:t xml:space="preserve">(Project Match Research Group 1997)</w:t>
      </w:r>
      <w:r>
        <w:t xml:space="preserve">. Earlier studies, however, have been constrained to 1) low-dimensional analyses that fail to capture the complex and heterogeneous nature of substance use disorders and 2) the use of static distal features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uses high dimensional inputs that can capture the complexity of mental health conditions. Moreover, tools from machine learning can be applied to models to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Take the example of lapses, discrete instances of goal inconsistent substance use. Lapses are a clinically important target for substance use treatment. They are often an early warning sign of relapse, and maladaptive responses to lapses can undermine recovery. For some substances, even a single lapse can result in an overdose and/or death. It would be unreasonable to expect that we could predict a lapse with any temporal precision using only features that become more distal as time progresses. Rather, lapse prediction requires dense, long-term monitoring of symptoms and related states proximal to the outcome. &lt;!– you say distal will be a problem but isnt that what we are trying to do in this paper? Maybe better to say not reasonable to expect stable demographics and/or baseline characteristics to predict well over time– &gt;</w:t>
      </w:r>
    </w:p>
    <w:p>
      <w:pPr>
        <w:pStyle w:val="BodyText"/>
      </w:pPr>
      <w:r>
        <w:t xml:space="preserve">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w:t>
      </w:r>
      <w:r>
        <w:t xml:space="preserve">. Thus, it can serve as an important signal for predicting substance use outcomes and interpreting clinically relevant features over a sustained period.</w:t>
      </w:r>
      <w:r>
        <w:t xml:space="preserve"> </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showed that it was possible to predict immediate alcohol lapses for several different prediction widths with clinically meaningful accuracy.</w:t>
      </w:r>
      <w:r>
        <w:t xml:space="preserve"> </w:t>
      </w:r>
    </w:p>
    <w:p>
      <w:pPr>
        <w:pStyle w:val="BodyText"/>
      </w:pPr>
      <w:r>
        <w:t xml:space="preserve">Narrow prediction window widths (i.e., next hour or next day) without any lag time between the prediction time point and start of the prediction window are well-suited for</w:t>
      </w:r>
      <w:r>
        <w:t xml:space="preserve"> </w:t>
      </w:r>
      <w:r>
        <w:rPr>
          <w:i/>
          <w:iCs/>
        </w:rPr>
        <w:t xml:space="preserve">Just-in-Time</w:t>
      </w:r>
      <w:r>
        <w:t xml:space="preserve"> </w:t>
      </w:r>
      <w:r>
        <w:t xml:space="preserve">interventions that make algorithm-guided recommendations to address immediate risks - for example, recommending a coping with craving activity when someone has increased craving, or recommending a guided relaxation video when someone is reporting recent stressful events. Importantly, these supports can be available 24/7 (e.g., in a digital therapeutic) for an individual, allowing them to take action right away.</w:t>
      </w:r>
    </w:p>
    <w:p>
      <w:pPr>
        <w:pStyle w:val="BodyText"/>
      </w:pPr>
      <w:r>
        <w:t xml:space="preserve">However, many interventions cannot be self-contained in a digital therapeutic and take time to set up. For example, someone who has reported recent past alcohol use and low abstinence self-efficacy might be encouraged to attend a self-help meeting, plan an outing with important people in their life, or schedule an appointment with a therapist. These multimodal interventions (i.e., combined human and digital interventions) are not available 24/7. A</w:t>
      </w:r>
      <w:r>
        <w:t xml:space="preserve"> </w:t>
      </w:r>
      <w:r>
        <w:rPr>
          <w:i/>
          <w:iCs/>
        </w:rPr>
        <w:t xml:space="preserve">time-lagged</w:t>
      </w:r>
      <w:r>
        <w:t xml:space="preserve"> </w:t>
      </w:r>
      <w:r>
        <w:t xml:space="preserve">model where prediction windows are shifted further into the future (i.e., away from the prediction time point) could provide patients with increased lead time to implement supports that might not be immediately available to them. In these situations, a wider prediction window width (i.e, one week) may be preferred. Wider window widths yield higher proportions of positive labels mitigating issues of an unbalanced outcome. Additionally, when scheduling real world support, it is important that the lead up time is adequate and not that the prediction is necessarily temporally precise.</w:t>
      </w:r>
    </w:p>
    <w:p>
      <w:pPr>
        <w:pStyle w:val="BodyText"/>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Additionally, our group is committed to the responsible and transparent reporting of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1"/>
    <w:bookmarkStart w:id="47"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2">
        <w:r>
          <w:rPr>
            <w:rStyle w:val="Hyperlink"/>
          </w:rPr>
          <w:t xml:space="preserve">https://osf.io/xta67/</w:t>
        </w:r>
      </w:hyperlink>
      <w:r>
        <w:t xml:space="preserve">).</w:t>
      </w:r>
    </w:p>
    <w:bookmarkEnd w:id="23"/>
    <w:bookmarkStart w:id="24"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4"/>
    <w:bookmarkStart w:id="25"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5"/>
    <w:bookmarkStart w:id="28" w:name="measures"/>
    <w:p>
      <w:pPr>
        <w:pStyle w:val="Heading2"/>
      </w:pPr>
      <w:r>
        <w:t xml:space="preserve">Measures</w:t>
      </w:r>
    </w:p>
    <w:bookmarkStart w:id="26"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6"/>
    <w:bookmarkStart w:id="27"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7"/>
    <w:bookmarkEnd w:id="28"/>
    <w:bookmarkStart w:id="46"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2" w:name="fig-methods"/>
          <w:p>
            <w:pPr>
              <w:pStyle w:val="Compact"/>
              <w:jc w:val="center"/>
            </w:pPr>
            <w:r>
              <w:drawing>
                <wp:inline>
                  <wp:extent cx="5334000" cy="4240840"/>
                  <wp:effectExtent b="0" l="0" r="0" t="0"/>
                  <wp:docPr descr="" title="" id="30" name="Picture"/>
                  <a:graphic>
                    <a:graphicData uri="http://schemas.openxmlformats.org/drawingml/2006/picture">
                      <pic:pic>
                        <pic:nvPicPr>
                          <pic:cNvPr descr="index_files/figure-docx/notebooks-mak_figures-fig-methods-output-1.png" id="31" name="Picture"/>
                          <pic:cNvPicPr>
                            <a:picLocks noChangeArrowheads="1" noChangeAspect="1"/>
                          </pic:cNvPicPr>
                        </pic:nvPicPr>
                        <pic:blipFill>
                          <a:blip r:embed="rId29"/>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All Figures for Main Manuscript</w:t>
        </w:r>
      </w:hyperlink>
    </w:p>
    <w:bookmarkEnd w:id="34"/>
    <w:bookmarkStart w:id="35"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5"/>
    <w:bookmarkStart w:id="36"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6"/>
    <w:bookmarkStart w:id="45" w:name="model-training-and-evaluation"/>
    <w:p>
      <w:pPr>
        <w:pStyle w:val="Heading3"/>
      </w:pPr>
      <w:r>
        <w:t xml:space="preserve">Model Training and Evaluation</w:t>
      </w:r>
    </w:p>
    <w:bookmarkStart w:id="37"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7"/>
    <w:bookmarkStart w:id="38"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38"/>
    <w:bookmarkStart w:id="40"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39"/>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0"/>
    <w:bookmarkStart w:id="43"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1"/>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2"/>
      </w:r>
    </w:p>
    <w:bookmarkEnd w:id="43"/>
    <w:bookmarkStart w:id="44"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the rates of past alcohol use and missing surveys, the time of day and day of the week of the start of the prediction window, and the seven demographic variables included in the models.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4"/>
    <w:bookmarkEnd w:id="45"/>
    <w:bookmarkEnd w:id="46"/>
    <w:bookmarkEnd w:id="47"/>
    <w:bookmarkStart w:id="125" w:name="results"/>
    <w:p>
      <w:pPr>
        <w:pStyle w:val="Heading1"/>
      </w:pPr>
      <w:r>
        <w:t xml:space="preserve">Results</w:t>
      </w:r>
    </w:p>
    <w:bookmarkStart w:id="50" w:name="demographic-and-lapse-characteristics"/>
    <w:p>
      <w:pPr>
        <w:pStyle w:val="Heading2"/>
      </w:pPr>
      <w:r>
        <w:t xml:space="preserve">Demographic and Lapse Characteristics</w:t>
      </w:r>
    </w:p>
    <w:p>
      <w:pPr>
        <w:pStyle w:val="FirstParagraph"/>
      </w:pPr>
      <w:r>
        <w:t xml:space="preserve">There were approximately equal numbers of men (N=77; 51.0%) and women (N=74; 49.0%) who ranged in age from 21 - 72 years old. The sample was majority White (N=131; 86.8%) and non-Hispanic (N=147; 97.4%). Participants self-reported a median of 9.0 DSM-5 symptoms of AUD and most participants (N=84; 55.6%) reported one or more lapses during participation.</w:t>
      </w:r>
      <w:r>
        <w:t xml:space="preserve"> </w:t>
      </w:r>
      <w:hyperlink w:anchor="tbl-demohtml">
        <w:r>
          <w:rPr>
            <w:rStyle w:val="Hyperlink"/>
          </w:rPr>
          <w:t xml:space="preserve">Table 1</w:t>
        </w:r>
      </w:hyperlink>
      <w:r>
        <w:t xml:space="preserve"> </w:t>
      </w:r>
      <w:r>
        <w:t xml:space="preserve">provides more detail on demographic and lapse characteristics of the sample.</w:t>
      </w:r>
    </w:p>
    <w:tbl>
      <w:tblPr>
        <w:tblStyle w:val="Table"/>
        <w:tblW w:type="pct" w:w="5000"/>
        <w:tblLayout w:type="fixed"/>
        <w:tblLook w:firstRow="0" w:lastRow="0" w:firstColumn="0" w:lastColumn="0" w:noHBand="0" w:noVBand="0" w:val="0000"/>
      </w:tblPr>
      <w:tblGrid>
        <w:gridCol w:w="7920"/>
      </w:tblGrid>
      <w:tr>
        <w:tc>
          <w:tcPr/>
          <w:bookmarkStart w:id="48"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8"/>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All Tables for Main Manuscript</w:t>
        </w:r>
      </w:hyperlink>
    </w:p>
    <w:bookmarkEnd w:id="50"/>
    <w:bookmarkStart w:id="57" w:name="model-evaluation"/>
    <w:p>
      <w:pPr>
        <w:pStyle w:val="Heading2"/>
      </w:pPr>
      <w:r>
        <w:t xml:space="preserve">Model Evaluation</w:t>
      </w:r>
    </w:p>
    <w:p>
      <w:pPr>
        <w:pStyle w:val="FirstParagraph"/>
      </w:pPr>
      <w:r>
        <w:t xml:space="preserve">The median auROC across the 30 test sets for our baseline model was high (median=0.893, IQR=0.045), consistent with our previous study.</w:t>
      </w:r>
      <w:r>
        <w:rPr>
          <w:rStyle w:val="FootnoteReference"/>
        </w:rPr>
        <w:footnoteReference w:id="51"/>
      </w:r>
      <w:r>
        <w:t xml:space="preserve"> </w:t>
      </w:r>
      <w:r>
        <w:t xml:space="preserve">Performance across our lagged models was also high for the 24 hour lag (median=0.882, IQR=0.039), 72 hour lag (median=0.868, IQR=0.057), 168 hour lag (median=0.860, IQR=0.062), and 336 hour lag (median=0.856, IQR=0.062).</w:t>
      </w:r>
    </w:p>
    <w:p>
      <w:pPr>
        <w:pStyle w:val="BodyText"/>
      </w:pPr>
      <w:r>
        <w:t xml:space="preserve">Histograms of the full posterior probability distributions for auROC for each model are available in the supplement. The median auROCs from these posterior distributions were 0.893 (baseline), 0.887 (24 hour lag), 0.875 (72 hour lag), 0.871 (168 hour lag), and 0.852 (336 hour lag). These values represent our best estimates for the magnitude of the auROC parameter for each model. The 95% Bayesian CI for the auROCs for these models were relatively narrow and did not contain 0.5: baseline [0.876-0.908], 24 hour lag [0.869-0.903], 72 hour lag [0.855-0.892], 168 hour lag [0.850-0.889], 336 hour lag [0.830-0.872]. Panel A in</w:t>
      </w:r>
      <w:r>
        <w:t xml:space="preserve"> </w:t>
      </w:r>
      <w:hyperlink w:anchor="fig-1">
        <w:r>
          <w:rPr>
            <w:rStyle w:val="Hyperlink"/>
          </w:rPr>
          <w:t xml:space="preserve">Figure 2</w:t>
        </w:r>
      </w:hyperlink>
      <w:r>
        <w:t xml:space="preserve"> </w:t>
      </w:r>
      <w:r>
        <w:t xml:space="preserve">displays these median auROCs and 95% Bayesian CIs by model.</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1-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bookmarkStart w:id="58"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0.960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CI=[0.033-0.049]), yielding a significant probability of 1.000 that the lagged model had worse performance.</w:t>
      </w:r>
    </w:p>
    <w:bookmarkEnd w:id="58"/>
    <w:bookmarkStart w:id="59"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1.000 that the 72 hour lag model had worse performance than the 24 hour lag model. The median decrease in auROC for the 72 hour vs. 168 hour lag model was 0.004 (95% CI=[-0.002-0.011]), yielding a non-significant probability of 0.865 that the 168 hour lag model had worse performance than the 72 hour lag model. The median decrease in auROC for the 168 hour vs. 336 hour lag model was 0.018 (95% CI=[0.011-0.025]), yielding a significant probability of 1.000 that the 336 hour lag model had worse performance than the 168 hour lag model.</w:t>
      </w:r>
    </w:p>
    <w:bookmarkEnd w:id="59"/>
    <w:bookmarkEnd w:id="60"/>
    <w:bookmarkStart w:id="66"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4" w:name="fig-2"/>
          <w:p>
            <w:pPr>
              <w:pStyle w:val="Compact"/>
              <w:jc w:val="center"/>
            </w:pPr>
            <w:r>
              <w:drawing>
                <wp:inline>
                  <wp:extent cx="5334000" cy="4000499"/>
                  <wp:effectExtent b="0" l="0" r="0" t="0"/>
                  <wp:docPr descr="" title="" id="62" name="Picture"/>
                  <a:graphic>
                    <a:graphicData uri="http://schemas.openxmlformats.org/drawingml/2006/picture">
                      <pic:pic>
                        <pic:nvPicPr>
                          <pic:cNvPr descr="index_files/figure-docx/notebooks-mak_figures-fig-2-output-1.png" id="63" name="Picture"/>
                          <pic:cNvPicPr>
                            <a:picLocks noChangeArrowheads="1" noChangeAspect="1"/>
                          </pic:cNvPicPr>
                        </pic:nvPicPr>
                        <pic:blipFill>
                          <a:blip r:embed="rId6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Figures for Main Manuscript</w:t>
        </w:r>
      </w:hyperlink>
    </w:p>
    <w:bookmarkEnd w:id="66"/>
    <w:bookmarkStart w:id="67"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Future risky situations were also globally important across models. This category was ranked as the 4th most important feature across lagged models (24, 72, 168, and 336 hours). For the immediate model (0 hour lag), past risky situations were ranked as the 4th most important feature category and future risky situations was ranked as the fifth most important. Income was the only demographic feature that emerged as having high global importance for lapse prediction (in top 6 for all models). In the supplement we provide a plot of global importance by model and a table of feature categories ranked by global importance for each model.</w:t>
      </w:r>
    </w:p>
    <w:p>
      <w:pPr>
        <w:pStyle w:val="BodyText"/>
      </w:pPr>
      <w:r>
        <w:t xml:space="preserve">Local feature importance plots for each model can be found in the supplement. Future abstinence efficacy, future risky situations, and income appear to have a linear relationship to lapse prediction. Higher efficacy, fewer future risky situations, and higher income were associated with a lower likelihood that the model would predict a lapse. In the supplement, we plot the relationship between Shapley value and feature score individually for our overall top five features by model.</w:t>
      </w:r>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First, as lag time increases, features become less proximal to the prediction time point. Many important relapse risk factors are fluctuating processes that can change day-by-day, if not more frequently. For example, cravings can come on quickly (e.g., after encountering a person or place that reminds them of their use) and typically only last for up to 30 minutes. It may be acceptable to miss some of these more dynamic risk factors, however, if we consider lagged models as a supplement to immediate lapse prediction models (i.e., models with no lag). Lagged prediction models are most useful for their ability to provide individuals with advance notice that they may be at risk for lapsing. This advance notice can be used to implement more time-intensive recovery supports, such as attending a support group. On the other hand, an immediate lapse prediction model (i.e., no lag) is well-suited for detecting immediate risk and making a recommendation just-in-time (e.g., pointing to an activity available 24/7 on the web).</w:t>
      </w:r>
    </w:p>
    <w:p>
      <w:pPr>
        <w:pStyle w:val="BodyText"/>
      </w:pPr>
      <w:r>
        <w:t xml:space="preserve">We saw mixed evidence that feature importance might change depending on lag. Past use and craving were the top two features for all models. This suggests that although these features can change quickly, they are important enough to consistently emerge as top predictors regardless of lag time. Recent past risky situations, however, ranked high for the immediate prediction models, but future anticipated risky situations was relatively more important for the lagged models.</w:t>
      </w:r>
      <w:r>
        <w:t xml:space="preserve"> </w:t>
      </w:r>
      <w:r>
        <w:t xml:space="preserve"> </w:t>
      </w:r>
    </w:p>
    <w:p>
      <w:pPr>
        <w:pStyle w:val="BodyText"/>
      </w:pPr>
      <w:r>
        <w:t xml:space="preserve">Second, participants only provided EMA for up to three months. Therefore, a lag time of two weeks between the prediction time point and start of the prediction window prohibits us from using 1/6th of the EMA data for predictions. It is possible that this loss of data contributed to decreased performance in the lagged models.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women,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w:t>
      </w:r>
    </w:p>
    <w:p>
      <w:pPr>
        <w:pStyle w:val="BodyText"/>
      </w:pPr>
      <w:r>
        <w:t xml:space="preserve">Lastly, we could consider building models for a specific individual (i.e., idiographic)</w:t>
      </w:r>
      <w:r>
        <w:t xml:space="preserve"> </w:t>
      </w:r>
      <w:r>
        <w:t xml:space="preserve">(Fisher et al. 2019; Wright and Zimmermann 2019)</w:t>
      </w:r>
      <w:r>
        <w:t xml:space="preserve">. Person-specific models consider the characteristics and behaviors important to an individual rather than generalizing across a population. Unfortunately, a person-specific lapse prediction model requires a sufficient number of positive labels (i.e., lapses) for that individual. Waiting until an individual has lapsed multiple (perhaps many) times to offer help is in direct opposition with our goals. One potential solution to this conundrum may involve departing from traditional machine learning algorithms. For example, state space models, which are grounded in traditional repeated measures designs, inherently capture time series data and allow for the modeling of how an individual’s risk evolves over time from observable and latent states.</w:t>
      </w:r>
      <w:r>
        <w:t xml:space="preserve"> </w:t>
      </w:r>
    </w:p>
    <w:p>
      <w:pPr>
        <w:pStyle w:val="BodyText"/>
      </w:pPr>
      <w:r>
        <w:t xml:space="preserve">Although representation in our data is likely a contributing factor, it is not the only factor affecting model fairness. We had equal representation of men and women, and we still saw differences in performance. This difference is likely due to another source of bias - measurement bias.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All of the proposed suggestions above for improving model fairness are current directions in our lab. In our current sample of participants, we are building models that prioritize accuracy for underrepresented groups. We are also building models that use other sensing methods, like geolocation and text message content, separately and in conjunction with EMA. In these combined models, we plan to assess whether the relative top features differs by demographic group. For example, it is possible that data-driven features (e.g., from geolocation) emerge as more important for groups that have been historically underrepresented in the research on relapse risk factors driving our self-report measures. To increase the diversity of our data, we recruited a nationally representative sample of people with opioid use disorder (data collection is near complete)</w:t>
      </w:r>
      <w:r>
        <w:t xml:space="preserve"> </w:t>
      </w:r>
      <w:r>
        <w:t xml:space="preserve">(Moshontz et al. 2021)</w:t>
      </w:r>
      <w:r>
        <w:t xml:space="preserve">.</w:t>
      </w:r>
    </w:p>
    <w:p>
      <w:pPr>
        <w:pStyle w:val="BodyText"/>
      </w:pPr>
      <w:r>
        <w:t xml:space="preserve">Measurement burden of EMA is also a concern.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plan to build models that use only 1x daily EMA to evaluate the trade-off between model performance and assessment burden. We also plan to build models that combine EMA and passive sensing methods, like geolocation, and evaluate the important features. It is possible that adding other low burden sensing methods could allow us to reduce the frequency (e.g., 1x weekly EMA) and/or length (e.g, 2-3 items) of our EMAs.</w:t>
      </w:r>
    </w:p>
    <w:p>
      <w:pPr>
        <w:pStyle w:val="BodyText"/>
      </w:pPr>
      <w:r>
        <w:t xml:space="preserve">Finally, to address disparities in substance use treatment initiation and outcomes among underrepresented groups, it is important to solicit and consider individual preferences and perceptions of the sensing data used to build an algorithm-guided risk monitoring support system from the beginning (i.e.,</w:t>
      </w:r>
      <w:r>
        <w:t xml:space="preserve"> </w:t>
      </w:r>
      <w:r>
        <w:rPr>
          <w:i/>
          <w:iCs/>
        </w:rPr>
        <w:t xml:space="preserve">before</w:t>
      </w:r>
      <w:r>
        <w:t xml:space="preserve"> </w:t>
      </w:r>
      <w:r>
        <w:t xml:space="preserve">an intervention is developed). Providing a support tool only acceptable to a majority group could widen existing disparities. To this end, we are currently using a mixed-methods design to assess issues related to feasibility and acceptability by sensing method and demographic characteristics in our national sample of participants with opioid use disorder.</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multimodal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24" w:name="references"/>
    <w:p>
      <w:pPr>
        <w:pStyle w:val="Heading2"/>
      </w:pPr>
      <w:r>
        <w:t xml:space="preserve">References</w:t>
      </w:r>
    </w:p>
    <w:bookmarkStart w:id="123"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2" w:name="ref-fisherOpenTrialPersonalized2019"/>
    <w:p>
      <w:pPr>
        <w:pStyle w:val="Bibliography"/>
      </w:pPr>
      <w:r>
        <w:t xml:space="preserve">Fisher, Aaron J., Hannah G. Bosley, Katya C. Fernandez, Jonathan W. Reeves, Peter D. Soyster, Allison E. Diamond, and Jonathan Barkin. 2019.</w:t>
      </w:r>
      <w:r>
        <w:t xml:space="preserve"> </w:t>
      </w:r>
      <w:r>
        <w:t xml:space="preserve">“Open Trial of a Personalized Modular Treatment for Mood and Anxiety.”</w:t>
      </w:r>
      <w:r>
        <w:t xml:space="preserve"> </w:t>
      </w:r>
      <w:r>
        <w:rPr>
          <w:i/>
          <w:iCs/>
        </w:rPr>
        <w:t xml:space="preserve">Behaviour Research and Therapy</w:t>
      </w:r>
      <w:r>
        <w:t xml:space="preserve"> </w:t>
      </w:r>
      <w:r>
        <w:t xml:space="preserve">116 (May): 69–79.</w:t>
      </w:r>
      <w:r>
        <w:t xml:space="preserve"> </w:t>
      </w:r>
      <w:hyperlink r:id="rId81">
        <w:r>
          <w:rPr>
            <w:rStyle w:val="Hyperlink"/>
          </w:rPr>
          <w:t xml:space="preserve">https://doi.org/10.1016/j.brat.2019.01.010</w:t>
        </w:r>
      </w:hyperlink>
      <w:r>
        <w:t xml:space="preserve">.</w:t>
      </w:r>
    </w:p>
    <w:bookmarkEnd w:id="82"/>
    <w:bookmarkStart w:id="8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3"/>
    <w:bookmarkStart w:id="8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4"/>
    <w:bookmarkStart w:id="86"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5">
        <w:r>
          <w:rPr>
            <w:rStyle w:val="Hyperlink"/>
          </w:rPr>
          <w:t xml:space="preserve">https://doi.org/10.1016/j.drugalcdep.2006.05.012</w:t>
        </w:r>
      </w:hyperlink>
      <w:r>
        <w:t xml:space="preserve">.</w:t>
      </w:r>
    </w:p>
    <w:bookmarkEnd w:id="86"/>
    <w:bookmarkStart w:id="8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7"/>
    <w:bookmarkStart w:id="89"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8">
        <w:r>
          <w:rPr>
            <w:rStyle w:val="Hyperlink"/>
          </w:rPr>
          <w:t xml:space="preserve">https://doi.org/gfsjzg</w:t>
        </w:r>
      </w:hyperlink>
      <w:r>
        <w:t xml:space="preserve">.</w:t>
      </w:r>
    </w:p>
    <w:bookmarkEnd w:id="89"/>
    <w:bookmarkStart w:id="9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0">
        <w:r>
          <w:rPr>
            <w:rStyle w:val="Hyperlink"/>
          </w:rPr>
          <w:t xml:space="preserve">https://doi.org/10.1001/jamanetworkopen.2020.5852</w:t>
        </w:r>
      </w:hyperlink>
      <w:r>
        <w:t xml:space="preserve">.</w:t>
      </w:r>
    </w:p>
    <w:bookmarkEnd w:id="91"/>
    <w:bookmarkStart w:id="9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2"/>
    <w:bookmarkStart w:id="9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3">
        <w:r>
          <w:rPr>
            <w:rStyle w:val="Hyperlink"/>
          </w:rPr>
          <w:t xml:space="preserve">https://doi.org/10.1007/978-1-4614-6849-3</w:t>
        </w:r>
      </w:hyperlink>
      <w:r>
        <w:t xml:space="preserve">.</w:t>
      </w:r>
    </w:p>
    <w:bookmarkEnd w:id="94"/>
    <w:bookmarkStart w:id="9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5"/>
    <w:bookmarkStart w:id="97"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6">
        <w:r>
          <w:rPr>
            <w:rStyle w:val="Hyperlink"/>
          </w:rPr>
          <w:t xml:space="preserve">https://doi.org/10.1214/17-EJS1338SI</w:t>
        </w:r>
      </w:hyperlink>
      <w:r>
        <w:t xml:space="preserve">.</w:t>
      </w:r>
    </w:p>
    <w:bookmarkEnd w:id="97"/>
    <w:bookmarkStart w:id="9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98"/>
    <w:bookmarkStart w:id="9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9"/>
    <w:bookmarkStart w:id="10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
          <w:iCs/>
        </w:rPr>
        <w:t xml:space="preserve">VIN Foundation</w:t>
      </w:r>
      <w:r>
        <w:t xml:space="preserve">. https://vinfoundation.org/2024-federal-poverty-rates-published-why-that-matters-for-your-student-loans/.</w:t>
      </w:r>
    </w:p>
    <w:bookmarkEnd w:id="100"/>
    <w:bookmarkStart w:id="10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1">
        <w:r>
          <w:rPr>
            <w:rStyle w:val="Hyperlink"/>
          </w:rPr>
          <w:t xml:space="preserve">https://doi.org/10.2196/29563</w:t>
        </w:r>
      </w:hyperlink>
      <w:r>
        <w:t xml:space="preserve">.</w:t>
      </w:r>
    </w:p>
    <w:bookmarkEnd w:id="102"/>
    <w:bookmarkStart w:id="10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3">
        <w:r>
          <w:rPr>
            <w:rStyle w:val="Hyperlink"/>
          </w:rPr>
          <w:t xml:space="preserve">https://doi.org/10.1016/j.jsat.2021.108710</w:t>
        </w:r>
      </w:hyperlink>
      <w:r>
        <w:t xml:space="preserve">.</w:t>
      </w:r>
    </w:p>
    <w:bookmarkEnd w:id="104"/>
    <w:bookmarkStart w:id="10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5">
        <w:r>
          <w:rPr>
            <w:rStyle w:val="Hyperlink"/>
          </w:rPr>
          <w:t xml:space="preserve">https://doi.org/10.1016/j.drugalcdep.2019.05.017</w:t>
        </w:r>
      </w:hyperlink>
      <w:r>
        <w:t xml:space="preserve">.</w:t>
      </w:r>
    </w:p>
    <w:bookmarkEnd w:id="106"/>
    <w:bookmarkStart w:id="107"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7"/>
    <w:bookmarkStart w:id="108"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1">
        <w:r>
          <w:rPr>
            <w:rStyle w:val="Hyperlink"/>
          </w:rPr>
          <w:t xml:space="preserve">https://doi.org/10.1016/j.jsat.2021.108417</w:t>
        </w:r>
      </w:hyperlink>
      <w:r>
        <w:t xml:space="preserve">.</w:t>
      </w:r>
    </w:p>
    <w:bookmarkEnd w:id="112"/>
    <w:bookmarkStart w:id="11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3">
        <w:r>
          <w:rPr>
            <w:rStyle w:val="Hyperlink"/>
          </w:rPr>
          <w:t xml:space="preserve">https://doi.org/10.1037/0003-066X.59.4.224</w:t>
        </w:r>
      </w:hyperlink>
      <w:r>
        <w:t xml:space="preserve">.</w:t>
      </w:r>
    </w:p>
    <w:bookmarkEnd w:id="114"/>
    <w:bookmarkStart w:id="11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5">
        <w:r>
          <w:rPr>
            <w:rStyle w:val="Hyperlink"/>
          </w:rPr>
          <w:t xml:space="preserve">https://doi.org/10.1016/j.cpr.2007.01.002</w:t>
        </w:r>
      </w:hyperlink>
      <w:r>
        <w:t xml:space="preserve">.</w:t>
      </w:r>
    </w:p>
    <w:bookmarkEnd w:id="116"/>
    <w:bookmarkStart w:id="118" w:name="X62c2bccfcb3c64764f794751dcac0a3c1c7edc5"/>
    <w:p>
      <w:pPr>
        <w:pStyle w:val="Bibliography"/>
      </w:pPr>
      <w:r>
        <w:t xml:space="preserve">Wright, Aidan G. C., and Johannes Zimmermann. 2019.</w:t>
      </w:r>
      <w:r>
        <w:t xml:space="preserve"> </w:t>
      </w:r>
      <w:r>
        <w:t xml:space="preserve">“Applied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 </w:t>
      </w:r>
      <w:r>
        <w:t xml:space="preserve">31 (12): 1467–80.</w:t>
      </w:r>
      <w:r>
        <w:t xml:space="preserve"> </w:t>
      </w:r>
      <w:hyperlink r:id="rId117">
        <w:r>
          <w:rPr>
            <w:rStyle w:val="Hyperlink"/>
          </w:rPr>
          <w:t xml:space="preserve">https://doi.org/10.1037/pas0000685</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1">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r>
        <w:t xml:space="preserve">(MBA 2024)</w:t>
      </w:r>
    </w:p>
  </w:footnote>
  <w:footnote w:id="4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 w:id="51">
    <w:p>
      <w:pPr>
        <w:pStyle w:val="FootnoteText"/>
      </w:pPr>
      <w:r>
        <w:rPr>
          <w:rStyle w:val="FootnoteReference"/>
        </w:rPr>
        <w:footnoteRef/>
      </w:r>
      <w:r>
        <w:t xml:space="preserve"> </w:t>
      </w:r>
      <w:r>
        <w:t xml:space="preserve">Baseline models in our previous study yielded a median auROC of .895. These models inadvertently excluded income and employment as features. We reran models to include these features in the current study.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29" Target="media/rId29.png" /><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65" Target="https://KendraPaquette.github.io/study_lag/notebooks\mak_figures-preview.html#cell-fig-2"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49" Target="https://KendraPaquette.github.io/study_lag/notebooks\mak_tables-preview.html#cell-tbl-demohtml" TargetMode="External"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2"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65" Target="https://KendraPaquette.github.io/study_lag/notebooks\mak_figures-preview.html#cell-fig-2"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49" Target="https://KendraPaquette.github.io/study_lag/notebooks\mak_tables-preview.html#cell-tbl-demohtml" TargetMode="External"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2"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2024-10-24T13:23:54Z</dcterms:created>
  <dcterms:modified xsi:type="dcterms:W3CDTF">2024-10-24T13:23:54Z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