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3"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Bayesian CI, and posterior probability that that this difference was greater than 0 our baseline and adjacent lag contrasts. There was strong evidence (probabilities &gt;= .96) that the lagged models performed worse than the baseline (no lag) model, with average drops in auROC ranging from .01-.04. There was also moderately strong evidence (probabilities &gt;= .86) that the more lagged models performed worse than the previous adjacent lag, with average drops in auROC ranging from 0-.02.</w:t>
      </w:r>
    </w:p>
    <w:tbl>
      <w:tblPr>
        <w:tblStyle w:val="Table"/>
        <w:tblW w:type="pct" w:w="5000"/>
        <w:tblLook w:firstRow="0" w:lastRow="0" w:firstColumn="0" w:lastColumn="0" w:noHBand="0" w:noVBand="0" w:val="0000"/>
        <w:jc w:val="start"/>
        <w:tblLayout w:type="fixed"/>
      </w:tblPr>
      <w:tblGrid>
        <w:gridCol w:w="7920"/>
      </w:tblGrid>
      <w:tr>
        <w:tc>
          <w:tcPr/>
          <w:bookmarkStart w:id="59" w:name="tbl-contrast"/>
          <w:p>
            <w:pPr>
              <w:jc w:val="center"/>
            </w:pPr>
            <w:pPr>
              <w:jc w:val="start"/>
              <w:spacing w:before="200"/>
              <w:pStyle w:val="ImageCaption"/>
            </w:pPr>
            <w:r>
              <w:t xml:space="preserve">Table 2: Model Contrasts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0.01</w:t>
                  </w:r>
                </w:p>
              </w:tc>
              <w:tc>
                <w:tcPr/>
                <w:p>
                  <w:pPr>
                    <w:pStyle w:val="Compact"/>
                    <w:jc w:val="left"/>
                    <w:jc w:val="center"/>
                  </w:pPr>
                  <w:r>
                    <w:t xml:space="preserve">[0, 0.01]</w:t>
                  </w:r>
                </w:p>
              </w:tc>
              <w:tc>
                <w:tcPr/>
                <w:p>
                  <w:pPr>
                    <w:pStyle w:val="Compact"/>
                    <w:jc w:val="left"/>
                    <w:jc w:val="center"/>
                  </w:pPr>
                  <w:r>
                    <w:t xml:space="preserve">0.96</w:t>
                  </w:r>
                </w:p>
              </w:tc>
            </w:tr>
            <w:tr>
              <w:tc>
                <w:tcPr/>
                <w:p>
                  <w:pPr>
                    <w:pStyle w:val="Compact"/>
                    <w:jc w:val="left"/>
                    <w:jc w:val="center"/>
                  </w:pPr>
                  <w:r>
                    <w:t xml:space="preserve">0 vs. 72</w:t>
                  </w:r>
                </w:p>
              </w:tc>
              <w:tc>
                <w:tcPr/>
                <w:p>
                  <w:pPr>
                    <w:pStyle w:val="Compact"/>
                    <w:jc w:val="left"/>
                    <w:jc w:val="center"/>
                  </w:pPr>
                  <w:r>
                    <w:t xml:space="preserve">0.02</w:t>
                  </w:r>
                </w:p>
              </w:tc>
              <w:tc>
                <w:tcPr/>
                <w:p>
                  <w:pPr>
                    <w:pStyle w:val="Compact"/>
                    <w:jc w:val="left"/>
                    <w:jc w:val="center"/>
                  </w:pPr>
                  <w:r>
                    <w:t xml:space="preserve">[0.01, 0.02]</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w:t>
                  </w:r>
                </w:p>
              </w:tc>
              <w:tc>
                <w:tcPr/>
                <w:p>
                  <w:pPr>
                    <w:pStyle w:val="Compact"/>
                    <w:jc w:val="left"/>
                    <w:jc w:val="center"/>
                  </w:pPr>
                  <w:r>
                    <w:t xml:space="preserve">[0.02, 0.03]</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w:t>
                  </w:r>
                </w:p>
              </w:tc>
              <w:tc>
                <w:tcPr/>
                <w:p>
                  <w:pPr>
                    <w:pStyle w:val="Compact"/>
                    <w:jc w:val="left"/>
                    <w:jc w:val="center"/>
                  </w:pPr>
                  <w:r>
                    <w:t xml:space="preserve">[0.03,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w:t>
                  </w:r>
                </w:p>
              </w:tc>
              <w:tc>
                <w:tcPr/>
                <w:p>
                  <w:pPr>
                    <w:pStyle w:val="Compact"/>
                    <w:jc w:val="left"/>
                    <w:jc w:val="center"/>
                  </w:pPr>
                  <w:r>
                    <w:t xml:space="preserve">[0.01, 0.02]</w:t>
                  </w:r>
                </w:p>
              </w:tc>
              <w:tc>
                <w:tcPr/>
                <w:p>
                  <w:pPr>
                    <w:pStyle w:val="Compact"/>
                    <w:jc w:val="left"/>
                    <w:jc w:val="center"/>
                  </w:pPr>
                  <w:r>
                    <w:t xml:space="preserve">1</w:t>
                  </w:r>
                </w:p>
              </w:tc>
            </w:tr>
            <w:tr>
              <w:tc>
                <w:tcPr/>
                <w:p>
                  <w:pPr>
                    <w:pStyle w:val="Compact"/>
                    <w:jc w:val="left"/>
                    <w:jc w:val="center"/>
                  </w:pPr>
                  <w:r>
                    <w:t xml:space="preserve">72 vs. 168</w:t>
                  </w:r>
                </w:p>
              </w:tc>
              <w:tc>
                <w:tcPr/>
                <w:p>
                  <w:pPr>
                    <w:pStyle w:val="Compact"/>
                    <w:jc w:val="left"/>
                    <w:jc w:val="center"/>
                  </w:pPr>
                  <w:r>
                    <w:t xml:space="preserve">0</w:t>
                  </w:r>
                </w:p>
              </w:tc>
              <w:tc>
                <w:tcPr/>
                <w:p>
                  <w:pPr>
                    <w:pStyle w:val="Compact"/>
                    <w:jc w:val="left"/>
                    <w:jc w:val="center"/>
                  </w:pPr>
                  <w:r>
                    <w:t xml:space="preserve">[0, 0.01]</w:t>
                  </w:r>
                </w:p>
              </w:tc>
              <w:tc>
                <w:tcPr/>
                <w:p>
                  <w:pPr>
                    <w:pStyle w:val="Compact"/>
                    <w:jc w:val="left"/>
                    <w:jc w:val="center"/>
                  </w:pPr>
                  <w:r>
                    <w:t xml:space="preserve">0.86</w:t>
                  </w:r>
                </w:p>
              </w:tc>
            </w:tr>
            <w:tr>
              <w:tc>
                <w:tcPr/>
                <w:p>
                  <w:pPr>
                    <w:pStyle w:val="Compact"/>
                    <w:jc w:val="left"/>
                    <w:jc w:val="center"/>
                  </w:pPr>
                  <w:r>
                    <w:t xml:space="preserve">168 vs. 336</w:t>
                  </w:r>
                </w:p>
              </w:tc>
              <w:tc>
                <w:tcPr/>
                <w:p>
                  <w:pPr>
                    <w:pStyle w:val="Compact"/>
                    <w:jc w:val="left"/>
                    <w:jc w:val="center"/>
                  </w:pPr>
                  <w:r>
                    <w:t xml:space="preserve">0.02</w:t>
                  </w:r>
                </w:p>
              </w:tc>
              <w:tc>
                <w:tcPr/>
                <w:p>
                  <w:pPr>
                    <w:pStyle w:val="Compact"/>
                    <w:jc w:val="left"/>
                    <w:jc w:val="center"/>
                  </w:pPr>
                  <w:r>
                    <w:t xml:space="preserve">[0.01, 0.03]</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w:t>
      </w:r>
      <w:r>
        <w:t xml:space="preserve"> </w:t>
      </w:r>
      <w:r>
        <w:rPr>
          <w:bCs/>
          <w:b/>
        </w:rPr>
        <w:t xml:space="preserve">jonesComplianceEcologicalMomentary2019a?</w:t>
      </w:r>
      <w:r>
        <w:t xml:space="preserve">)</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2" w:name="references"/>
    <w:p>
      <w:pPr>
        <w:pStyle w:val="Heading2"/>
      </w:pPr>
      <w:r>
        <w:t xml:space="preserve">References</w:t>
      </w:r>
    </w:p>
    <w:bookmarkStart w:id="121"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Cs/>
          <w:i/>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Cs/>
          <w:i/>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4"/>
    <w:bookmarkStart w:id="8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5">
        <w:r>
          <w:rPr>
            <w:rStyle w:val="Hyperlink"/>
          </w:rPr>
          <w:t xml:space="preserve">https://doi.org/10.1001/jamanetworkopen.2020.5852</w:t>
        </w:r>
      </w:hyperlink>
      <w:r>
        <w:t xml:space="preserve">.</w:t>
      </w:r>
    </w:p>
    <w:bookmarkEnd w:id="86"/>
    <w:bookmarkStart w:id="88"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Cs/>
          <w:i/>
        </w:rPr>
        <w:t xml:space="preserve">Current Psychiatry Reports</w:t>
      </w:r>
      <w:r>
        <w:t xml:space="preserve"> </w:t>
      </w:r>
      <w:r>
        <w:t xml:space="preserve">14 (5): 486–93.</w:t>
      </w:r>
      <w:r>
        <w:t xml:space="preserve"> </w:t>
      </w:r>
      <w:hyperlink r:id="rId87">
        <w:r>
          <w:rPr>
            <w:rStyle w:val="Hyperlink"/>
          </w:rPr>
          <w:t xml:space="preserve">https://doi.org/10.1007/s11920-012-0296-5</w:t>
        </w:r>
      </w:hyperlink>
      <w:r>
        <w:t xml:space="preserve">.</w:t>
      </w:r>
    </w:p>
    <w:bookmarkEnd w:id="88"/>
    <w:bookmarkStart w:id="8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9"/>
    <w:bookmarkStart w:id="9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0">
        <w:r>
          <w:rPr>
            <w:rStyle w:val="Hyperlink"/>
          </w:rPr>
          <w:t xml:space="preserve">https://doi.org/10.1007/978-1-4614-6849-3</w:t>
        </w:r>
      </w:hyperlink>
      <w:r>
        <w:t xml:space="preserve">.</w:t>
      </w:r>
    </w:p>
    <w:bookmarkEnd w:id="91"/>
    <w:bookmarkStart w:id="9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2"/>
    <w:bookmarkStart w:id="94"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93">
        <w:r>
          <w:rPr>
            <w:rStyle w:val="Hyperlink"/>
          </w:rPr>
          <w:t xml:space="preserve">https://doi.org/10.1214/17-EJS1338SI</w:t>
        </w:r>
      </w:hyperlink>
      <w:r>
        <w:t xml:space="preserve">.</w:t>
      </w:r>
    </w:p>
    <w:bookmarkEnd w:id="94"/>
    <w:bookmarkStart w:id="95"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5"/>
    <w:bookmarkStart w:id="97"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6">
        <w:r>
          <w:rPr>
            <w:rStyle w:val="Hyperlink"/>
          </w:rPr>
          <w:t xml:space="preserve">https://doi.org/10.2196/29563</w:t>
        </w:r>
      </w:hyperlink>
      <w:r>
        <w:t xml:space="preserve">.</w:t>
      </w:r>
    </w:p>
    <w:bookmarkEnd w:id="97"/>
    <w:bookmarkStart w:id="99"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98">
        <w:r>
          <w:rPr>
            <w:rStyle w:val="Hyperlink"/>
          </w:rPr>
          <w:t xml:space="preserve">https://doi.org/10.1016/j.jsat.2021.108710</w:t>
        </w:r>
      </w:hyperlink>
      <w:r>
        <w:t xml:space="preserve">.</w:t>
      </w:r>
    </w:p>
    <w:bookmarkEnd w:id="99"/>
    <w:bookmarkStart w:id="101"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100">
        <w:r>
          <w:rPr>
            <w:rStyle w:val="Hyperlink"/>
          </w:rPr>
          <w:t xml:space="preserve">https://doi.org/10.1016/j.drugalcdep.2019.05.017</w:t>
        </w:r>
      </w:hyperlink>
      <w:r>
        <w:t xml:space="preserve">.</w:t>
      </w:r>
    </w:p>
    <w:bookmarkEnd w:id="101"/>
    <w:bookmarkStart w:id="102"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102"/>
    <w:bookmarkStart w:id="10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3"/>
    <w:bookmarkStart w:id="104"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Cs/>
          <w:i/>
        </w:rPr>
        <w:t xml:space="preserve">Substance Abuse and Mental Health Services Administration</w:t>
      </w:r>
      <w:r>
        <w:t xml:space="preserve">. https://www.samhsa.gov/data/report/2021-nsduh-detailed-tables.</w:t>
      </w:r>
    </w:p>
    <w:bookmarkEnd w:id="104"/>
    <w:bookmarkStart w:id="10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Cs/>
          <w:i/>
        </w:rPr>
        <w:t xml:space="preserve">Addiction</w:t>
      </w:r>
      <w:r>
        <w:t xml:space="preserve"> </w:t>
      </w:r>
      <w:r>
        <w:t xml:space="preserve">111 (12): 2079–81.</w:t>
      </w:r>
      <w:r>
        <w:t xml:space="preserve"> </w:t>
      </w:r>
      <w:hyperlink r:id="rId105">
        <w:r>
          <w:rPr>
            <w:rStyle w:val="Hyperlink"/>
          </w:rPr>
          <w:t xml:space="preserve">https://doi.org/10.1111/add.13479</w:t>
        </w:r>
      </w:hyperlink>
      <w:r>
        <w:t xml:space="preserve">.</w:t>
      </w:r>
    </w:p>
    <w:bookmarkEnd w:id="106"/>
    <w:bookmarkStart w:id="10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7">
        <w:r>
          <w:rPr>
            <w:rStyle w:val="Hyperlink"/>
          </w:rPr>
          <w:t xml:space="preserve">https://doi.org/10.1037/adb0000666</w:t>
        </w:r>
      </w:hyperlink>
      <w:r>
        <w:t xml:space="preserve">.</w:t>
      </w:r>
    </w:p>
    <w:bookmarkEnd w:id="108"/>
    <w:bookmarkStart w:id="11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Cs/>
          <w:i/>
        </w:rPr>
        <w:t xml:space="preserve">Substance Abuse: Research and Treatment</w:t>
      </w:r>
      <w:r>
        <w:t xml:space="preserve"> </w:t>
      </w:r>
      <w:r>
        <w:t xml:space="preserve">15 (January): 1178221820976988.</w:t>
      </w:r>
      <w:r>
        <w:t xml:space="preserve"> </w:t>
      </w:r>
      <w:hyperlink r:id="rId109">
        <w:r>
          <w:rPr>
            <w:rStyle w:val="Hyperlink"/>
          </w:rPr>
          <w:t xml:space="preserve">https://doi.org/10.1177/1178221820976988</w:t>
        </w:r>
      </w:hyperlink>
      <w:r>
        <w:t xml:space="preserve">.</w:t>
      </w:r>
    </w:p>
    <w:bookmarkEnd w:id="110"/>
    <w:bookmarkStart w:id="11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11">
        <w:r>
          <w:rPr>
            <w:rStyle w:val="Hyperlink"/>
          </w:rPr>
          <w:t xml:space="preserve">https://doi.org/10.1016/j.jsat.2021.108417</w:t>
        </w:r>
      </w:hyperlink>
      <w:r>
        <w:t xml:space="preserve">.</w:t>
      </w:r>
    </w:p>
    <w:bookmarkEnd w:id="112"/>
    <w:bookmarkStart w:id="11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13">
        <w:r>
          <w:rPr>
            <w:rStyle w:val="Hyperlink"/>
          </w:rPr>
          <w:t xml:space="preserve">https://doi.org/10.1037/0003-066X.59.4.224</w:t>
        </w:r>
      </w:hyperlink>
      <w:r>
        <w:t xml:space="preserve">.</w:t>
      </w:r>
    </w:p>
    <w:bookmarkEnd w:id="114"/>
    <w:bookmarkStart w:id="11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5">
        <w:r>
          <w:rPr>
            <w:rStyle w:val="Hyperlink"/>
          </w:rPr>
          <w:t xml:space="preserve">https://doi.org/10.1016/j.cpr.2007.01.002</w:t>
        </w:r>
      </w:hyperlink>
      <w:r>
        <w:t xml:space="preserve">.</w:t>
      </w:r>
    </w:p>
    <w:bookmarkEnd w:id="116"/>
    <w:bookmarkStart w:id="11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17">
        <w:r>
          <w:rPr>
            <w:rStyle w:val="Hyperlink"/>
          </w:rPr>
          <w:t xml:space="preserve">https://doi.org/10.2196/41833</w:t>
        </w:r>
      </w:hyperlink>
      <w:r>
        <w:t xml:space="preserve">.</w:t>
      </w:r>
    </w:p>
    <w:bookmarkEnd w:id="118"/>
    <w:bookmarkStart w:id="12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19">
        <w:r>
          <w:rPr>
            <w:rStyle w:val="Hyperlink"/>
          </w:rPr>
          <w:t xml:space="preserve">https://doi.org/10.31234/osf.io/cgsf7</w:t>
        </w:r>
      </w:hyperlink>
      <w:r>
        <w:t xml:space="preserve">.</w:t>
      </w:r>
    </w:p>
    <w:bookmarkEnd w:id="120"/>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5" Target="https://doi.org/10.1001/jamanetworkopen.2020.5852" TargetMode="External" /><Relationship Type="http://schemas.openxmlformats.org/officeDocument/2006/relationships/hyperlink" Id="rId90" Target="https://doi.org/10.1007/978-1-4614-6849-3" TargetMode="External" /><Relationship Type="http://schemas.openxmlformats.org/officeDocument/2006/relationships/hyperlink" Id="rId87"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0"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98"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7" Target="https://doi.org/10.1037/adb0000666" TargetMode="External" /><Relationship Type="http://schemas.openxmlformats.org/officeDocument/2006/relationships/hyperlink" Id="rId105"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09" Target="https://doi.org/10.1177/1178221820976988" TargetMode="External" /><Relationship Type="http://schemas.openxmlformats.org/officeDocument/2006/relationships/hyperlink" Id="rId93"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6" Target="https://doi.org/10.2196/29563" TargetMode="External" /><Relationship Type="http://schemas.openxmlformats.org/officeDocument/2006/relationships/hyperlink" Id="rId117" Target="https://doi.org/10.2196/41833" TargetMode="External" /><Relationship Type="http://schemas.openxmlformats.org/officeDocument/2006/relationships/hyperlink" Id="rId119" Target="https://doi.org/10.31234/osf.io/cgsf7"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5" Target="https://doi.org/10.1001/jamanetworkopen.2020.5852" TargetMode="External" /><Relationship Type="http://schemas.openxmlformats.org/officeDocument/2006/relationships/hyperlink" Id="rId90" Target="https://doi.org/10.1007/978-1-4614-6849-3" TargetMode="External" /><Relationship Type="http://schemas.openxmlformats.org/officeDocument/2006/relationships/hyperlink" Id="rId87"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0"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98"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7" Target="https://doi.org/10.1037/adb0000666" TargetMode="External" /><Relationship Type="http://schemas.openxmlformats.org/officeDocument/2006/relationships/hyperlink" Id="rId105"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09" Target="https://doi.org/10.1177/1178221820976988" TargetMode="External" /><Relationship Type="http://schemas.openxmlformats.org/officeDocument/2006/relationships/hyperlink" Id="rId93"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6" Target="https://doi.org/10.2196/29563" TargetMode="External" /><Relationship Type="http://schemas.openxmlformats.org/officeDocument/2006/relationships/hyperlink" Id="rId117" Target="https://doi.org/10.2196/41833" TargetMode="External" /><Relationship Type="http://schemas.openxmlformats.org/officeDocument/2006/relationships/hyperlink" Id="rId119" Target="https://doi.org/10.31234/osf.io/cgsf7"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2024-12-04T17:27:08Z</dcterms:created>
  <dcterms:modified xsi:type="dcterms:W3CDTF">2024-12-04T17:27:08Z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