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2024-12-15</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substantial co-morbidity with other physical and mental health problems[</w:t>
      </w:r>
      <w:r>
        <w:t xml:space="preserve">], and an increased risk of mortality</w:t>
      </w:r>
      <w:r>
        <w:t xml:space="preserve"> </w:t>
      </w:r>
      <w:r>
        <w:t xml:space="preserve">(Dennis and Scott 2007)</w:t>
      </w:r>
      <w:r>
        <w:t xml:space="preserve">. Too few individuals receive medications or clinician-delivered interventions to help them initially achieve abstinence and/or reduce harms associated with their use [</w:t>
      </w:r>
      <w:r>
        <w:t xml:space="preserve">. Yet, this problem is even worse for subsequent continuing care during recovery. Continuing care, including both risk monitoring and ongoing support is the gold standard for managing chronic health conditions such as diabetes, asthma, and HIV. Yet, continuing care for substance use disorders is largely lacking</w:t>
      </w:r>
      <w:r>
        <w:t xml:space="preserve"> </w:t>
      </w:r>
      <w:r>
        <w:t xml:space="preserve">(SAMHSA Center for Behavioral Health Statistics and Quality 2021; Stanojlović and Davidson 2021; Socías, Volkow, and Wood 2016)</w:t>
      </w:r>
      <w:r>
        <w:t xml:space="preserve">.</w:t>
      </w:r>
    </w:p>
    <w:p>
      <w:pPr>
        <w:pStyle w:val="BodyText"/>
      </w:pPr>
      <w:r>
        <w:t xml:space="preserve">The risk factors that instigate lapses (i.e. goal-inconsistent use) and full relapse to problematic use are individualized, numerous, dynamic, interactive, and non-linear [</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treatment to the right individual at the right time, every time [</w:t>
      </w:r>
      <w:r>
        <w:t xml:space="preserve">]. Of course, to be successful, a precision mental health approach to continuing care</w:t>
      </w:r>
    </w:p>
    <w:bookmarkStart w:id="21" w:name="previous-work"/>
    <w:p>
      <w:pPr>
        <w:pStyle w:val="Heading2"/>
      </w:pPr>
      <w:r>
        <w:t xml:space="preserve">Previous Work</w:t>
      </w:r>
    </w:p>
    <w:p>
      <w:pPr>
        <w:pStyle w:val="FirstParagraph"/>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1"/>
    <w:bookmarkStart w:id="22"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2"/>
    <w:bookmarkEnd w:id="23"/>
    <w:bookmarkStart w:id="48" w:name="methods"/>
    <w:p>
      <w:pPr>
        <w:pStyle w:val="Heading1"/>
      </w:pPr>
      <w:r>
        <w:t xml:space="preserve">Methods</w:t>
      </w:r>
    </w:p>
    <w:bookmarkStart w:id="25"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4">
        <w:r>
          <w:rPr>
            <w:rStyle w:val="Hyperlink"/>
          </w:rPr>
          <w:t xml:space="preserve">https://osf.io/xta67/</w:t>
        </w:r>
      </w:hyperlink>
      <w:r>
        <w:t xml:space="preserve">).</w:t>
      </w:r>
    </w:p>
    <w:bookmarkEnd w:id="25"/>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7"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240840"/>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6"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4"/>
      </w:r>
    </w:p>
    <w:bookmarkEnd w:id="45"/>
    <w:bookmarkEnd w:id="46"/>
    <w:bookmarkEnd w:id="47"/>
    <w:bookmarkEnd w:id="48"/>
    <w:bookmarkStart w:id="115" w:name="results"/>
    <w:p>
      <w:pPr>
        <w:pStyle w:val="Heading1"/>
      </w:pPr>
      <w:r>
        <w:t xml:space="preserve">Results</w:t>
      </w:r>
    </w:p>
    <w:bookmarkStart w:id="51"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9"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9"/>
          <w:p/>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All Tables for Main Manuscript</w:t>
        </w:r>
      </w:hyperlink>
    </w:p>
    <w:bookmarkEnd w:id="51"/>
    <w:bookmarkStart w:id="57"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5" w:name="fig-2"/>
          <w:p>
            <w:pPr>
              <w:pStyle w:val="Compact"/>
              <w:jc w:val="center"/>
            </w:pPr>
            <w:r>
              <w:drawing>
                <wp:inline>
                  <wp:extent cx="5334000" cy="4000499"/>
                  <wp:effectExtent b="0" l="0" r="0" t="0"/>
                  <wp:docPr descr="" title="" id="53" name="Picture"/>
                  <a:graphic>
                    <a:graphicData uri="http://schemas.openxmlformats.org/drawingml/2006/picture">
                      <pic:pic>
                        <pic:nvPicPr>
                          <pic:cNvPr descr="index_files/figure-docx/notebooks-mak_figures-fig-2-output-1.png" id="54" name="Picture"/>
                          <pic:cNvPicPr>
                            <a:picLocks noChangeArrowheads="1" noChangeAspect="1"/>
                          </pic:cNvPicPr>
                        </pic:nvPicPr>
                        <pic:blipFill>
                          <a:blip r:embed="rId5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8"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bookmarkEnd w:id="60"/>
    <w:bookmarkStart w:id="61"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1"/>
    <w:bookmarkStart w:id="62" w:name="discussion"/>
    <w:p>
      <w:pPr>
        <w:pStyle w:val="Heading2"/>
      </w:pPr>
      <w:r>
        <w:t xml:space="preserve">Discussion</w:t>
      </w:r>
    </w:p>
    <w:bookmarkEnd w:id="62"/>
    <w:bookmarkStart w:id="63"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3"/>
    <w:bookmarkStart w:id="6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4"/>
    <w:bookmarkStart w:id="6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5"/>
    <w:bookmarkStart w:id="66"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6"/>
    <w:bookmarkStart w:id="114" w:name="references"/>
    <w:p>
      <w:pPr>
        <w:pStyle w:val="Heading2"/>
      </w:pPr>
      <w:r>
        <w:t xml:space="preserve">References</w:t>
      </w:r>
    </w:p>
    <w:bookmarkStart w:id="113" w:name="refs"/>
    <w:bookmarkStart w:id="6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7">
        <w:r>
          <w:rPr>
            <w:rStyle w:val="Hyperlink"/>
          </w:rPr>
          <w:t xml:space="preserve">https://doi.org/10.1016/j.addbeh.2017.11.039</w:t>
        </w:r>
      </w:hyperlink>
      <w:r>
        <w:t xml:space="preserve">.</w:t>
      </w:r>
    </w:p>
    <w:bookmarkEnd w:id="68"/>
    <w:bookmarkStart w:id="7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9">
        <w:r>
          <w:rPr>
            <w:rStyle w:val="Hyperlink"/>
          </w:rPr>
          <w:t xml:space="preserve">https://doi.org/10.21231/GNT1-HW21</w:t>
        </w:r>
      </w:hyperlink>
      <w:r>
        <w:t xml:space="preserve">.</w:t>
      </w:r>
    </w:p>
    <w:bookmarkEnd w:id="70"/>
    <w:bookmarkStart w:id="72"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1">
        <w:r>
          <w:rPr>
            <w:rStyle w:val="Hyperlink"/>
          </w:rPr>
          <w:t xml:space="preserve">https://doi.org/10.1016/j.jsat.2013.08.004</w:t>
        </w:r>
      </w:hyperlink>
      <w:r>
        <w:t xml:space="preserve">.</w:t>
      </w:r>
    </w:p>
    <w:bookmarkEnd w:id="72"/>
    <w:bookmarkStart w:id="74" w:name="ref-dennisManagingAddictionChronic2007"/>
    <w:p>
      <w:pPr>
        <w:pStyle w:val="Bibliography"/>
      </w:pPr>
      <w:r>
        <w:t xml:space="preserve">Dennis, Michael, and Christy K Scott. 2007.</w:t>
      </w:r>
      <w:r>
        <w:t xml:space="preserve"> </w:t>
      </w:r>
      <w:r>
        <w:t xml:space="preserve">“</w:t>
      </w:r>
      <w:hyperlink r:id="rId7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4"/>
    <w:bookmarkStart w:id="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75"/>
    <w:bookmarkStart w:id="7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6"/>
    <w:bookmarkStart w:id="7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77">
        <w:r>
          <w:rPr>
            <w:rStyle w:val="Hyperlink"/>
          </w:rPr>
          <w:t xml:space="preserve">https://doi.org/10.1016/j.drugalcdep.2006.05.012</w:t>
        </w:r>
      </w:hyperlink>
      <w:r>
        <w:t xml:space="preserve">.</w:t>
      </w:r>
    </w:p>
    <w:bookmarkEnd w:id="78"/>
    <w:bookmarkStart w:id="7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79"/>
    <w:bookmarkStart w:id="8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0">
        <w:r>
          <w:rPr>
            <w:rStyle w:val="Hyperlink"/>
          </w:rPr>
          <w:t xml:space="preserve">https://doi.org/gfsjzg</w:t>
        </w:r>
      </w:hyperlink>
      <w:r>
        <w:t xml:space="preserve">.</w:t>
      </w:r>
    </w:p>
    <w:bookmarkEnd w:id="81"/>
    <w:bookmarkStart w:id="8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2">
        <w:r>
          <w:rPr>
            <w:rStyle w:val="Hyperlink"/>
          </w:rPr>
          <w:t xml:space="preserve">https://doi.org/10.1001/jamanetworkopen.2020.5852</w:t>
        </w:r>
      </w:hyperlink>
      <w:r>
        <w:t xml:space="preserve">.</w:t>
      </w:r>
    </w:p>
    <w:bookmarkEnd w:id="83"/>
    <w:bookmarkStart w:id="8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4"/>
    <w:bookmarkStart w:id="8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85">
        <w:r>
          <w:rPr>
            <w:rStyle w:val="Hyperlink"/>
          </w:rPr>
          <w:t xml:space="preserve">https://doi.org/10.1007/978-1-4614-6849-3</w:t>
        </w:r>
      </w:hyperlink>
      <w:r>
        <w:t xml:space="preserve">.</w:t>
      </w:r>
    </w:p>
    <w:bookmarkEnd w:id="86"/>
    <w:bookmarkStart w:id="8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7"/>
    <w:bookmarkStart w:id="89"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88">
        <w:r>
          <w:rPr>
            <w:rStyle w:val="Hyperlink"/>
          </w:rPr>
          <w:t xml:space="preserve">https://doi.org/10.1214/17-EJS1338SI</w:t>
        </w:r>
      </w:hyperlink>
      <w:r>
        <w:t xml:space="preserve">.</w:t>
      </w:r>
    </w:p>
    <w:bookmarkEnd w:id="89"/>
    <w:bookmarkStart w:id="9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0"/>
    <w:bookmarkStart w:id="9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1">
        <w:r>
          <w:rPr>
            <w:rStyle w:val="Hyperlink"/>
          </w:rPr>
          <w:t xml:space="preserve">https://doi.org/10.2196/29563</w:t>
        </w:r>
      </w:hyperlink>
      <w:r>
        <w:t xml:space="preserve">.</w:t>
      </w:r>
    </w:p>
    <w:bookmarkEnd w:id="92"/>
    <w:bookmarkStart w:id="9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3">
        <w:r>
          <w:rPr>
            <w:rStyle w:val="Hyperlink"/>
          </w:rPr>
          <w:t xml:space="preserve">https://doi.org/10.1016/j.jsat.2021.108710</w:t>
        </w:r>
      </w:hyperlink>
      <w:r>
        <w:t xml:space="preserve">.</w:t>
      </w:r>
    </w:p>
    <w:bookmarkEnd w:id="94"/>
    <w:bookmarkStart w:id="9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95">
        <w:r>
          <w:rPr>
            <w:rStyle w:val="Hyperlink"/>
          </w:rPr>
          <w:t xml:space="preserve">https://doi.org/10.1016/j.drugalcdep.2019.05.017</w:t>
        </w:r>
      </w:hyperlink>
      <w:r>
        <w:t xml:space="preserve">.</w:t>
      </w:r>
    </w:p>
    <w:bookmarkEnd w:id="96"/>
    <w:bookmarkStart w:id="9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7"/>
    <w:bookmarkStart w:id="98"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98"/>
    <w:bookmarkStart w:id="100"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99">
        <w:r>
          <w:rPr>
            <w:rStyle w:val="Hyperlink"/>
          </w:rPr>
          <w:t xml:space="preserve">https://doi.org/10.1111/add.13479</w:t>
        </w:r>
      </w:hyperlink>
      <w:r>
        <w:t xml:space="preserve">.</w:t>
      </w:r>
    </w:p>
    <w:bookmarkEnd w:id="100"/>
    <w:bookmarkStart w:id="102"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1">
        <w:r>
          <w:rPr>
            <w:rStyle w:val="Hyperlink"/>
          </w:rPr>
          <w:t xml:space="preserve">https://doi.org/10.1037/adb0000666</w:t>
        </w:r>
      </w:hyperlink>
      <w:r>
        <w:t xml:space="preserve">.</w:t>
      </w:r>
    </w:p>
    <w:bookmarkEnd w:id="102"/>
    <w:bookmarkStart w:id="104"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03">
        <w:r>
          <w:rPr>
            <w:rStyle w:val="Hyperlink"/>
          </w:rPr>
          <w:t xml:space="preserve">https://doi.org/10.1177/1178221820976988</w:t>
        </w:r>
      </w:hyperlink>
      <w:r>
        <w:t xml:space="preserve">.</w:t>
      </w:r>
    </w:p>
    <w:bookmarkEnd w:id="104"/>
    <w:bookmarkStart w:id="10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5">
        <w:r>
          <w:rPr>
            <w:rStyle w:val="Hyperlink"/>
          </w:rPr>
          <w:t xml:space="preserve">https://doi.org/10.1016/j.jsat.2021.108417</w:t>
        </w:r>
      </w:hyperlink>
      <w:r>
        <w:t xml:space="preserve">.</w:t>
      </w:r>
    </w:p>
    <w:bookmarkEnd w:id="106"/>
    <w:bookmarkStart w:id="108"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7">
        <w:r>
          <w:rPr>
            <w:rStyle w:val="Hyperlink"/>
          </w:rPr>
          <w:t xml:space="preserve">https://doi.org/10.1037/0003-066X.59.4.224</w:t>
        </w:r>
      </w:hyperlink>
      <w:r>
        <w:t xml:space="preserve">.</w:t>
      </w:r>
    </w:p>
    <w:bookmarkEnd w:id="108"/>
    <w:bookmarkStart w:id="11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09">
        <w:r>
          <w:rPr>
            <w:rStyle w:val="Hyperlink"/>
          </w:rPr>
          <w:t xml:space="preserve">https://doi.org/10.2196/41833</w:t>
        </w:r>
      </w:hyperlink>
      <w:r>
        <w:t xml:space="preserve">.</w:t>
      </w:r>
    </w:p>
    <w:bookmarkEnd w:id="110"/>
    <w:bookmarkStart w:id="11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1">
        <w:r>
          <w:rPr>
            <w:rStyle w:val="Hyperlink"/>
          </w:rPr>
          <w:t xml:space="preserve">https://doi.org/10.31234/osf.io/cgsf7</w:t>
        </w:r>
      </w:hyperlink>
      <w:r>
        <w:t xml:space="preserve">.</w:t>
      </w:r>
    </w:p>
    <w:bookmarkEnd w:id="112"/>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2024-12-16T02:24:48Z</dcterms:created>
  <dcterms:modified xsi:type="dcterms:W3CDTF">2024-12-16T02:24:48Z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