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2024-12-13</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All</w:t>
      </w:r>
      <w:r>
        <w:t xml:space="preserve"> </w:t>
      </w:r>
      <w:r>
        <w:t xml:space="preserve">models</w:t>
      </w:r>
      <w:r>
        <w:t xml:space="preserve"> </w:t>
      </w:r>
      <w:r>
        <w:t xml:space="preserve">performed</w:t>
      </w:r>
      <w:r>
        <w:t xml:space="preserve"> </w:t>
      </w:r>
      <w:r>
        <w:t xml:space="preserve">worse</w:t>
      </w:r>
      <w:r>
        <w:t xml:space="preserve"> </w:t>
      </w:r>
      <w:r>
        <w:t xml:space="preserve">for</w:t>
      </w:r>
      <w:r>
        <w:t xml:space="preserve"> </w:t>
      </w:r>
      <w:r>
        <w:t xml:space="preserve">disadvantaged</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4" w:name="introduction"/>
    <w:p>
      <w:pPr>
        <w:pStyle w:val="Heading1"/>
      </w:pPr>
      <w:r>
        <w:t xml:space="preserve">Introduction</w:t>
      </w:r>
    </w:p>
    <w:bookmarkStart w:id="21" w:name="precision-medicine"/>
    <w:p>
      <w:pPr>
        <w:pStyle w:val="Heading2"/>
      </w:pPr>
      <w:r>
        <w:t xml:space="preserve">Precision Medicine</w:t>
      </w:r>
    </w:p>
    <w:p>
      <w:pPr>
        <w:pStyle w:val="FirstParagraph"/>
      </w:pPr>
      <w:r>
        <w:t xml:space="preserve">Substance use disorders are chronic diseases, characterized by high relapse rates, frequent reentry into treatment, and an increased risk of mortality</w:t>
      </w:r>
      <w:r>
        <w:t xml:space="preserve"> </w:t>
      </w:r>
      <w:r>
        <w:t xml:space="preserve">(Dennis and Scott 2007)</w:t>
      </w:r>
      <w:r>
        <w:t xml:space="preserve">. Few individuals receive any treatment, and even fewer receive continuous care throughout their recovery</w:t>
      </w:r>
      <w:r>
        <w:t xml:space="preserve"> </w:t>
      </w:r>
      <w:r>
        <w:t xml:space="preserve">(SAMHSA Center for Behavioral Health Statistics and Quality 2021)</w:t>
      </w:r>
      <w:r>
        <w:t xml:space="preserve">. Continuing care, including ongoing monitoring and early re-intervention, has been well established as the gold standard for managing chronic health conditions such as diabetes, asthma, and HIV. Yet, continuing care for substance use disorders is largely lacking</w:t>
      </w:r>
      <w:r>
        <w:t xml:space="preserve"> </w:t>
      </w:r>
      <w:r>
        <w:t xml:space="preserve">(Stanojlović and Davidson 2021; Socías, Volkow, and Wood 2016)</w:t>
      </w:r>
      <w:r>
        <w:t xml:space="preserve">.</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w:t>
      </w:r>
      <w:r>
        <w:t xml:space="preserve"> </w:t>
      </w:r>
      <w:r>
        <w:t xml:space="preserve">(Kranzler and McKay 2012; Friedmann et al. 2004)</w:t>
      </w:r>
      <w:r>
        <w:t xml:space="preserve">.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
          <w:iCs/>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bookmarkEnd w:id="21"/>
    <w:bookmarkStart w:id="22" w:name="previous-work"/>
    <w:p>
      <w:pPr>
        <w:pStyle w:val="Heading2"/>
      </w:pPr>
      <w:r>
        <w:t xml:space="preserve">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2"/>
    <w:bookmarkStart w:id="23"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3"/>
    <w:bookmarkEnd w:id="24"/>
    <w:bookmarkStart w:id="49" w:name="methods"/>
    <w:p>
      <w:pPr>
        <w:pStyle w:val="Heading1"/>
      </w:pPr>
      <w:r>
        <w:t xml:space="preserve">Methods</w:t>
      </w:r>
    </w:p>
    <w:bookmarkStart w:id="26"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5">
        <w:r>
          <w:rPr>
            <w:rStyle w:val="Hyperlink"/>
          </w:rPr>
          <w:t xml:space="preserve">https://osf.io/xta67/</w:t>
        </w:r>
      </w:hyperlink>
      <w:r>
        <w:t xml:space="preserve">).</w:t>
      </w:r>
    </w:p>
    <w:bookmarkEnd w:id="26"/>
    <w:bookmarkStart w:id="27"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7"/>
    <w:bookmarkStart w:id="28"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8"/>
    <w:bookmarkStart w:id="31" w:name="measures"/>
    <w:p>
      <w:pPr>
        <w:pStyle w:val="Heading2"/>
      </w:pPr>
      <w:r>
        <w:t xml:space="preserve">Measures</w:t>
      </w:r>
    </w:p>
    <w:bookmarkStart w:id="29"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9"/>
    <w:bookmarkStart w:id="30"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30"/>
    <w:bookmarkEnd w:id="31"/>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7"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week pushed out up to two weeks into the future.</w:t>
      </w:r>
    </w:p>
    <w:tbl>
      <w:tblPr>
        <w:tblStyle w:val="Table"/>
        <w:tblW w:type="pct" w:w="5000"/>
        <w:tblLayout w:type="fixed"/>
        <w:tblLook w:firstRow="0" w:lastRow="0" w:firstColumn="0" w:lastColumn="0" w:noHBand="0" w:noVBand="0" w:val="0000"/>
      </w:tblPr>
      <w:tblGrid>
        <w:gridCol w:w="7920"/>
      </w:tblGrid>
      <w:tr>
        <w:tc>
          <w:tcPr/>
          <w:bookmarkStart w:id="35" w:name="fig-methods"/>
          <w:p>
            <w:pPr>
              <w:pStyle w:val="Compact"/>
              <w:jc w:val="center"/>
            </w:pPr>
            <w:r>
              <w:drawing>
                <wp:inline>
                  <wp:extent cx="5334000" cy="4240840"/>
                  <wp:effectExtent b="0" l="0" r="0" t="0"/>
                  <wp:docPr descr="" title="" id="33" name="Picture"/>
                  <a:graphic>
                    <a:graphicData uri="http://schemas.openxmlformats.org/drawingml/2006/picture">
                      <pic:pic>
                        <pic:nvPicPr>
                          <pic:cNvPr descr="index_files/figure-docx/notebooks-mak_figures-fig-methods-output-1.png" id="34" name="Picture"/>
                          <pic:cNvPicPr>
                            <a:picLocks noChangeArrowheads="1" noChangeAspect="1"/>
                          </pic:cNvPicPr>
                        </pic:nvPicPr>
                        <pic:blipFill>
                          <a:blip r:embed="rId32"/>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Make All Figures for Main Manuscript</w:t>
        </w:r>
      </w:hyperlink>
    </w:p>
    <w:bookmarkEnd w:id="37"/>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24, 72, 168, or 336 hours prior to the start of the prediction window, so the last EMA data used for feature engineering were collected 24, 72, 168,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5"/>
      </w:r>
    </w:p>
    <w:bookmarkEnd w:id="46"/>
    <w:bookmarkEnd w:id="47"/>
    <w:bookmarkEnd w:id="48"/>
    <w:bookmarkEnd w:id="49"/>
    <w:bookmarkStart w:id="125"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6" w:name="fig-2"/>
          <w:p>
            <w:pPr>
              <w:pStyle w:val="Compact"/>
              <w:jc w:val="center"/>
            </w:pPr>
            <w:r>
              <w:drawing>
                <wp:inline>
                  <wp:extent cx="5334000" cy="4000500"/>
                  <wp:effectExtent b="0" l="0" r="0" t="0"/>
                  <wp:docPr descr="" title="" id="54" name="Picture"/>
                  <a:graphic>
                    <a:graphicData uri="http://schemas.openxmlformats.org/drawingml/2006/picture">
                      <pic:pic>
                        <pic:nvPicPr>
                          <pic:cNvPr descr="index_files/figure-docx/notebooks-mak_figures-fig-2-output-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ayout w:type="fixed"/>
        <w:tblLook w:firstRow="0" w:lastRow="0" w:firstColumn="0" w:lastColumn="0" w:noHBand="0" w:noVBand="0" w:val="0000"/>
      </w:tblPr>
      <w:tblGrid>
        <w:gridCol w:w="7920"/>
      </w:tblGrid>
      <w:tr>
        <w:tc>
          <w:tcPr/>
          <w:bookmarkStart w:id="59"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59"/>
          <w:p/>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bookmarkEnd w:id="61"/>
    <w:bookmarkStart w:id="62"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We also report the median difference in auROC, 95% Bayesian CI, and posterior probability that that the auROC difference was greater than 0 for all comparisons separately by model in the supplement.</w:t>
      </w:r>
    </w:p>
    <w:bookmarkEnd w:id="62"/>
    <w:bookmarkStart w:id="63" w:name="discussion"/>
    <w:p>
      <w:pPr>
        <w:pStyle w:val="Heading2"/>
      </w:pPr>
      <w:r>
        <w:t xml:space="preserve">Discussion</w:t>
      </w:r>
    </w:p>
    <w:bookmarkEnd w:id="63"/>
    <w:bookmarkStart w:id="64"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4"/>
    <w:bookmarkStart w:id="65"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5"/>
    <w:bookmarkStart w:id="66"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Conversely, the week-level model can be lagged to provide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6"/>
    <w:bookmarkStart w:id="67"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7"/>
    <w:bookmarkStart w:id="124" w:name="references"/>
    <w:p>
      <w:pPr>
        <w:pStyle w:val="Heading2"/>
      </w:pPr>
      <w:r>
        <w:t xml:space="preserve">References</w:t>
      </w:r>
    </w:p>
    <w:bookmarkStart w:id="123" w:name="refs"/>
    <w:bookmarkStart w:id="69"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68">
        <w:r>
          <w:rPr>
            <w:rStyle w:val="Hyperlink"/>
          </w:rPr>
          <w:t xml:space="preserve">https://doi.org/10.1016/j.addbeh.2017.11.039</w:t>
        </w:r>
      </w:hyperlink>
      <w:r>
        <w:t xml:space="preserve">.</w:t>
      </w:r>
    </w:p>
    <w:bookmarkEnd w:id="69"/>
    <w:bookmarkStart w:id="71"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0">
        <w:r>
          <w:rPr>
            <w:rStyle w:val="Hyperlink"/>
          </w:rPr>
          <w:t xml:space="preserve">https://doi.org/10.21231/GNT1-HW21</w:t>
        </w:r>
      </w:hyperlink>
      <w:r>
        <w:t xml:space="preserve">.</w:t>
      </w:r>
    </w:p>
    <w:bookmarkEnd w:id="71"/>
    <w:bookmarkStart w:id="73"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2">
        <w:r>
          <w:rPr>
            <w:rStyle w:val="Hyperlink"/>
          </w:rPr>
          <w:t xml:space="preserve">https://doi.org/10.1016/j.jsat.2013.08.004</w:t>
        </w:r>
      </w:hyperlink>
      <w:r>
        <w:t xml:space="preserve">.</w:t>
      </w:r>
    </w:p>
    <w:bookmarkEnd w:id="73"/>
    <w:bookmarkStart w:id="75" w:name="ref-dennisManagingAddictionChronic2007"/>
    <w:p>
      <w:pPr>
        <w:pStyle w:val="Bibliography"/>
      </w:pPr>
      <w:r>
        <w:t xml:space="preserve">Dennis, Michael, and Christy K Scott. 2007.</w:t>
      </w:r>
      <w:r>
        <w:t xml:space="preserve"> </w:t>
      </w:r>
      <w:r>
        <w:t xml:space="preserve">“</w:t>
      </w:r>
      <w:hyperlink r:id="rId74">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75"/>
    <w:bookmarkStart w:id="7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76">
        <w:r>
          <w:rPr>
            <w:rStyle w:val="Hyperlink"/>
          </w:rPr>
          <w:t xml:space="preserve">https://doi.org/10.1016/j.brat.2019.103506</w:t>
        </w:r>
      </w:hyperlink>
      <w:r>
        <w:t xml:space="preserve">.</w:t>
      </w:r>
    </w:p>
    <w:bookmarkEnd w:id="77"/>
    <w:bookmarkStart w:id="79" w:name="Xddb48fc2fd7e0e1a08f1193e64beee6492d39b4"/>
    <w:p>
      <w:pPr>
        <w:pStyle w:val="Bibliography"/>
      </w:pPr>
      <w:r>
        <w:t xml:space="preserve">Friedmann, Peter D., James C. Hendrickson, Dean R. Gerstein, and Zhiwei Zhang. 2004.</w:t>
      </w:r>
      <w:r>
        <w:t xml:space="preserve"> </w:t>
      </w:r>
      <w:r>
        <w:t xml:space="preserve">“The Effect of Matching Comprehensive Services to Patients’ Needs on Drug Use Improvement in Addiction Treatment.”</w:t>
      </w:r>
      <w:r>
        <w:t xml:space="preserve"> </w:t>
      </w:r>
      <w:r>
        <w:rPr>
          <w:i/>
          <w:iCs/>
        </w:rPr>
        <w:t xml:space="preserve">Addiction (Abingdon, England)</w:t>
      </w:r>
      <w:r>
        <w:t xml:space="preserve"> </w:t>
      </w:r>
      <w:r>
        <w:t xml:space="preserve">99 (8): 962–72.</w:t>
      </w:r>
      <w:r>
        <w:t xml:space="preserve"> </w:t>
      </w:r>
      <w:hyperlink r:id="rId78">
        <w:r>
          <w:rPr>
            <w:rStyle w:val="Hyperlink"/>
          </w:rPr>
          <w:t xml:space="preserve">https://doi.org/10.1111/j.1360-0443.2004.00772.x</w:t>
        </w:r>
      </w:hyperlink>
      <w:r>
        <w:t xml:space="preserve">.</w:t>
      </w:r>
    </w:p>
    <w:bookmarkEnd w:id="79"/>
    <w:bookmarkStart w:id="8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0"/>
    <w:bookmarkStart w:id="8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1"/>
    <w:bookmarkStart w:id="83"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2">
        <w:r>
          <w:rPr>
            <w:rStyle w:val="Hyperlink"/>
          </w:rPr>
          <w:t xml:space="preserve">https://doi.org/10.1016/j.drugalcdep.2006.05.012</w:t>
        </w:r>
      </w:hyperlink>
      <w:r>
        <w:t xml:space="preserve">.</w:t>
      </w:r>
    </w:p>
    <w:bookmarkEnd w:id="83"/>
    <w:bookmarkStart w:id="84"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84"/>
    <w:bookmarkStart w:id="86"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5">
        <w:r>
          <w:rPr>
            <w:rStyle w:val="Hyperlink"/>
          </w:rPr>
          <w:t xml:space="preserve">https://doi.org/gfsjzg</w:t>
        </w:r>
      </w:hyperlink>
      <w:r>
        <w:t xml:space="preserve">.</w:t>
      </w:r>
    </w:p>
    <w:bookmarkEnd w:id="86"/>
    <w:bookmarkStart w:id="88"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87">
        <w:r>
          <w:rPr>
            <w:rStyle w:val="Hyperlink"/>
          </w:rPr>
          <w:t xml:space="preserve">https://doi.org/10.1001/jamanetworkopen.2020.5852</w:t>
        </w:r>
      </w:hyperlink>
      <w:r>
        <w:t xml:space="preserve">.</w:t>
      </w:r>
    </w:p>
    <w:bookmarkEnd w:id="88"/>
    <w:bookmarkStart w:id="90"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89">
        <w:r>
          <w:rPr>
            <w:rStyle w:val="Hyperlink"/>
          </w:rPr>
          <w:t xml:space="preserve">https://doi.org/10.1007/s11920-012-0296-5</w:t>
        </w:r>
      </w:hyperlink>
      <w:r>
        <w:t xml:space="preserve">.</w:t>
      </w:r>
    </w:p>
    <w:bookmarkEnd w:id="90"/>
    <w:bookmarkStart w:id="91"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1"/>
    <w:bookmarkStart w:id="93"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2">
        <w:r>
          <w:rPr>
            <w:rStyle w:val="Hyperlink"/>
          </w:rPr>
          <w:t xml:space="preserve">https://doi.org/10.1007/978-1-4614-6849-3</w:t>
        </w:r>
      </w:hyperlink>
      <w:r>
        <w:t xml:space="preserve">.</w:t>
      </w:r>
    </w:p>
    <w:bookmarkEnd w:id="93"/>
    <w:bookmarkStart w:id="94"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4"/>
    <w:bookmarkStart w:id="96"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95">
        <w:r>
          <w:rPr>
            <w:rStyle w:val="Hyperlink"/>
          </w:rPr>
          <w:t xml:space="preserve">https://doi.org/10.1214/17-EJS1338SI</w:t>
        </w:r>
      </w:hyperlink>
      <w:r>
        <w:t xml:space="preserve">.</w:t>
      </w:r>
    </w:p>
    <w:bookmarkEnd w:id="96"/>
    <w:bookmarkStart w:id="97"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7"/>
    <w:bookmarkStart w:id="99"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98">
        <w:r>
          <w:rPr>
            <w:rStyle w:val="Hyperlink"/>
          </w:rPr>
          <w:t xml:space="preserve">https://doi.org/10.2196/29563</w:t>
        </w:r>
      </w:hyperlink>
      <w:r>
        <w:t xml:space="preserve">.</w:t>
      </w:r>
    </w:p>
    <w:bookmarkEnd w:id="99"/>
    <w:bookmarkStart w:id="10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00">
        <w:r>
          <w:rPr>
            <w:rStyle w:val="Hyperlink"/>
          </w:rPr>
          <w:t xml:space="preserve">https://doi.org/10.1016/j.jsat.2021.108710</w:t>
        </w:r>
      </w:hyperlink>
      <w:r>
        <w:t xml:space="preserve">.</w:t>
      </w:r>
    </w:p>
    <w:bookmarkEnd w:id="101"/>
    <w:bookmarkStart w:id="103"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02">
        <w:r>
          <w:rPr>
            <w:rStyle w:val="Hyperlink"/>
          </w:rPr>
          <w:t xml:space="preserve">https://doi.org/10.1016/j.drugalcdep.2019.05.017</w:t>
        </w:r>
      </w:hyperlink>
      <w:r>
        <w:t xml:space="preserve">.</w:t>
      </w:r>
    </w:p>
    <w:bookmarkEnd w:id="103"/>
    <w:bookmarkStart w:id="104"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 </w:t>
      </w:r>
      <w:r>
        <w:t xml:space="preserve">58 (1): 7–29.</w:t>
      </w:r>
    </w:p>
    <w:bookmarkEnd w:id="104"/>
    <w:bookmarkStart w:id="105"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5"/>
    <w:bookmarkStart w:id="106" w:name="X56bd7ab8262c354bc601dbeb8bf6940a3ba3863"/>
    <w:p>
      <w:pPr>
        <w:pStyle w:val="Bibliography"/>
      </w:pPr>
      <w:r>
        <w:t xml:space="preserve">SAMHSA Center for Behavioral Health Statistics and Quality. 2021.</w:t>
      </w:r>
      <w:r>
        <w:t xml:space="preserve"> </w:t>
      </w:r>
      <w:r>
        <w:t xml:space="preserve">“2021</w:t>
      </w:r>
      <w:r>
        <w:t xml:space="preserve"> </w:t>
      </w:r>
      <w:r>
        <w:t xml:space="preserve">NSDUH Detailed Tables</w:t>
      </w:r>
      <w:r>
        <w:t xml:space="preserve"> </w:t>
      </w:r>
      <w:r>
        <w:t xml:space="preserve"> </w:t>
      </w:r>
      <w:r>
        <w:t xml:space="preserve">CBHSQ Data</w:t>
      </w:r>
      <w:r>
        <w:t xml:space="preserve">.”</w:t>
      </w:r>
      <w:r>
        <w:t xml:space="preserve"> </w:t>
      </w:r>
      <w:r>
        <w:rPr>
          <w:i/>
          <w:iCs/>
        </w:rPr>
        <w:t xml:space="preserve">Substance Abuse and Mental Health Services Administration</w:t>
      </w:r>
      <w:r>
        <w:t xml:space="preserve">. https://www.samhsa.gov/data/report/2021-nsduh-detailed-tables.</w:t>
      </w:r>
    </w:p>
    <w:bookmarkEnd w:id="106"/>
    <w:bookmarkStart w:id="10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07">
        <w:r>
          <w:rPr>
            <w:rStyle w:val="Hyperlink"/>
          </w:rPr>
          <w:t xml:space="preserve">https://doi.org/10.1111/add.13479</w:t>
        </w:r>
      </w:hyperlink>
      <w:r>
        <w:t xml:space="preserve">.</w:t>
      </w:r>
    </w:p>
    <w:bookmarkEnd w:id="108"/>
    <w:bookmarkStart w:id="11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9">
        <w:r>
          <w:rPr>
            <w:rStyle w:val="Hyperlink"/>
          </w:rPr>
          <w:t xml:space="preserve">https://doi.org/10.1037/adb0000666</w:t>
        </w:r>
      </w:hyperlink>
      <w:r>
        <w:t xml:space="preserve">.</w:t>
      </w:r>
    </w:p>
    <w:bookmarkEnd w:id="110"/>
    <w:bookmarkStart w:id="11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11">
        <w:r>
          <w:rPr>
            <w:rStyle w:val="Hyperlink"/>
          </w:rPr>
          <w:t xml:space="preserve">https://doi.org/10.1177/1178221820976988</w:t>
        </w:r>
      </w:hyperlink>
      <w:r>
        <w:t xml:space="preserve">.</w:t>
      </w:r>
    </w:p>
    <w:bookmarkEnd w:id="112"/>
    <w:bookmarkStart w:id="114"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13">
        <w:r>
          <w:rPr>
            <w:rStyle w:val="Hyperlink"/>
          </w:rPr>
          <w:t xml:space="preserve">https://doi.org/10.1016/j.jsat.2021.108417</w:t>
        </w:r>
      </w:hyperlink>
      <w:r>
        <w:t xml:space="preserve">.</w:t>
      </w:r>
    </w:p>
    <w:bookmarkEnd w:id="114"/>
    <w:bookmarkStart w:id="11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15">
        <w:r>
          <w:rPr>
            <w:rStyle w:val="Hyperlink"/>
          </w:rPr>
          <w:t xml:space="preserve">https://doi.org/10.1037/0003-066X.59.4.224</w:t>
        </w:r>
      </w:hyperlink>
      <w:r>
        <w:t xml:space="preserve">.</w:t>
      </w:r>
    </w:p>
    <w:bookmarkEnd w:id="116"/>
    <w:bookmarkStart w:id="11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17">
        <w:r>
          <w:rPr>
            <w:rStyle w:val="Hyperlink"/>
          </w:rPr>
          <w:t xml:space="preserve">https://doi.org/10.1016/j.cpr.2007.01.002</w:t>
        </w:r>
      </w:hyperlink>
      <w:r>
        <w:t xml:space="preserve">.</w:t>
      </w:r>
    </w:p>
    <w:bookmarkEnd w:id="118"/>
    <w:bookmarkStart w:id="12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19">
        <w:r>
          <w:rPr>
            <w:rStyle w:val="Hyperlink"/>
          </w:rPr>
          <w:t xml:space="preserve">https://doi.org/10.2196/41833</w:t>
        </w:r>
      </w:hyperlink>
      <w:r>
        <w:t xml:space="preserve">.</w:t>
      </w:r>
    </w:p>
    <w:bookmarkEnd w:id="120"/>
    <w:bookmarkStart w:id="12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21">
        <w:r>
          <w:rPr>
            <w:rStyle w:val="Hyperlink"/>
          </w:rPr>
          <w:t xml:space="preserve">https://doi.org/10.31234/osf.io/cgsf7</w:t>
        </w:r>
      </w:hyperlink>
      <w:r>
        <w:t xml:space="preserve">.</w:t>
      </w:r>
    </w:p>
    <w:bookmarkEnd w:id="122"/>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2" Target="media/rId32.png" /><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60" Target="https://KendraPaquette.github.io/study_lag/notebooks\mak_tables-preview.html#cell-tbl-contrast"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7" Target="https://doi.org/10.1001/jamanetworkopen.2020.5852" TargetMode="External" /><Relationship Type="http://schemas.openxmlformats.org/officeDocument/2006/relationships/hyperlink" Id="rId92" Target="https://doi.org/10.1007/978-1-4614-6849-3" TargetMode="External" /><Relationship Type="http://schemas.openxmlformats.org/officeDocument/2006/relationships/hyperlink" Id="rId89" Target="https://doi.org/10.1007/s11920-012-0296-5" TargetMode="External" /><Relationship Type="http://schemas.openxmlformats.org/officeDocument/2006/relationships/hyperlink" Id="rId68" Target="https://doi.org/10.1016/j.addbeh.2017.11.039" TargetMode="External" /><Relationship Type="http://schemas.openxmlformats.org/officeDocument/2006/relationships/hyperlink" Id="rId76" Target="https://doi.org/10.1016/j.brat.2019.103506" TargetMode="External" /><Relationship Type="http://schemas.openxmlformats.org/officeDocument/2006/relationships/hyperlink" Id="rId117" Target="https://doi.org/10.1016/j.cpr.2007.01.002" TargetMode="External" /><Relationship Type="http://schemas.openxmlformats.org/officeDocument/2006/relationships/hyperlink" Id="rId82" Target="https://doi.org/10.1016/j.drugalcdep.2006.05.012" TargetMode="External" /><Relationship Type="http://schemas.openxmlformats.org/officeDocument/2006/relationships/hyperlink" Id="rId102"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13" Target="https://doi.org/10.1016/j.jsat.2021.108417" TargetMode="External" /><Relationship Type="http://schemas.openxmlformats.org/officeDocument/2006/relationships/hyperlink" Id="rId100" Target="https://doi.org/10.1016/j.jsat.2021.108710" TargetMode="External" /><Relationship Type="http://schemas.openxmlformats.org/officeDocument/2006/relationships/hyperlink" Id="rId115"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07" Target="https://doi.org/10.1111/add.13479" TargetMode="External" /><Relationship Type="http://schemas.openxmlformats.org/officeDocument/2006/relationships/hyperlink" Id="rId78" Target="https://doi.org/10.1111/j.1360-0443.2004.00772.x" TargetMode="External" /><Relationship Type="http://schemas.openxmlformats.org/officeDocument/2006/relationships/hyperlink" Id="rId111" Target="https://doi.org/10.1177/1178221820976988" TargetMode="External" /><Relationship Type="http://schemas.openxmlformats.org/officeDocument/2006/relationships/hyperlink" Id="rId95"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8"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5" Target="https://doi.org/gfsjzg" TargetMode="External" /><Relationship Type="http://schemas.openxmlformats.org/officeDocument/2006/relationships/hyperlink" Id="rId25" Target="https://osf.io/xta67/" TargetMode="External" /><Relationship Type="http://schemas.openxmlformats.org/officeDocument/2006/relationships/hyperlink" Id="rId74"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60" Target="https://KendraPaquette.github.io/study_lag/notebooks\mak_tables-preview.html#cell-tbl-contrast"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7" Target="https://doi.org/10.1001/jamanetworkopen.2020.5852" TargetMode="External" /><Relationship Type="http://schemas.openxmlformats.org/officeDocument/2006/relationships/hyperlink" Id="rId92" Target="https://doi.org/10.1007/978-1-4614-6849-3" TargetMode="External" /><Relationship Type="http://schemas.openxmlformats.org/officeDocument/2006/relationships/hyperlink" Id="rId89" Target="https://doi.org/10.1007/s11920-012-0296-5" TargetMode="External" /><Relationship Type="http://schemas.openxmlformats.org/officeDocument/2006/relationships/hyperlink" Id="rId68" Target="https://doi.org/10.1016/j.addbeh.2017.11.039" TargetMode="External" /><Relationship Type="http://schemas.openxmlformats.org/officeDocument/2006/relationships/hyperlink" Id="rId76" Target="https://doi.org/10.1016/j.brat.2019.103506" TargetMode="External" /><Relationship Type="http://schemas.openxmlformats.org/officeDocument/2006/relationships/hyperlink" Id="rId117" Target="https://doi.org/10.1016/j.cpr.2007.01.002" TargetMode="External" /><Relationship Type="http://schemas.openxmlformats.org/officeDocument/2006/relationships/hyperlink" Id="rId82" Target="https://doi.org/10.1016/j.drugalcdep.2006.05.012" TargetMode="External" /><Relationship Type="http://schemas.openxmlformats.org/officeDocument/2006/relationships/hyperlink" Id="rId102"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13" Target="https://doi.org/10.1016/j.jsat.2021.108417" TargetMode="External" /><Relationship Type="http://schemas.openxmlformats.org/officeDocument/2006/relationships/hyperlink" Id="rId100" Target="https://doi.org/10.1016/j.jsat.2021.108710" TargetMode="External" /><Relationship Type="http://schemas.openxmlformats.org/officeDocument/2006/relationships/hyperlink" Id="rId115"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07" Target="https://doi.org/10.1111/add.13479" TargetMode="External" /><Relationship Type="http://schemas.openxmlformats.org/officeDocument/2006/relationships/hyperlink" Id="rId78" Target="https://doi.org/10.1111/j.1360-0443.2004.00772.x" TargetMode="External" /><Relationship Type="http://schemas.openxmlformats.org/officeDocument/2006/relationships/hyperlink" Id="rId111" Target="https://doi.org/10.1177/1178221820976988" TargetMode="External" /><Relationship Type="http://schemas.openxmlformats.org/officeDocument/2006/relationships/hyperlink" Id="rId95"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8"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5" Target="https://doi.org/gfsjzg" TargetMode="External" /><Relationship Type="http://schemas.openxmlformats.org/officeDocument/2006/relationships/hyperlink" Id="rId25" Target="https://osf.io/xta67/" TargetMode="External" /><Relationship Type="http://schemas.openxmlformats.org/officeDocument/2006/relationships/hyperlink" Id="rId74"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2024-12-13T16:03:30Z</dcterms:created>
  <dcterms:modified xsi:type="dcterms:W3CDTF">2024-12-13T16:03:30Z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worse than the 0 lag model (probabilities &gt; .95). All models performed worse for disadvantaged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2024-12-13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