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6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2024-11-04</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Comparisons</w:t>
      </w:r>
      <w:r>
        <w:t xml:space="preserve"> </w:t>
      </w:r>
      <w:r>
        <w:t xml:space="preserve">between</w:t>
      </w:r>
      <w:r>
        <w:t xml:space="preserve"> </w:t>
      </w:r>
      <w:r>
        <w:t xml:space="preserve">adjacent</w:t>
      </w:r>
      <w:r>
        <w:t xml:space="preserve"> </w:t>
      </w:r>
      <w:r>
        <w:t xml:space="preserve">lags</w:t>
      </w:r>
      <w:r>
        <w:t xml:space="preserve"> </w:t>
      </w:r>
      <w:r>
        <w:t xml:space="preserve">revealed</w:t>
      </w:r>
      <w:r>
        <w:t xml:space="preserve"> </w:t>
      </w:r>
      <w:r>
        <w:t xml:space="preserve">significant</w:t>
      </w:r>
      <w:r>
        <w:t xml:space="preserve"> </w:t>
      </w:r>
      <w:r>
        <w:t xml:space="preserve">differences</w:t>
      </w:r>
      <w:r>
        <w:t xml:space="preserve"> </w:t>
      </w:r>
      <w:r>
        <w:t xml:space="preserve">between</w:t>
      </w:r>
      <w:r>
        <w:t xml:space="preserve"> </w:t>
      </w:r>
      <w:r>
        <w:t xml:space="preserve">24</w:t>
      </w:r>
      <w:r>
        <w:t xml:space="preserve"> </w:t>
      </w:r>
      <w:r>
        <w:t xml:space="preserve">and</w:t>
      </w:r>
      <w:r>
        <w:t xml:space="preserve"> </w:t>
      </w:r>
      <w:r>
        <w:t xml:space="preserve">72</w:t>
      </w:r>
      <w:r>
        <w:t xml:space="preserve"> </w:t>
      </w:r>
      <w:r>
        <w:t xml:space="preserve">hour</w:t>
      </w:r>
      <w:r>
        <w:t xml:space="preserve"> </w:t>
      </w:r>
      <w:r>
        <w:t xml:space="preserve">lag</w:t>
      </w:r>
      <w:r>
        <w:t xml:space="preserve"> </w:t>
      </w:r>
      <w:r>
        <w:t xml:space="preserve">models</w:t>
      </w:r>
      <w:r>
        <w:t xml:space="preserve"> </w:t>
      </w:r>
      <w:r>
        <w:t xml:space="preserve">and</w:t>
      </w:r>
      <w:r>
        <w:t xml:space="preserve"> </w:t>
      </w:r>
      <w:r>
        <w:t xml:space="preserve">168</w:t>
      </w:r>
      <w:r>
        <w:t xml:space="preserve"> </w:t>
      </w:r>
      <w:r>
        <w:t xml:space="preserve">and</w:t>
      </w:r>
      <w:r>
        <w:t xml:space="preserve"> </w:t>
      </w:r>
      <w:r>
        <w:t xml:space="preserve">336</w:t>
      </w:r>
      <w:r>
        <w:t xml:space="preserve"> </w:t>
      </w:r>
      <w:r>
        <w:t xml:space="preserve">hour</w:t>
      </w:r>
      <w:r>
        <w:t xml:space="preserve"> </w:t>
      </w:r>
      <w:r>
        <w:t xml:space="preserve">lag</w:t>
      </w:r>
      <w:r>
        <w:t xml:space="preserve"> </w:t>
      </w:r>
      <w:r>
        <w:t xml:space="preserve">models.</w:t>
      </w:r>
      <w:r>
        <w:t xml:space="preserve"> </w:t>
      </w:r>
      <w:r>
        <w:t xml:space="preserve">All</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for</w:t>
      </w:r>
      <w:r>
        <w:t xml:space="preserve"> </w:t>
      </w:r>
      <w:r>
        <w:t xml:space="preserve">minority</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bookmarkStart w:id="21" w:name="precision-medicine"/>
    <w:p>
      <w:pPr>
        <w:pStyle w:val="Heading2"/>
      </w:pPr>
      <w:r>
        <w:t xml:space="preserve">Precision Medicine</w:t>
      </w:r>
    </w:p>
    <w:p>
      <w:pPr>
        <w:pStyle w:val="FirstParagraph"/>
      </w:pPr>
      <w:r>
        <w:t xml:space="preserve">Substance use disorders are chronic diseases, characterized by high relapse rates, frequent reentry into treatment, and an increased risk of mortality. Few individuals receive any treatment, and even fewer receive continuous care throughout their recovery. Continuing care, including ongoing monitoring and early re-intervention, has been well established as the gold standard for managing chronic health conditions such as diabetes, asthma, and HIV. Yet, continuing care for substance use disorders is largely lacking.</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
          <w:iCs/>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r>
        <w:br/>
      </w:r>
      <w:r>
        <w:t xml:space="preserve">## Previous Work</w:t>
      </w:r>
    </w:p>
    <w:p>
      <w:pPr>
        <w:pStyle w:val="BodyText"/>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1"/>
    <w:bookmarkStart w:id="22"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2"/>
    <w:bookmarkEnd w:id="23"/>
    <w:bookmarkStart w:id="48" w:name="methods"/>
    <w:p>
      <w:pPr>
        <w:pStyle w:val="Heading1"/>
      </w:pPr>
      <w:r>
        <w:t xml:space="preserve">Methods</w:t>
      </w:r>
    </w:p>
    <w:bookmarkStart w:id="25"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4">
        <w:r>
          <w:rPr>
            <w:rStyle w:val="Hyperlink"/>
          </w:rPr>
          <w:t xml:space="preserve">https://osf.io/xta67/</w:t>
        </w:r>
      </w:hyperlink>
      <w:r>
        <w:t xml:space="preserve">).</w:t>
      </w:r>
    </w:p>
    <w:bookmarkEnd w:id="25"/>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7"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hyperlink w:anchor="fig-methods">
        <w:r>
          <w:rPr>
            <w:rStyle w:val="Hyperlink"/>
          </w:rPr>
          <w:t xml:space="preserve">Figure 1</w:t>
        </w:r>
      </w:hyperlink>
      <w:r>
        <w:t xml:space="preserve"> </w:t>
      </w:r>
      <w:r>
        <w:t xml:space="preserve">shows how we established prediction time points, windows, and lags. All available data up until, but not including, the prediction time point was used to generate model predictions. Prediction time points were updated hourly (Panel A). The first prediction time point for each participant was 24 hours from midnight on their study start date. This ensured at least 24 hours of past EMAs for future lapse prediction at these first time points. Subsequent predictions time points for each participant repeatedly rolled hour-by-hour until the end of their study participation.</w:t>
      </w:r>
    </w:p>
    <w:p>
      <w:pPr>
        <w:pStyle w:val="BodyText"/>
      </w:pPr>
      <w:r>
        <w:t xml:space="preserve">The prediction window width was one week. Prediction windows rolled forward hour-by-hour with the prediction time point (Panel B). There were five possible lag times between the prediction time point and start of the prediction window. A prediction window either started immediately after the prediction time point (0 lag) or was lagged by 24, 72, 168, or 336 hours.</w:t>
      </w:r>
    </w:p>
    <w:p>
      <w:pPr>
        <w:pStyle w:val="BodyText"/>
      </w:pPr>
      <w:r>
        <w:t xml:space="preserve">Therefore, our models provided hour-by-hour probabilities of an alcohol lapse in the next week pushed out up to two weeks into the future.</w:t>
      </w:r>
    </w:p>
    <w:tbl>
      <w:tblPr>
        <w:tblStyle w:val="Table"/>
        <w:tblW w:type="pct" w:w="5000"/>
        <w:tblLayout w:type="fixed"/>
        <w:tblLook w:firstRow="0" w:lastRow="0" w:firstColumn="0" w:lastColumn="0" w:noHBand="0" w:noVBand="0" w:val="0000"/>
      </w:tblPr>
      <w:tblGrid>
        <w:gridCol w:w="7920"/>
      </w:tblGrid>
      <w:tr>
        <w:tc>
          <w:tcPr/>
          <w:bookmarkStart w:id="34" w:name="fig-methods"/>
          <w:p>
            <w:pPr>
              <w:pStyle w:val="Compact"/>
              <w:jc w:val="center"/>
            </w:pPr>
            <w:r>
              <w:drawing>
                <wp:inline>
                  <wp:extent cx="5334000" cy="4240840"/>
                  <wp:effectExtent b="0" l="0" r="0" t="0"/>
                  <wp:docPr descr="" title="" id="32" name="Picture"/>
                  <a:graphic>
                    <a:graphicData uri="http://schemas.openxmlformats.org/drawingml/2006/picture">
                      <pic:pic>
                        <pic:nvPicPr>
                          <pic:cNvPr descr="index_files/figure-docx/notebooks-mak_figures-fig-methods-output-1.png" id="33" name="Picture"/>
                          <pic:cNvPicPr>
                            <a:picLocks noChangeArrowheads="1" noChangeAspect="1"/>
                          </pic:cNvPicPr>
                        </pic:nvPicPr>
                        <pic:blipFill>
                          <a:blip r:embed="rId31"/>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 used all available data up until the prediction timepoint to generate features using varying scoring epochs. Prediction timepoints rolled forward hour-by-hour (Panel A). Prediction windows were 1 week wide. A prediction window started immediately after the prediction timepoint (0 lag) or was lagged by 24, 72, 168, or 336 hours (Panel B).</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the start of each prediction window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start of the prediction window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6"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4"/>
      </w:r>
    </w:p>
    <w:bookmarkEnd w:id="45"/>
    <w:bookmarkEnd w:id="46"/>
    <w:bookmarkEnd w:id="47"/>
    <w:bookmarkEnd w:id="48"/>
    <w:bookmarkStart w:id="118" w:name="results"/>
    <w:p>
      <w:pPr>
        <w:pStyle w:val="Heading1"/>
      </w:pPr>
      <w:r>
        <w:t xml:space="preserve">Results</w:t>
      </w:r>
    </w:p>
    <w:bookmarkStart w:id="51"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49"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49"/>
          <w:p/>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Make All Tables for Main Manuscript</w:t>
        </w:r>
      </w:hyperlink>
    </w:p>
    <w:bookmarkEnd w:id="51"/>
    <w:bookmarkStart w:id="57"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1">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5" w:name="fig-1"/>
          <w:p>
            <w:pPr>
              <w:pStyle w:val="Compact"/>
              <w:jc w:val="center"/>
            </w:pPr>
            <w:r>
              <w:drawing>
                <wp:inline>
                  <wp:extent cx="5334000" cy="3810000"/>
                  <wp:effectExtent b="0" l="0" r="0" t="0"/>
                  <wp:docPr descr="" title="" id="53" name="Picture"/>
                  <a:graphic>
                    <a:graphicData uri="http://schemas.openxmlformats.org/drawingml/2006/picture">
                      <pic:pic>
                        <pic:nvPicPr>
                          <pic:cNvPr descr="index_files/figure-docx/notebooks-mak_figures-fig-1-output-1.png" id="54" name="Picture"/>
                          <pic:cNvPicPr>
                            <a:picLocks noChangeArrowheads="1" noChangeAspect="1"/>
                          </pic:cNvPicPr>
                        </pic:nvPicPr>
                        <pic:blipFill>
                          <a:blip r:embed="rId5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Median posterior probability for area under ROC curve (auROC) and Bayesian credible interval by model. Dashed line represents a random classifier.</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Figures for Main Manuscript</w:t>
        </w:r>
      </w:hyperlink>
    </w:p>
    <w:bookmarkEnd w:id="57"/>
    <w:bookmarkStart w:id="60" w:name="model-comparisons"/>
    <w:p>
      <w:pPr>
        <w:pStyle w:val="Heading2"/>
      </w:pPr>
      <w:r>
        <w:t xml:space="preserve">Model Comparisons</w:t>
      </w:r>
    </w:p>
    <w:bookmarkStart w:id="58" w:name="baseline-contrasts"/>
    <w:p>
      <w:pPr>
        <w:pStyle w:val="Heading3"/>
      </w:pPr>
      <w:r>
        <w:t xml:space="preserve">Baseline Contrasts</w:t>
      </w:r>
    </w:p>
    <w:p>
      <w:pPr>
        <w:pStyle w:val="FirstParagraph"/>
      </w:pPr>
      <w:r>
        <w:t xml:space="preserve">The median decrease in auROC for the baseline vs. 24 hour lag model was 0.006 (95% CI=[0.000-0.012]), yielding a significant probability of 0.956 that the lagged model had worse performance. The median decrease in auROC for the baseline vs. 72 hour model was 0.018 (95% CI=[0.012-0.025]), yielding a significant probability of 1.000 that the lagged model had worse performance. The median decrease in auROC for the baseline vs. 168 hour lag model was 0.023 (95% CI=[0.016-0.029]), yielding a significant probability of 1.000 that the lagged model had worse performance. The median decrease in auROC for the baseline vs. 336 hour lag model was 0.041 (95% CI=[0.033-0.050]), yielding a significant probability of 1.000 that the lagged model had worse performance.</w:t>
      </w:r>
    </w:p>
    <w:bookmarkEnd w:id="58"/>
    <w:bookmarkStart w:id="59" w:name="adjacent-contrasts"/>
    <w:p>
      <w:pPr>
        <w:pStyle w:val="Heading3"/>
      </w:pPr>
      <w:r>
        <w:t xml:space="preserve">Adjacent Contrasts</w:t>
      </w:r>
    </w:p>
    <w:p>
      <w:pPr>
        <w:pStyle w:val="FirstParagraph"/>
      </w:pPr>
      <w:r>
        <w:t xml:space="preserve">The median decrease in auROC for the 24 hour vs. 72 hour lag model was 0.012 (95% CI=[0.006-0.019]), yielding a significant probability of 0.999 that the 72 hour lag model had worse performance than the 24 hour lag model. The median decrease in auROC for the 72 hour vs. 168 hour lag model was 0.004 (95% CI=[-0.002-0.011]), yielding a non-significant probability of 0.862 that the 168 hour lag model had worse performance than the 72 hour lag model. The median decrease in auROC for the 168 hour vs. 336 hour lag model was 0.018 (95% CI=[0.011-0.026]), yielding a significant probability of 1.000 that the 336 hour lag model had worse performance than the 168 hour lag model.</w:t>
      </w:r>
    </w:p>
    <w:bookmarkEnd w:id="59"/>
    <w:bookmarkEnd w:id="60"/>
    <w:bookmarkStart w:id="66" w:name="fairness-analyses-1"/>
    <w:p>
      <w:pPr>
        <w:pStyle w:val="Heading2"/>
      </w:pPr>
      <w:r>
        <w:t xml:space="preserve">Fairness Analyses</w:t>
      </w:r>
    </w:p>
    <w:p>
      <w:pPr>
        <w:pStyle w:val="FirstParagraph"/>
      </w:pPr>
      <w:hyperlink w:anchor="fig-2">
        <w:r>
          <w:rPr>
            <w:rStyle w:val="Hyperlink"/>
          </w:rPr>
          <w:t xml:space="preserve">Figure 3</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All group comparisons were significant (probability &gt; .95) across models. On average there was a median decrease in auROC of 0.159 (range 0.107-0.179) for participants who were not White compared to non-Hispanic White participants. On average there was a median decrease in auROC of 0.080 (range 0.059-0.116) for female participants compared to male participants. On average there was a median decrease in auROC of 0.092 (range 0.086-0.133)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4" w:name="fig-2"/>
          <w:p>
            <w:pPr>
              <w:pStyle w:val="Compact"/>
              <w:jc w:val="center"/>
            </w:pPr>
            <w:r>
              <w:drawing>
                <wp:inline>
                  <wp:extent cx="5334000" cy="4000499"/>
                  <wp:effectExtent b="0" l="0" r="0" t="0"/>
                  <wp:docPr descr="" title="" id="62" name="Picture"/>
                  <a:graphic>
                    <a:graphicData uri="http://schemas.openxmlformats.org/drawingml/2006/picture">
                      <pic:pic>
                        <pic:nvPicPr>
                          <pic:cNvPr descr="index_files/figure-docx/notebooks-mak_figures-fig-2-output-1.png" id="63" name="Picture"/>
                          <pic:cNvPicPr>
                            <a:picLocks noChangeArrowheads="1" noChangeAspect="1"/>
                          </pic:cNvPicPr>
                        </pic:nvPicPr>
                        <pic:blipFill>
                          <a:blip r:embed="rId61"/>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Median posterior probability for area under ROC curve (auROC) and Bayesian credible interval by model and fairness contrast Dashed line represents a random classifier.</w:t>
            </w:r>
          </w:p>
          <w:bookmarkEnd w:id="64"/>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Figures for Main Manuscript</w:t>
        </w:r>
      </w:hyperlink>
    </w:p>
    <w:bookmarkEnd w:id="66"/>
    <w:bookmarkStart w:id="67" w:name="discussion"/>
    <w:p>
      <w:pPr>
        <w:pStyle w:val="Heading2"/>
      </w:pPr>
      <w:r>
        <w:t xml:space="preserve">Discussion</w:t>
      </w:r>
    </w:p>
    <w:bookmarkEnd w:id="67"/>
    <w:bookmarkStart w:id="68"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significantly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8"/>
    <w:bookmarkStart w:id="69"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minority group representation in the data (e.g., using synthetic minority oversampling technique). We also could adjust the penalty weights so that prediction errors for minority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However, sex was adequately represented in our sample. We were surprised to see model performance was significantly worse for women compared to men.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9"/>
    <w:bookmarkStart w:id="70" w:name="X40ab624ebf83813907a18dba36edd4d1d14a553"/>
    <w:p>
      <w:pPr>
        <w:pStyle w:val="Heading2"/>
      </w:pPr>
      <w:r>
        <w:t xml:space="preserve">Additional Limitations and Future Directions</w:t>
      </w:r>
    </w:p>
    <w:p>
      <w:pPr>
        <w:pStyle w:val="FirstParagraph"/>
      </w:pPr>
      <w:r>
        <w:t xml:space="preserve">We believe these models will be most effective embedded in a recovery monitoring and support system. This system could provide daily, weekly, or less frequent (e.g., only when risk of lapse exceeds a certain threshold) messages to patients with personalized feedback about their risk of lapse and provide support recommendations tailored to their current recovery needs. However, it is unclear the best way to provide risk information to patients.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In such a system, we can imagine that even longer lags (i.e., more advanced warning) could be helpful.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It is also possible that adding low burden sensing methods, like geolocation, could allow us to reduce the frequency (e.g., 1x weekly EMA) and/or length (e.g, 2-3 items) of our EMAs.</w:t>
      </w:r>
    </w:p>
    <w:bookmarkEnd w:id="70"/>
    <w:bookmarkStart w:id="71"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1"/>
    <w:bookmarkStart w:id="117" w:name="references"/>
    <w:p>
      <w:pPr>
        <w:pStyle w:val="Heading2"/>
      </w:pPr>
      <w:r>
        <w:t xml:space="preserve">References</w:t>
      </w:r>
    </w:p>
    <w:bookmarkStart w:id="116" w:name="refs"/>
    <w:bookmarkStart w:id="73"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2">
        <w:r>
          <w:rPr>
            <w:rStyle w:val="Hyperlink"/>
          </w:rPr>
          <w:t xml:space="preserve">https://doi.org/10.1016/j.addbeh.2017.11.039</w:t>
        </w:r>
      </w:hyperlink>
      <w:r>
        <w:t xml:space="preserve">.</w:t>
      </w:r>
    </w:p>
    <w:bookmarkEnd w:id="73"/>
    <w:bookmarkStart w:id="7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4">
        <w:r>
          <w:rPr>
            <w:rStyle w:val="Hyperlink"/>
          </w:rPr>
          <w:t xml:space="preserve">https://doi.org/10.21231/GNT1-HW21</w:t>
        </w:r>
      </w:hyperlink>
      <w:r>
        <w:t xml:space="preserve">.</w:t>
      </w:r>
    </w:p>
    <w:bookmarkEnd w:id="75"/>
    <w:bookmarkStart w:id="77"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6">
        <w:r>
          <w:rPr>
            <w:rStyle w:val="Hyperlink"/>
          </w:rPr>
          <w:t xml:space="preserve">https://doi.org/10.1016/j.jsat.2013.08.004</w:t>
        </w:r>
      </w:hyperlink>
      <w:r>
        <w:t xml:space="preserve">.</w:t>
      </w:r>
    </w:p>
    <w:bookmarkEnd w:id="77"/>
    <w:bookmarkStart w:id="79"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78">
        <w:r>
          <w:rPr>
            <w:rStyle w:val="Hyperlink"/>
          </w:rPr>
          <w:t xml:space="preserve">https://doi.org/10.1016/j.brat.2019.103506</w:t>
        </w:r>
      </w:hyperlink>
      <w:r>
        <w:t xml:space="preserve">.</w:t>
      </w:r>
    </w:p>
    <w:bookmarkEnd w:id="79"/>
    <w:bookmarkStart w:id="8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0"/>
    <w:bookmarkStart w:id="8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1"/>
    <w:bookmarkStart w:id="8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2">
        <w:r>
          <w:rPr>
            <w:rStyle w:val="Hyperlink"/>
          </w:rPr>
          <w:t xml:space="preserve">https://doi.org/10.1016/j.drugalcdep.2006.05.012</w:t>
        </w:r>
      </w:hyperlink>
      <w:r>
        <w:t xml:space="preserve">.</w:t>
      </w:r>
    </w:p>
    <w:bookmarkEnd w:id="83"/>
    <w:bookmarkStart w:id="84"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84"/>
    <w:bookmarkStart w:id="86"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5">
        <w:r>
          <w:rPr>
            <w:rStyle w:val="Hyperlink"/>
          </w:rPr>
          <w:t xml:space="preserve">https://doi.org/gfsjzg</w:t>
        </w:r>
      </w:hyperlink>
      <w:r>
        <w:t xml:space="preserve">.</w:t>
      </w:r>
    </w:p>
    <w:bookmarkEnd w:id="86"/>
    <w:bookmarkStart w:id="88"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87">
        <w:r>
          <w:rPr>
            <w:rStyle w:val="Hyperlink"/>
          </w:rPr>
          <w:t xml:space="preserve">https://doi.org/10.1001/jamanetworkopen.2020.5852</w:t>
        </w:r>
      </w:hyperlink>
      <w:r>
        <w:t xml:space="preserve">.</w:t>
      </w:r>
    </w:p>
    <w:bookmarkEnd w:id="88"/>
    <w:bookmarkStart w:id="89"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89"/>
    <w:bookmarkStart w:id="91"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0">
        <w:r>
          <w:rPr>
            <w:rStyle w:val="Hyperlink"/>
          </w:rPr>
          <w:t xml:space="preserve">https://doi.org/10.1007/978-1-4614-6849-3</w:t>
        </w:r>
      </w:hyperlink>
      <w:r>
        <w:t xml:space="preserve">.</w:t>
      </w:r>
    </w:p>
    <w:bookmarkEnd w:id="91"/>
    <w:bookmarkStart w:id="92"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2"/>
    <w:bookmarkStart w:id="94"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93">
        <w:r>
          <w:rPr>
            <w:rStyle w:val="Hyperlink"/>
          </w:rPr>
          <w:t xml:space="preserve">https://doi.org/10.1214/17-EJS1338SI</w:t>
        </w:r>
      </w:hyperlink>
      <w:r>
        <w:t xml:space="preserve">.</w:t>
      </w:r>
    </w:p>
    <w:bookmarkEnd w:id="94"/>
    <w:bookmarkStart w:id="9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5"/>
    <w:bookmarkStart w:id="97"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96">
        <w:r>
          <w:rPr>
            <w:rStyle w:val="Hyperlink"/>
          </w:rPr>
          <w:t xml:space="preserve">https://doi.org/10.2196/29563</w:t>
        </w:r>
      </w:hyperlink>
      <w:r>
        <w:t xml:space="preserve">.</w:t>
      </w:r>
    </w:p>
    <w:bookmarkEnd w:id="97"/>
    <w:bookmarkStart w:id="99"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98">
        <w:r>
          <w:rPr>
            <w:rStyle w:val="Hyperlink"/>
          </w:rPr>
          <w:t xml:space="preserve">https://doi.org/10.1016/j.jsat.2021.108710</w:t>
        </w:r>
      </w:hyperlink>
      <w:r>
        <w:t xml:space="preserve">.</w:t>
      </w:r>
    </w:p>
    <w:bookmarkEnd w:id="99"/>
    <w:bookmarkStart w:id="101"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00">
        <w:r>
          <w:rPr>
            <w:rStyle w:val="Hyperlink"/>
          </w:rPr>
          <w:t xml:space="preserve">https://doi.org/10.1016/j.drugalcdep.2019.05.017</w:t>
        </w:r>
      </w:hyperlink>
      <w:r>
        <w:t xml:space="preserve">.</w:t>
      </w:r>
    </w:p>
    <w:bookmarkEnd w:id="101"/>
    <w:bookmarkStart w:id="102"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 </w:t>
      </w:r>
      <w:r>
        <w:t xml:space="preserve">58 (1): 7–29.</w:t>
      </w:r>
    </w:p>
    <w:bookmarkEnd w:id="102"/>
    <w:bookmarkStart w:id="10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3"/>
    <w:bookmarkStart w:id="105"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4">
        <w:r>
          <w:rPr>
            <w:rStyle w:val="Hyperlink"/>
          </w:rPr>
          <w:t xml:space="preserve">https://doi.org/10.1037/adb0000666</w:t>
        </w:r>
      </w:hyperlink>
      <w:r>
        <w:t xml:space="preserve">.</w:t>
      </w:r>
    </w:p>
    <w:bookmarkEnd w:id="105"/>
    <w:bookmarkStart w:id="107"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06">
        <w:r>
          <w:rPr>
            <w:rStyle w:val="Hyperlink"/>
          </w:rPr>
          <w:t xml:space="preserve">https://doi.org/10.1016/j.jsat.2021.108417</w:t>
        </w:r>
      </w:hyperlink>
      <w:r>
        <w:t xml:space="preserve">.</w:t>
      </w:r>
    </w:p>
    <w:bookmarkEnd w:id="107"/>
    <w:bookmarkStart w:id="109"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08">
        <w:r>
          <w:rPr>
            <w:rStyle w:val="Hyperlink"/>
          </w:rPr>
          <w:t xml:space="preserve">https://doi.org/10.1037/0003-066X.59.4.224</w:t>
        </w:r>
      </w:hyperlink>
      <w:r>
        <w:t xml:space="preserve">.</w:t>
      </w:r>
    </w:p>
    <w:bookmarkEnd w:id="109"/>
    <w:bookmarkStart w:id="111"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0">
        <w:r>
          <w:rPr>
            <w:rStyle w:val="Hyperlink"/>
          </w:rPr>
          <w:t xml:space="preserve">https://doi.org/10.1016/j.cpr.2007.01.002</w:t>
        </w:r>
      </w:hyperlink>
      <w:r>
        <w:t xml:space="preserve">.</w:t>
      </w:r>
    </w:p>
    <w:bookmarkEnd w:id="111"/>
    <w:bookmarkStart w:id="113"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12">
        <w:r>
          <w:rPr>
            <w:rStyle w:val="Hyperlink"/>
          </w:rPr>
          <w:t xml:space="preserve">https://doi.org/10.2196/41833</w:t>
        </w:r>
      </w:hyperlink>
      <w:r>
        <w:t xml:space="preserve">.</w:t>
      </w:r>
    </w:p>
    <w:bookmarkEnd w:id="113"/>
    <w:bookmarkStart w:id="115"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14">
        <w:r>
          <w:rPr>
            <w:rStyle w:val="Hyperlink"/>
          </w:rPr>
          <w:t xml:space="preserve">https://doi.org/10.31234/osf.io/cgsf7</w:t>
        </w:r>
      </w:hyperlink>
      <w:r>
        <w:t xml:space="preserve">.</w:t>
      </w:r>
    </w:p>
    <w:bookmarkEnd w:id="115"/>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minority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31" Target="media/rId31.png" /><Relationship Type="http://schemas.openxmlformats.org/officeDocument/2006/relationships/hyperlink" Id="rId20" Target="https://KendraPaquette.github.io/study_lag/index.qmd.html" TargetMode="External" /><Relationship Type="http://schemas.openxmlformats.org/officeDocument/2006/relationships/hyperlink" Id="rId56" Target="https://KendraPaquette.github.io/study_lag/notebooks\mak_figures-preview.html#cell-fig-1" TargetMode="External" /><Relationship Type="http://schemas.openxmlformats.org/officeDocument/2006/relationships/hyperlink" Id="rId65" Target="https://KendraPaquette.github.io/study_lag/notebooks\mak_figures-preview.html#cell-fig-2" TargetMode="External" /><Relationship Type="http://schemas.openxmlformats.org/officeDocument/2006/relationships/hyperlink" Id="rId35" Target="https://KendraPaquette.github.io/study_lag/notebooks\mak_figures-preview.html#cell-fig-methods" TargetMode="External" /><Relationship Type="http://schemas.openxmlformats.org/officeDocument/2006/relationships/hyperlink" Id="rId50" Target="https://KendraPaquette.github.io/study_lag/notebooks\mak_tables-preview.html#cell-tbl-demohtml" TargetMode="External" /><Relationship Type="http://schemas.openxmlformats.org/officeDocument/2006/relationships/hyperlink" Id="rId87" Target="https://doi.org/10.1001/jamanetworkopen.2020.5852" TargetMode="External" /><Relationship Type="http://schemas.openxmlformats.org/officeDocument/2006/relationships/hyperlink" Id="rId90" Target="https://doi.org/10.1007/978-1-4614-6849-3" TargetMode="External" /><Relationship Type="http://schemas.openxmlformats.org/officeDocument/2006/relationships/hyperlink" Id="rId72" Target="https://doi.org/10.1016/j.addbeh.2017.11.039" TargetMode="External" /><Relationship Type="http://schemas.openxmlformats.org/officeDocument/2006/relationships/hyperlink" Id="rId78" Target="https://doi.org/10.1016/j.brat.2019.103506" TargetMode="External" /><Relationship Type="http://schemas.openxmlformats.org/officeDocument/2006/relationships/hyperlink" Id="rId110" Target="https://doi.org/10.1016/j.cpr.2007.01.002" TargetMode="External" /><Relationship Type="http://schemas.openxmlformats.org/officeDocument/2006/relationships/hyperlink" Id="rId82" Target="https://doi.org/10.1016/j.drugalcdep.2006.05.012" TargetMode="External" /><Relationship Type="http://schemas.openxmlformats.org/officeDocument/2006/relationships/hyperlink" Id="rId100" Target="https://doi.org/10.1016/j.drugalcdep.2019.05.017" TargetMode="External" /><Relationship Type="http://schemas.openxmlformats.org/officeDocument/2006/relationships/hyperlink" Id="rId76" Target="https://doi.org/10.1016/j.jsat.2013.08.004" TargetMode="External" /><Relationship Type="http://schemas.openxmlformats.org/officeDocument/2006/relationships/hyperlink" Id="rId106" Target="https://doi.org/10.1016/j.jsat.2021.108417" TargetMode="External" /><Relationship Type="http://schemas.openxmlformats.org/officeDocument/2006/relationships/hyperlink" Id="rId98" Target="https://doi.org/10.1016/j.jsat.2021.108710" TargetMode="External" /><Relationship Type="http://schemas.openxmlformats.org/officeDocument/2006/relationships/hyperlink" Id="rId108" Target="https://doi.org/10.1037/0003-066X.59.4.224" TargetMode="External" /><Relationship Type="http://schemas.openxmlformats.org/officeDocument/2006/relationships/hyperlink" Id="rId104" Target="https://doi.org/10.1037/adb0000666" TargetMode="External" /><Relationship Type="http://schemas.openxmlformats.org/officeDocument/2006/relationships/hyperlink" Id="rId93" Target="https://doi.org/10.1214/17-EJS1338SI" TargetMode="External" /><Relationship Type="http://schemas.openxmlformats.org/officeDocument/2006/relationships/hyperlink" Id="rId74" Target="https://doi.org/10.21231/GNT1-HW21" TargetMode="External" /><Relationship Type="http://schemas.openxmlformats.org/officeDocument/2006/relationships/hyperlink" Id="rId96" Target="https://doi.org/10.2196/29563" TargetMode="External" /><Relationship Type="http://schemas.openxmlformats.org/officeDocument/2006/relationships/hyperlink" Id="rId112" Target="https://doi.org/10.2196/41833" TargetMode="External" /><Relationship Type="http://schemas.openxmlformats.org/officeDocument/2006/relationships/hyperlink" Id="rId114" Target="https://doi.org/10.31234/osf.io/cgsf7" TargetMode="External" /><Relationship Type="http://schemas.openxmlformats.org/officeDocument/2006/relationships/hyperlink" Id="rId85" Target="https://doi.org/gfsjzg" TargetMode="External" /><Relationship Type="http://schemas.openxmlformats.org/officeDocument/2006/relationships/hyperlink" Id="rId24" Target="https://osf.io/xta67/"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qmd.html" TargetMode="External" /><Relationship Type="http://schemas.openxmlformats.org/officeDocument/2006/relationships/hyperlink" Id="rId56" Target="https://KendraPaquette.github.io/study_lag/notebooks\mak_figures-preview.html#cell-fig-1" TargetMode="External" /><Relationship Type="http://schemas.openxmlformats.org/officeDocument/2006/relationships/hyperlink" Id="rId65" Target="https://KendraPaquette.github.io/study_lag/notebooks\mak_figures-preview.html#cell-fig-2" TargetMode="External" /><Relationship Type="http://schemas.openxmlformats.org/officeDocument/2006/relationships/hyperlink" Id="rId35" Target="https://KendraPaquette.github.io/study_lag/notebooks\mak_figures-preview.html#cell-fig-methods" TargetMode="External" /><Relationship Type="http://schemas.openxmlformats.org/officeDocument/2006/relationships/hyperlink" Id="rId50" Target="https://KendraPaquette.github.io/study_lag/notebooks\mak_tables-preview.html#cell-tbl-demohtml" TargetMode="External" /><Relationship Type="http://schemas.openxmlformats.org/officeDocument/2006/relationships/hyperlink" Id="rId87" Target="https://doi.org/10.1001/jamanetworkopen.2020.5852" TargetMode="External" /><Relationship Type="http://schemas.openxmlformats.org/officeDocument/2006/relationships/hyperlink" Id="rId90" Target="https://doi.org/10.1007/978-1-4614-6849-3" TargetMode="External" /><Relationship Type="http://schemas.openxmlformats.org/officeDocument/2006/relationships/hyperlink" Id="rId72" Target="https://doi.org/10.1016/j.addbeh.2017.11.039" TargetMode="External" /><Relationship Type="http://schemas.openxmlformats.org/officeDocument/2006/relationships/hyperlink" Id="rId78" Target="https://doi.org/10.1016/j.brat.2019.103506" TargetMode="External" /><Relationship Type="http://schemas.openxmlformats.org/officeDocument/2006/relationships/hyperlink" Id="rId110" Target="https://doi.org/10.1016/j.cpr.2007.01.002" TargetMode="External" /><Relationship Type="http://schemas.openxmlformats.org/officeDocument/2006/relationships/hyperlink" Id="rId82" Target="https://doi.org/10.1016/j.drugalcdep.2006.05.012" TargetMode="External" /><Relationship Type="http://schemas.openxmlformats.org/officeDocument/2006/relationships/hyperlink" Id="rId100" Target="https://doi.org/10.1016/j.drugalcdep.2019.05.017" TargetMode="External" /><Relationship Type="http://schemas.openxmlformats.org/officeDocument/2006/relationships/hyperlink" Id="rId76" Target="https://doi.org/10.1016/j.jsat.2013.08.004" TargetMode="External" /><Relationship Type="http://schemas.openxmlformats.org/officeDocument/2006/relationships/hyperlink" Id="rId106" Target="https://doi.org/10.1016/j.jsat.2021.108417" TargetMode="External" /><Relationship Type="http://schemas.openxmlformats.org/officeDocument/2006/relationships/hyperlink" Id="rId98" Target="https://doi.org/10.1016/j.jsat.2021.108710" TargetMode="External" /><Relationship Type="http://schemas.openxmlformats.org/officeDocument/2006/relationships/hyperlink" Id="rId108" Target="https://doi.org/10.1037/0003-066X.59.4.224" TargetMode="External" /><Relationship Type="http://schemas.openxmlformats.org/officeDocument/2006/relationships/hyperlink" Id="rId104" Target="https://doi.org/10.1037/adb0000666" TargetMode="External" /><Relationship Type="http://schemas.openxmlformats.org/officeDocument/2006/relationships/hyperlink" Id="rId93" Target="https://doi.org/10.1214/17-EJS1338SI" TargetMode="External" /><Relationship Type="http://schemas.openxmlformats.org/officeDocument/2006/relationships/hyperlink" Id="rId74" Target="https://doi.org/10.21231/GNT1-HW21" TargetMode="External" /><Relationship Type="http://schemas.openxmlformats.org/officeDocument/2006/relationships/hyperlink" Id="rId96" Target="https://doi.org/10.2196/29563" TargetMode="External" /><Relationship Type="http://schemas.openxmlformats.org/officeDocument/2006/relationships/hyperlink" Id="rId112" Target="https://doi.org/10.2196/41833" TargetMode="External" /><Relationship Type="http://schemas.openxmlformats.org/officeDocument/2006/relationships/hyperlink" Id="rId114" Target="https://doi.org/10.31234/osf.io/cgsf7" TargetMode="External" /><Relationship Type="http://schemas.openxmlformats.org/officeDocument/2006/relationships/hyperlink" Id="rId85" Target="https://doi.org/gfsjzg" TargetMode="External" /><Relationship Type="http://schemas.openxmlformats.org/officeDocument/2006/relationships/hyperlink" Id="rId24" Target="https://osf.io/xta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2024-11-04T17:15:39Z</dcterms:created>
  <dcterms:modified xsi:type="dcterms:W3CDTF">2024-11-04T17:15:39Z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significantly worse than the 0 lag model (probabilities &gt; .95). Comparisons between adjacent lags revealed significant differences between 24 and 72 hour lag models and 168 and 336 hour lag models. All models performed significantly worse for minority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2024-11-04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