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w:t>
      </w:r>
      <w:r>
        <w:rPr>
          <w:bCs/>
          <w:b/>
        </w:rPr>
        <w:t xml:space="preserve">dennisManagingAddictionChronic2007?</w:t>
      </w:r>
      <w:r>
        <w:t xml:space="preserve">)</w:t>
      </w:r>
      <w:r>
        <w:t xml:space="preserve">. Few individuals receive any treatment, and even fewer receive continuous care throughout their recovery</w:t>
      </w:r>
      <w:r>
        <w:t xml:space="preserve"> </w:t>
      </w:r>
      <w:r>
        <w:t xml:space="preserve">(</w:t>
      </w:r>
      <w:r>
        <w:rPr>
          <w:bCs/>
          <w:b/>
        </w:rPr>
        <w:t xml:space="preserve">samhsacenterforbehavioralhealthstatisticsandquality2021NSDUHDetailed2021?</w:t>
      </w:r>
      <w:r>
        <w:t xml:space="preserve">)</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w:t>
      </w:r>
      <w:r>
        <w:rPr>
          <w:bCs/>
          <w:b/>
        </w:rPr>
        <w:t xml:space="preserve">stanojlovicTargetingBarriersSubstance2021?</w:t>
      </w:r>
      <w:r>
        <w:t xml:space="preserve">;</w:t>
      </w:r>
      <w:r>
        <w:t xml:space="preserve"> </w:t>
      </w:r>
      <w:r>
        <w:rPr>
          <w:bCs/>
          <w:b/>
        </w:rPr>
        <w:t xml:space="preserve">sociasAdoptingCascadeCare2016?</w:t>
      </w:r>
      <w:r>
        <w:t xml:space="preserve">)</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w:t>
      </w:r>
      <w:r>
        <w:rPr>
          <w:bCs/>
          <w:b/>
        </w:rPr>
        <w:t xml:space="preserve">kranzlerPersonalizedTreatmentAlcohol2012?</w:t>
      </w:r>
      <w:r>
        <w:t xml:space="preserve">;</w:t>
      </w:r>
      <w:r>
        <w:t xml:space="preserve"> </w:t>
      </w:r>
      <w:r>
        <w:rPr>
          <w:bCs/>
          <w:b/>
        </w:rPr>
        <w:t xml:space="preserve">friedmannEffectMatchingComprehensive2004?</w:t>
      </w:r>
      <w:r>
        <w:t xml:space="preserve">)</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4"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13" w:name="references"/>
    <w:p>
      <w:pPr>
        <w:pStyle w:val="Heading2"/>
      </w:pPr>
      <w:r>
        <w:t xml:space="preserve">References</w:t>
      </w:r>
    </w:p>
    <w:bookmarkStart w:id="112"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4">
        <w:r>
          <w:rPr>
            <w:rStyle w:val="Hyperlink"/>
          </w:rPr>
          <w:t xml:space="preserve">https://doi.org/10.1016/j.brat.2019.103506</w:t>
        </w:r>
      </w:hyperlink>
      <w:r>
        <w:t xml:space="preserve">.</w:t>
      </w:r>
    </w:p>
    <w:bookmarkEnd w:id="75"/>
    <w:bookmarkStart w:id="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76"/>
    <w:bookmarkStart w:id="7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7"/>
    <w:bookmarkStart w:id="7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78">
        <w:r>
          <w:rPr>
            <w:rStyle w:val="Hyperlink"/>
          </w:rPr>
          <w:t xml:space="preserve">https://doi.org/10.1016/j.drugalcdep.2006.05.012</w:t>
        </w:r>
      </w:hyperlink>
      <w:r>
        <w:t xml:space="preserve">.</w:t>
      </w:r>
    </w:p>
    <w:bookmarkEnd w:id="79"/>
    <w:bookmarkStart w:id="80"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0"/>
    <w:bookmarkStart w:id="82"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Cs/>
          <w:i/>
        </w:rPr>
        <w:t xml:space="preserve">Addiction (Abingdon, England)</w:t>
      </w:r>
      <w:r>
        <w:t xml:space="preserve"> </w:t>
      </w:r>
      <w:r>
        <w:t xml:space="preserve">114 (4): 609–19.</w:t>
      </w:r>
      <w:r>
        <w:t xml:space="preserve"> </w:t>
      </w:r>
      <w:hyperlink r:id="rId81">
        <w:r>
          <w:rPr>
            <w:rStyle w:val="Hyperlink"/>
          </w:rPr>
          <w:t xml:space="preserve">https://doi.org/gfsjzg</w:t>
        </w:r>
      </w:hyperlink>
      <w:r>
        <w:t xml:space="preserve">.</w:t>
      </w:r>
    </w:p>
    <w:bookmarkEnd w:id="82"/>
    <w:bookmarkStart w:id="8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3">
        <w:r>
          <w:rPr>
            <w:rStyle w:val="Hyperlink"/>
          </w:rPr>
          <w:t xml:space="preserve">https://doi.org/10.1001/jamanetworkopen.2020.5852</w:t>
        </w:r>
      </w:hyperlink>
      <w:r>
        <w:t xml:space="preserve">.</w:t>
      </w:r>
    </w:p>
    <w:bookmarkEnd w:id="84"/>
    <w:bookmarkStart w:id="8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5"/>
    <w:bookmarkStart w:id="8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6">
        <w:r>
          <w:rPr>
            <w:rStyle w:val="Hyperlink"/>
          </w:rPr>
          <w:t xml:space="preserve">https://doi.org/10.1007/978-1-4614-6849-3</w:t>
        </w:r>
      </w:hyperlink>
      <w:r>
        <w:t xml:space="preserve">.</w:t>
      </w:r>
    </w:p>
    <w:bookmarkEnd w:id="87"/>
    <w:bookmarkStart w:id="8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8"/>
    <w:bookmarkStart w:id="90"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89">
        <w:r>
          <w:rPr>
            <w:rStyle w:val="Hyperlink"/>
          </w:rPr>
          <w:t xml:space="preserve">https://doi.org/10.1214/17-EJS1338SI</w:t>
        </w:r>
      </w:hyperlink>
      <w:r>
        <w:t xml:space="preserve">.</w:t>
      </w:r>
    </w:p>
    <w:bookmarkEnd w:id="90"/>
    <w:bookmarkStart w:id="91"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1"/>
    <w:bookmarkStart w:id="9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2">
        <w:r>
          <w:rPr>
            <w:rStyle w:val="Hyperlink"/>
          </w:rPr>
          <w:t xml:space="preserve">https://doi.org/10.2196/29563</w:t>
        </w:r>
      </w:hyperlink>
      <w:r>
        <w:t xml:space="preserve">.</w:t>
      </w:r>
    </w:p>
    <w:bookmarkEnd w:id="93"/>
    <w:bookmarkStart w:id="9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94">
        <w:r>
          <w:rPr>
            <w:rStyle w:val="Hyperlink"/>
          </w:rPr>
          <w:t xml:space="preserve">https://doi.org/10.1016/j.jsat.2021.108710</w:t>
        </w:r>
      </w:hyperlink>
      <w:r>
        <w:t xml:space="preserve">.</w:t>
      </w:r>
    </w:p>
    <w:bookmarkEnd w:id="95"/>
    <w:bookmarkStart w:id="9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96">
        <w:r>
          <w:rPr>
            <w:rStyle w:val="Hyperlink"/>
          </w:rPr>
          <w:t xml:space="preserve">https://doi.org/10.1016/j.drugalcdep.2019.05.017</w:t>
        </w:r>
      </w:hyperlink>
      <w:r>
        <w:t xml:space="preserve">.</w:t>
      </w:r>
    </w:p>
    <w:bookmarkEnd w:id="97"/>
    <w:bookmarkStart w:id="98"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98"/>
    <w:bookmarkStart w:id="9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9"/>
    <w:bookmarkStart w:id="10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0">
        <w:r>
          <w:rPr>
            <w:rStyle w:val="Hyperlink"/>
          </w:rPr>
          <w:t xml:space="preserve">https://doi.org/10.1037/adb0000666</w:t>
        </w:r>
      </w:hyperlink>
      <w:r>
        <w:t xml:space="preserve">.</w:t>
      </w:r>
    </w:p>
    <w:bookmarkEnd w:id="101"/>
    <w:bookmarkStart w:id="10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02">
        <w:r>
          <w:rPr>
            <w:rStyle w:val="Hyperlink"/>
          </w:rPr>
          <w:t xml:space="preserve">https://doi.org/10.1016/j.jsat.2021.108417</w:t>
        </w:r>
      </w:hyperlink>
      <w:r>
        <w:t xml:space="preserve">.</w:t>
      </w:r>
    </w:p>
    <w:bookmarkEnd w:id="103"/>
    <w:bookmarkStart w:id="10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04">
        <w:r>
          <w:rPr>
            <w:rStyle w:val="Hyperlink"/>
          </w:rPr>
          <w:t xml:space="preserve">https://doi.org/10.1037/0003-066X.59.4.224</w:t>
        </w:r>
      </w:hyperlink>
      <w:r>
        <w:t xml:space="preserve">.</w:t>
      </w:r>
    </w:p>
    <w:bookmarkEnd w:id="105"/>
    <w:bookmarkStart w:id="10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06">
        <w:r>
          <w:rPr>
            <w:rStyle w:val="Hyperlink"/>
          </w:rPr>
          <w:t xml:space="preserve">https://doi.org/10.1016/j.cpr.2007.01.002</w:t>
        </w:r>
      </w:hyperlink>
      <w:r>
        <w:t xml:space="preserve">.</w:t>
      </w:r>
    </w:p>
    <w:bookmarkEnd w:id="107"/>
    <w:bookmarkStart w:id="10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08">
        <w:r>
          <w:rPr>
            <w:rStyle w:val="Hyperlink"/>
          </w:rPr>
          <w:t xml:space="preserve">https://doi.org/10.2196/41833</w:t>
        </w:r>
      </w:hyperlink>
      <w:r>
        <w:t xml:space="preserve">.</w:t>
      </w:r>
    </w:p>
    <w:bookmarkEnd w:id="109"/>
    <w:bookmarkStart w:id="11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10">
        <w:r>
          <w:rPr>
            <w:rStyle w:val="Hyperlink"/>
          </w:rPr>
          <w:t xml:space="preserve">https://doi.org/10.31234/osf.io/cgsf7</w:t>
        </w:r>
      </w:hyperlink>
      <w:r>
        <w:t xml:space="preserve">.</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2024-12-04T14:45:35Z</dcterms:created>
  <dcterms:modified xsi:type="dcterms:W3CDTF">2024-12-04T14:45:35Z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