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2024-12-04</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All</w:t>
      </w:r>
      <w:r>
        <w:t xml:space="preserve"> </w:t>
      </w:r>
      <w:r>
        <w:t xml:space="preserve">models</w:t>
      </w:r>
      <w:r>
        <w:t xml:space="preserve"> </w:t>
      </w:r>
      <w:r>
        <w:t xml:space="preserve">performed</w:t>
      </w:r>
      <w:r>
        <w:t xml:space="preserve"> </w:t>
      </w:r>
      <w:r>
        <w:t xml:space="preserve">worse</w:t>
      </w:r>
      <w:r>
        <w:t xml:space="preserve"> </w:t>
      </w:r>
      <w:r>
        <w:t xml:space="preserve">for</w:t>
      </w:r>
      <w:r>
        <w:t xml:space="preserve"> </w:t>
      </w:r>
      <w:r>
        <w:t xml:space="preserve">disadvantaged</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4" w:name="introduction"/>
    <w:p>
      <w:pPr>
        <w:pStyle w:val="Heading1"/>
      </w:pPr>
      <w:r>
        <w:t xml:space="preserve">Introduction</w:t>
      </w:r>
    </w:p>
    <w:bookmarkStart w:id="21" w:name="precision-medicine"/>
    <w:p>
      <w:pPr>
        <w:pStyle w:val="Heading2"/>
      </w:pPr>
      <w:r>
        <w:t xml:space="preserve">Precision Medicine</w:t>
      </w:r>
    </w:p>
    <w:p>
      <w:pPr>
        <w:pStyle w:val="FirstParagraph"/>
      </w:pPr>
      <w:r>
        <w:t xml:space="preserve">Substance use disorders are chronic diseases, characterized by high relapse rates, frequent reentry into treatment, and an increased risk of mortality</w:t>
      </w:r>
      <w:r>
        <w:t xml:space="preserve"> </w:t>
      </w:r>
      <w:r>
        <w:t xml:space="preserve">(</w:t>
      </w:r>
      <w:r>
        <w:rPr>
          <w:bCs/>
          <w:b/>
        </w:rPr>
        <w:t xml:space="preserve">dennisManagingAddictionChronic2007?</w:t>
      </w:r>
      <w:r>
        <w:t xml:space="preserve">)</w:t>
      </w:r>
      <w:r>
        <w:t xml:space="preserve">. Few individuals receive any treatment, and even fewer receive continuous care throughout their recovery</w:t>
      </w:r>
      <w:r>
        <w:t xml:space="preserve"> </w:t>
      </w:r>
      <w:r>
        <w:t xml:space="preserve">(</w:t>
      </w:r>
      <w:r>
        <w:rPr>
          <w:bCs/>
          <w:b/>
        </w:rPr>
        <w:t xml:space="preserve">samhsacenterforbehavioralhealthstatisticsandquality2021NSDUHDetailed2021?</w:t>
      </w:r>
      <w:r>
        <w:t xml:space="preserve">)</w:t>
      </w:r>
      <w:r>
        <w:t xml:space="preserve">. Continuing care, including ongoing monitoring and early re-intervention, has been well established as the gold standard for managing chronic health conditions such as diabetes, asthma, and HIV. Yet, continuing care for substance use disorders is largely lacking</w:t>
      </w:r>
      <w:r>
        <w:t xml:space="preserve"> </w:t>
      </w:r>
      <w:r>
        <w:t xml:space="preserve">(</w:t>
      </w:r>
      <w:r>
        <w:rPr>
          <w:bCs/>
          <w:b/>
        </w:rPr>
        <w:t xml:space="preserve">stanojlovicTargetingBarriersSubstance2021?</w:t>
      </w:r>
      <w:r>
        <w:t xml:space="preserve">;</w:t>
      </w:r>
      <w:r>
        <w:t xml:space="preserve"> </w:t>
      </w:r>
      <w:r>
        <w:rPr>
          <w:bCs/>
          <w:b/>
        </w:rPr>
        <w:t xml:space="preserve">sociasAdoptingCascadeCare2016?</w:t>
      </w:r>
      <w:r>
        <w:t xml:space="preserve">)</w:t>
      </w:r>
      <w:r>
        <w:t xml:space="preserve">.</w:t>
      </w:r>
    </w:p>
    <w:p>
      <w:pPr>
        <w:pStyle w:val="BodyText"/>
      </w:pPr>
      <w:r>
        <w:t xml:space="preserve">Importantly, people need different types of support at different points in their recovery. Personalized monitoring of changes in relapse risk factors could help patients adapt their lifestyle, behaviors, and supports to successfully address these factors</w:t>
      </w:r>
      <w:r>
        <w:t xml:space="preserve"> </w:t>
      </w:r>
      <w:r>
        <w:t xml:space="preserve">(</w:t>
      </w:r>
      <w:r>
        <w:rPr>
          <w:bCs/>
          <w:b/>
        </w:rPr>
        <w:t xml:space="preserve">kranzlerPersonalizedTreatmentAlcohol2012?</w:t>
      </w:r>
      <w:r>
        <w:t xml:space="preserve">;</w:t>
      </w:r>
      <w:r>
        <w:t xml:space="preserve"> </w:t>
      </w:r>
      <w:r>
        <w:rPr>
          <w:bCs/>
          <w:b/>
        </w:rPr>
        <w:t xml:space="preserve">friedmannEffectMatchingComprehensive2004?</w:t>
      </w:r>
      <w:r>
        <w:t xml:space="preserve">)</w:t>
      </w:r>
      <w:r>
        <w:t xml:space="preserve">. A precision medicine approach to automated continuous relapse risk monitoring and recovery support could help fill this gap in continuing care.</w:t>
      </w:r>
    </w:p>
    <w:p>
      <w:pPr>
        <w:pStyle w:val="BodyText"/>
      </w:pPr>
      <w:r>
        <w:t xml:space="preserve">Precision medicine has been a goal in healthcare for over half a century</w:t>
      </w:r>
      <w:r>
        <w:t xml:space="preserve"> </w:t>
      </w:r>
      <w:r>
        <w:t xml:space="preserve">(DeRubeis 2019)</w:t>
      </w:r>
      <w:r>
        <w:t xml:space="preserve">. Traditionally, it seeks to answer the question of</w:t>
      </w:r>
      <w:r>
        <w:t xml:space="preserve"> </w:t>
      </w:r>
      <w:r>
        <w:rPr>
          <w:iCs/>
          <w:i/>
        </w:rPr>
        <w:t xml:space="preserve">how</w:t>
      </w:r>
      <w:r>
        <w:t xml:space="preserve"> </w:t>
      </w:r>
      <w:r>
        <w:t xml:space="preserve">to best treat a specific individual, given their unique combination of genetic, lifestyle, and environmental characteristics (e.g., which medication is most effective for whom).</w:t>
      </w:r>
    </w:p>
    <w:p>
      <w:pPr>
        <w:pStyle w:val="BodyText"/>
      </w:pPr>
      <w:r>
        <w:t xml:space="preserve">Today, this approach extends to mental health conditions (i.e., precision mental health) such as depression, substance use disorders, and suicide. Mental health conditions are complex, fluctuating processes. Many medical conditions often have clear biological precursors, that can be treated well with a single medication. In contrast, mental health conditions are influenced by numerous psychosocial factors, and require a wide array of support options. Moreover, the factors driving mental health conditions differ between individuals and can change within an individual over time. Thus, precision mental health must consider both the</w:t>
      </w:r>
      <w:r>
        <w:t xml:space="preserve"> </w:t>
      </w:r>
      <w:r>
        <w:rPr>
          <w:iCs/>
          <w:i/>
        </w:rPr>
        <w:t xml:space="preserve">how</w:t>
      </w:r>
      <w:r>
        <w:t xml:space="preserve"> </w:t>
      </w:r>
      <w:r>
        <w:t xml:space="preserve">and the</w:t>
      </w:r>
      <w:r>
        <w:t xml:space="preserve"> </w:t>
      </w:r>
      <w:r>
        <w:rPr>
          <w:iCs/>
          <w:i/>
        </w:rPr>
        <w:t xml:space="preserve">when</w:t>
      </w:r>
      <w:r>
        <w:t xml:space="preserve"> </w:t>
      </w:r>
      <w:r>
        <w:t xml:space="preserve">(e.g., which treatment is most effective for whom at what moment).</w:t>
      </w:r>
    </w:p>
    <w:bookmarkEnd w:id="21"/>
    <w:bookmarkStart w:id="22" w:name="previous-work"/>
    <w:p>
      <w:pPr>
        <w:pStyle w:val="Heading2"/>
      </w:pPr>
      <w:r>
        <w:t xml:space="preserve">Previous Work</w:t>
      </w:r>
    </w:p>
    <w:p>
      <w:pPr>
        <w:pStyle w:val="FirstParagraph"/>
      </w:pPr>
      <w:r>
        <w:t xml:space="preserve">In early example of precision mental health applied to substance use disorders, the Project MATCH research group attempted to match individuals with alcohol use disorder to their optimal treatment based on baseline measures of individual characteristics</w:t>
      </w:r>
      <w:r>
        <w:t xml:space="preserve"> </w:t>
      </w:r>
      <w:r>
        <w:t xml:space="preserve">(Project Match Research Group 1997)</w:t>
      </w:r>
      <w:r>
        <w:t xml:space="preserve">. Unfortunately, early studies like these were methodologically constrained to use small sets of features (i.e., individual trait and demographic differences) that failed to capture the complex and heterogeneous nature of substance use disorders and use a single measurement point (i.e., at baseline) to predict a non-linear, time-varying course of recovery, lapse, and relapse</w:t>
      </w:r>
      <w:r>
        <w:t xml:space="preserve"> </w:t>
      </w:r>
      <w:r>
        <w:t xml:space="preserve">(Witkiewitz and Marlatt 2007)</w:t>
      </w:r>
      <w:r>
        <w:t xml:space="preserve">.</w:t>
      </w:r>
    </w:p>
    <w:p>
      <w:pPr>
        <w:pStyle w:val="BodyText"/>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Cs/>
          <w:i/>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Cs/>
          <w:i/>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 Moshontz et al. 2021)</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Cs/>
          <w:i/>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22"/>
    <w:bookmarkStart w:id="23" w:name="current-study"/>
    <w:p>
      <w:pPr>
        <w:pStyle w:val="Heading2"/>
      </w:pPr>
      <w:r>
        <w:t xml:space="preserve">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3"/>
    <w:bookmarkEnd w:id="24"/>
    <w:bookmarkStart w:id="49" w:name="methods"/>
    <w:p>
      <w:pPr>
        <w:pStyle w:val="Heading1"/>
      </w:pPr>
      <w:r>
        <w:t xml:space="preserve">Methods</w:t>
      </w:r>
    </w:p>
    <w:bookmarkStart w:id="26"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5">
        <w:r>
          <w:rPr>
            <w:rStyle w:val="Hyperlink"/>
          </w:rPr>
          <w:t xml:space="preserve">https://osf.io/xta67/</w:t>
        </w:r>
      </w:hyperlink>
      <w:r>
        <w:t xml:space="preserve">).</w:t>
      </w:r>
    </w:p>
    <w:bookmarkEnd w:id="26"/>
    <w:bookmarkStart w:id="27"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numPr>
          <w:ilvl w:val="0"/>
          <w:numId w:val="1001"/>
        </w:numPr>
        <w:pStyle w:val="Compact"/>
      </w:pPr>
      <w:r>
        <w:t xml:space="preserve">were age 18 or older,</w:t>
      </w:r>
    </w:p>
    <w:p>
      <w:pPr>
        <w:numPr>
          <w:ilvl w:val="0"/>
          <w:numId w:val="1001"/>
        </w:numPr>
        <w:pStyle w:val="Compact"/>
      </w:pPr>
      <w:r>
        <w:t xml:space="preserve">could write and read in English,</w:t>
      </w:r>
    </w:p>
    <w:p>
      <w:pPr>
        <w:numPr>
          <w:ilvl w:val="0"/>
          <w:numId w:val="1001"/>
        </w:numPr>
        <w:pStyle w:val="Compact"/>
      </w:pPr>
      <w:r>
        <w:t xml:space="preserve">had at least moderate AUD (&gt;= 4 self-reported DSM-5 symptoms),</w:t>
      </w:r>
    </w:p>
    <w:p>
      <w:pPr>
        <w:numPr>
          <w:ilvl w:val="0"/>
          <w:numId w:val="1001"/>
        </w:numPr>
        <w:pStyle w:val="Compact"/>
      </w:pPr>
      <w:r>
        <w:t xml:space="preserve">were abstinent from alcohol for 1-8 weeks, and</w:t>
      </w:r>
    </w:p>
    <w:p>
      <w:pPr>
        <w:numPr>
          <w:ilvl w:val="0"/>
          <w:numId w:val="1001"/>
        </w:numPr>
        <w:pStyle w:val="Compact"/>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7"/>
    <w:bookmarkStart w:id="28"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8"/>
    <w:bookmarkStart w:id="31" w:name="measures"/>
    <w:p>
      <w:pPr>
        <w:pStyle w:val="Heading2"/>
      </w:pPr>
      <w:r>
        <w:t xml:space="preserve">Measures</w:t>
      </w:r>
    </w:p>
    <w:bookmarkStart w:id="29"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9"/>
    <w:bookmarkStart w:id="30"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30"/>
    <w:bookmarkEnd w:id="31"/>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7" w:name="predictions"/>
    <w:p>
      <w:pPr>
        <w:pStyle w:val="Heading3"/>
      </w:pPr>
      <w:r>
        <w:t xml:space="preserve">Predictions</w:t>
      </w:r>
    </w:p>
    <w:p>
      <w:pPr>
        <w:pStyle w:val="FirstParagraph"/>
      </w:pPr>
      <w:r>
        <w:t xml:space="preserve">A</w:t>
      </w:r>
      <w:r>
        <w:t xml:space="preserve"> </w:t>
      </w:r>
      <w:r>
        <w:rPr>
          <w:iCs/>
          <w:i/>
        </w:rPr>
        <w:t xml:space="preserve">prediction time point</w:t>
      </w:r>
      <w:r>
        <w:t xml:space="preserve"> </w:t>
      </w:r>
      <w:r>
        <w:t xml:space="preserve">is the hour at which our model calculated a predicted probability of a lapse. All available data up until, but not including, the prediction time point was used to generate these predictions.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Cs/>
          <w:i/>
        </w:rPr>
        <w:t xml:space="preserve">prediction window</w:t>
      </w:r>
      <w:r>
        <w:t xml:space="preserve"> </w:t>
      </w:r>
      <w:r>
        <w:t xml:space="preserve">is the window of time in which a lapse might occur. The prediction window width for all our models was one week (i.e., models predicted the probability of a lapse occurring within a one week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Cs/>
          <w:i/>
        </w:rPr>
        <w:t xml:space="preserve">lag times</w:t>
      </w:r>
      <w:r>
        <w:t xml:space="preserve"> </w:t>
      </w:r>
      <w:r>
        <w:t xml:space="preserve">between the prediction time point and start of the prediction window. A prediction window either started immediately after the prediction time point (0 lag) or was lagged by 24, 72, 168, or 336 hours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week pushed out up to two weeks into the future.</w:t>
      </w:r>
    </w:p>
    <w:tbl>
      <w:tblPr>
        <w:tblStyle w:val="Table"/>
        <w:tblW w:type="pct" w:w="5000"/>
        <w:tblLook w:firstRow="0" w:lastRow="0" w:firstColumn="0" w:lastColumn="0" w:noHBand="0" w:noVBand="0" w:val="0000"/>
        <w:jc w:val="start"/>
        <w:tblLayout w:type="fixed"/>
      </w:tblPr>
      <w:tblGrid>
        <w:gridCol w:w="7920"/>
      </w:tblGrid>
      <w:tr>
        <w:tc>
          <w:tcPr/>
          <w:bookmarkStart w:id="35" w:name="fig-methods"/>
          <w:p>
            <w:pPr>
              <w:pStyle w:val="Compact"/>
              <w:jc w:val="center"/>
            </w:pPr>
            <w:r>
              <w:drawing>
                <wp:inline>
                  <wp:extent cx="5334000" cy="4240840"/>
                  <wp:effectExtent b="0" l="0" r="0" t="0"/>
                  <wp:docPr descr="" title="" id="33" name="Picture"/>
                  <a:graphic>
                    <a:graphicData uri="http://schemas.openxmlformats.org/drawingml/2006/picture">
                      <pic:pic>
                        <pic:nvPicPr>
                          <pic:cNvPr descr="index_files/figure-docx/notebooks-mak_figures-fig-methods-output-1.png" id="34" name="Picture"/>
                          <pic:cNvPicPr>
                            <a:picLocks noChangeArrowheads="1" noChangeAspect="1"/>
                          </pic:cNvPicPr>
                        </pic:nvPicPr>
                        <pic:blipFill>
                          <a:blip r:embed="rId32"/>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Make All Figures for Main Manuscript</w:t>
        </w:r>
      </w:hyperlink>
    </w:p>
    <w:bookmarkEnd w:id="37"/>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Cs/>
          <w:i/>
        </w:rPr>
        <w:t xml:space="preserve">lapse</w:t>
      </w:r>
      <w:r>
        <w:t xml:space="preserve"> </w:t>
      </w:r>
      <w:r>
        <w:t xml:space="preserve">if the start date/hour of any drinking episode fell within that window. A window was labeled</w:t>
      </w:r>
      <w:r>
        <w:t xml:space="preserve"> </w:t>
      </w:r>
      <w:r>
        <w:rPr>
          <w:iCs/>
          <w:i/>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before the start of each prediction time point to ensure our models were making true future predictions. For our no lag models this included all data prior to the hour of the start of the prediction window. For our lagged models, the last EMA data used for feature engineering were collected up to 24 hours, 72 hours, 168 hours, or 336 hours prior to the start of the prediction window.</w:t>
      </w:r>
    </w:p>
    <w:p>
      <w:pPr>
        <w:pStyle w:val="BodyText"/>
      </w:pPr>
      <w:r>
        <w:t xml:space="preserve">A total of 279 features were derived from two data sources:</w:t>
      </w:r>
    </w:p>
    <w:p>
      <w:pPr>
        <w:numPr>
          <w:ilvl w:val="0"/>
          <w:numId w:val="1002"/>
        </w:numPr>
      </w:pPr>
      <w:r>
        <w:rPr>
          <w:iCs/>
          <w:i/>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Cs/>
          <w:i/>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7"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Cs/>
          <w:i/>
        </w:rPr>
        <w:t xml:space="preserve">validation</w:t>
      </w:r>
      <w:r>
        <w:t xml:space="preserve"> </w:t>
      </w:r>
      <w:r>
        <w:t xml:space="preserve">sets) and 3 repeats of 10-fold cross-validation for the outer loop (i.e.,</w:t>
      </w:r>
      <w:r>
        <w:t xml:space="preserve"> </w:t>
      </w:r>
      <w:r>
        <w:rPr>
          <w:iCs/>
          <w:i/>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5"/>
      </w:r>
    </w:p>
    <w:bookmarkEnd w:id="46"/>
    <w:bookmarkEnd w:id="47"/>
    <w:bookmarkEnd w:id="48"/>
    <w:bookmarkEnd w:id="49"/>
    <w:bookmarkStart w:id="114"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ook w:firstRow="0" w:lastRow="0" w:firstColumn="0" w:lastColumn="0" w:noHBand="0" w:noVBand="0" w:val="0000"/>
        <w:jc w:val="start"/>
        <w:tblLayout w:type="fixed"/>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ook w:firstRow="1" w:lastRow="0" w:firstColumn="0" w:lastColumn="0" w:noHBand="0" w:noVBand="0" w:val="0020"/>
              <w:jc w:val="start"/>
              <w:tblLayout w:type="fixed"/>
            </w:tblPr>
            <w:tblGrid>
              <w:gridCol w:w="3622"/>
              <w:gridCol w:w="505"/>
              <w:gridCol w:w="589"/>
              <w:gridCol w:w="926"/>
              <w:gridCol w:w="926"/>
              <w:gridCol w:w="1179"/>
            </w:tblGrid>
            <w:tr>
              <w:trPr>
                <w:tblHeader w:val="true"/>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2">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ook w:firstRow="0" w:lastRow="0" w:firstColumn="0" w:lastColumn="0" w:noHBand="0" w:noVBand="0" w:val="0000"/>
        <w:jc w:val="start"/>
        <w:tblLayout w:type="fixed"/>
      </w:tblPr>
      <w:tblGrid>
        <w:gridCol w:w="7920"/>
      </w:tblGrid>
      <w:tr>
        <w:tc>
          <w:tcPr/>
          <w:bookmarkStart w:id="56" w:name="fig-2"/>
          <w:p>
            <w:pPr>
              <w:pStyle w:val="Compact"/>
              <w:jc w:val="center"/>
            </w:pPr>
            <w:r>
              <w:drawing>
                <wp:inline>
                  <wp:extent cx="5334000" cy="4000500"/>
                  <wp:effectExtent b="0" l="0" r="0" t="0"/>
                  <wp:docPr descr="" title="" id="54" name="Picture"/>
                  <a:graphic>
                    <a:graphicData uri="http://schemas.openxmlformats.org/drawingml/2006/picture">
                      <pic:pic>
                        <pic:nvPicPr>
                          <pic:cNvPr descr="index_files/figure-docx/notebooks-mak_figures-fig-2-output-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in displays the median posterior probability for area under ROC curve (auROC) and 95% Bayesian CI for each lagged model (0, 24, 72, 168, 336 hours). Dashed line represents a random classifier with an auROC of .5. Panel’s B-D display the median auROC and Bayesian credible interval by model and fairness contrast. The darker lines represent the advantaged groups (White, male, above poverty) and the lighter lines represent the disadvantaged groups (not-White, female, below poverty). Dashed line represents a random classifier with an auROC of .5.</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bookmarkStart w:id="59" w:name="baseline-contrasts"/>
    <w:p>
      <w:pPr>
        <w:pStyle w:val="Heading3"/>
      </w:pPr>
      <w:r>
        <w:t xml:space="preserve">Baseline Contrasts</w:t>
      </w:r>
    </w:p>
    <w:p>
      <w:pPr>
        <w:pStyle w:val="FirstParagraph"/>
      </w:pPr>
      <w:r>
        <w:t xml:space="preserve">The median decrease in auROC for the baseline vs. 24 hour lag model was 0.006 (95% CI=[0.000-0.012]), yielding a significant probability of 0.956 that the lagged model had worse performance. The median decrease in auROC for the baseline vs. 72 hour model was 0.018 (95% CI=[0.012-0.025]), yielding a significant probability of 1.000 that the lagged model had worse performance. The median decrease in auROC for the baseline vs. 168 hour lag model was 0.023 (95% CI=[0.016-0.029]), yielding a significant probability of 1.000 that the lagged model had worse performance. The median decrease in auROC for the baseline vs. 336 hour lag model was 0.041 (95% CI=[0.033-0.050]), yielding a significant probability of 1.000 that the lagged model had worse performance.</w:t>
      </w:r>
    </w:p>
    <w:bookmarkEnd w:id="59"/>
    <w:bookmarkStart w:id="60" w:name="adjacent-contrasts"/>
    <w:p>
      <w:pPr>
        <w:pStyle w:val="Heading3"/>
      </w:pPr>
      <w:r>
        <w:t xml:space="preserve">Adjacent Contrasts</w:t>
      </w:r>
    </w:p>
    <w:p>
      <w:pPr>
        <w:pStyle w:val="FirstParagraph"/>
      </w:pPr>
      <w:r>
        <w:t xml:space="preserve">The median decrease in auROC for the 24 hour vs. 72 hour lag model was 0.012 (95% CI=[0.006-0.019]), yielding a significant probability of 0.999 that the 72 hour lag model had worse performance than the 24 hour lag model. The median decrease in auROC for the 72 hour vs. 168 hour lag model was 0.004 (95% CI=[-0.002-0.011]), yielding a non-significant probability of 0.862 that the 168 hour lag model had worse performance than the 72 hour lag model. The median decrease in auROC for the 168 hour vs. 336 hour lag model was 0.018 (95% CI=[0.011-0.026]), yielding a significant probability of 1.000 that the 336 hour lag model had worse performance than the 168 hour lag model.</w:t>
      </w:r>
    </w:p>
    <w:bookmarkEnd w:id="60"/>
    <w:bookmarkEnd w:id="61"/>
    <w:bookmarkStart w:id="62" w:name="fairness-analyses-1"/>
    <w:p>
      <w:pPr>
        <w:pStyle w:val="Heading2"/>
      </w:pPr>
      <w:r>
        <w:t xml:space="preserve">Fairness Analyses</w:t>
      </w:r>
    </w:p>
    <w:p>
      <w:pPr>
        <w:pStyle w:val="FirstParagraph"/>
      </w:pPr>
      <w:r>
        <w:t xml:space="preserve">Panel’s B-D in</w:t>
      </w:r>
      <w:r>
        <w:t xml:space="preserve"> </w:t>
      </w:r>
      <w:hyperlink w:anchor="fig-2">
        <w:r>
          <w:rPr>
            <w:rStyle w:val="Hyperlink"/>
          </w:rPr>
          <w:t xml:space="preserve">Figure 2</w:t>
        </w:r>
      </w:hyperlink>
      <w:r>
        <w:t xml:space="preserve"> </w:t>
      </w:r>
      <w:r>
        <w:t xml:space="preserve">shows the median auROC and credible intervals for each model separately by race (not White;</w:t>
      </w:r>
      <w:r>
        <w:t xml:space="preserve"> </w:t>
      </w:r>
      <w:r>
        <w:rPr>
          <w:iCs/>
          <w:i/>
        </w:rPr>
        <w:t xml:space="preserve">N</w:t>
      </w:r>
      <w:r>
        <w:t xml:space="preserve"> </w:t>
      </w:r>
      <w:r>
        <w:t xml:space="preserve">= 20 vs. Non-Hispanic White;</w:t>
      </w:r>
      <w:r>
        <w:t xml:space="preserve"> </w:t>
      </w:r>
      <w:r>
        <w:rPr>
          <w:iCs/>
          <w:i/>
        </w:rPr>
        <w:t xml:space="preserve">N</w:t>
      </w:r>
      <w:r>
        <w:t xml:space="preserve"> </w:t>
      </w:r>
      <w:r>
        <w:t xml:space="preserve">= 131), sex at birth (female;</w:t>
      </w:r>
      <w:r>
        <w:t xml:space="preserve"> </w:t>
      </w:r>
      <w:r>
        <w:rPr>
          <w:iCs/>
          <w:i/>
        </w:rPr>
        <w:t xml:space="preserve">N</w:t>
      </w:r>
      <w:r>
        <w:t xml:space="preserve"> </w:t>
      </w:r>
      <w:r>
        <w:t xml:space="preserve">= 74 vs. Male;</w:t>
      </w:r>
      <w:r>
        <w:t xml:space="preserve"> </w:t>
      </w:r>
      <w:r>
        <w:rPr>
          <w:iCs/>
          <w:i/>
        </w:rPr>
        <w:t xml:space="preserve">N</w:t>
      </w:r>
      <w:r>
        <w:t xml:space="preserve"> </w:t>
      </w:r>
      <w:r>
        <w:t xml:space="preserve">= 77), and income (below poverty;</w:t>
      </w:r>
      <w:r>
        <w:t xml:space="preserve"> </w:t>
      </w:r>
      <w:r>
        <w:rPr>
          <w:iCs/>
          <w:i/>
        </w:rPr>
        <w:t xml:space="preserve">N</w:t>
      </w:r>
      <w:r>
        <w:t xml:space="preserve"> </w:t>
      </w:r>
      <w:r>
        <w:t xml:space="preserve">= 18 vs. above poverty;</w:t>
      </w:r>
      <w:r>
        <w:t xml:space="preserve"> </w:t>
      </w:r>
      <w:r>
        <w:rPr>
          <w:iCs/>
          <w:i/>
        </w:rPr>
        <w:t xml:space="preserve">N</w:t>
      </w:r>
      <w:r>
        <w:t xml:space="preserve"> </w:t>
      </w:r>
      <w:r>
        <w:t xml:space="preserve">= 133). All group comparisons were significant (probability &gt; .95) across models.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w:t>
      </w:r>
    </w:p>
    <w:bookmarkEnd w:id="62"/>
    <w:bookmarkStart w:id="63" w:name="discussion"/>
    <w:p>
      <w:pPr>
        <w:pStyle w:val="Heading2"/>
      </w:pPr>
      <w:r>
        <w:t xml:space="preserve">Discussion</w:t>
      </w:r>
    </w:p>
    <w:bookmarkEnd w:id="63"/>
    <w:bookmarkStart w:id="64"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significantly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64"/>
    <w:bookmarkStart w:id="65"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The best solution to this limitation would be to recruit a more representative sample. However, there may be methods to mitigate these issues in the current data.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However, sex was adequately represented in our sample. We were surprised to see model performance was significantly worse for women compared to men.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5"/>
    <w:bookmarkStart w:id="66" w:name="X40ab624ebf83813907a18dba36edd4d1d14a553"/>
    <w:p>
      <w:pPr>
        <w:pStyle w:val="Heading2"/>
      </w:pPr>
      <w:r>
        <w:t xml:space="preserve">Additional Limitations and Future Directions</w:t>
      </w:r>
    </w:p>
    <w:p>
      <w:pPr>
        <w:pStyle w:val="FirstParagraph"/>
      </w:pPr>
      <w:r>
        <w:t xml:space="preserve">We believe these models will be most effective embedded in a recovery monitoring and support system. This system could provide daily, weekly, or less frequent (e.g., only when risk of lapse exceeds a certain threshold) messages to patients with personalized feedback about their risk of lapse and provide support recommendations tailored to their current recovery needs. However, it is unclear the best way to provide risk information to patients.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In such a system, we can imagine that even longer lags (i.e., more advanced warning) could be helpful.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It is also possible that adding low burden sensing methods, like geolocation, could allow us to reduce the frequency (e.g., 1x weekly EMA) and/or length (e.g, 2-3 items) of our EMAs.</w:t>
      </w:r>
    </w:p>
    <w:bookmarkEnd w:id="66"/>
    <w:bookmarkStart w:id="67"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7"/>
    <w:bookmarkStart w:id="113" w:name="references"/>
    <w:p>
      <w:pPr>
        <w:pStyle w:val="Heading2"/>
      </w:pPr>
      <w:r>
        <w:t xml:space="preserve">References</w:t>
      </w:r>
    </w:p>
    <w:bookmarkStart w:id="112" w:name="refs"/>
    <w:bookmarkStart w:id="69"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Cs/>
          <w:i/>
        </w:rPr>
        <w:t xml:space="preserve">Addictive Behaviors</w:t>
      </w:r>
      <w:r>
        <w:t xml:space="preserve"> </w:t>
      </w:r>
      <w:r>
        <w:t xml:space="preserve">83 (August): 42–47.</w:t>
      </w:r>
      <w:r>
        <w:t xml:space="preserve"> </w:t>
      </w:r>
      <w:hyperlink r:id="rId68">
        <w:r>
          <w:rPr>
            <w:rStyle w:val="Hyperlink"/>
          </w:rPr>
          <w:t xml:space="preserve">https://doi.org/10.1016/j.addbeh.2017.11.039</w:t>
        </w:r>
      </w:hyperlink>
      <w:r>
        <w:t xml:space="preserve">.</w:t>
      </w:r>
    </w:p>
    <w:bookmarkEnd w:id="69"/>
    <w:bookmarkStart w:id="71"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0">
        <w:r>
          <w:rPr>
            <w:rStyle w:val="Hyperlink"/>
          </w:rPr>
          <w:t xml:space="preserve">https://doi.org/10.21231/GNT1-HW21</w:t>
        </w:r>
      </w:hyperlink>
      <w:r>
        <w:t xml:space="preserve">.</w:t>
      </w:r>
    </w:p>
    <w:bookmarkEnd w:id="71"/>
    <w:bookmarkStart w:id="73"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Cs/>
          <w:i/>
        </w:rPr>
        <w:t xml:space="preserve">Journal of Substance Abuse Treatment</w:t>
      </w:r>
      <w:r>
        <w:t xml:space="preserve"> </w:t>
      </w:r>
      <w:r>
        <w:t xml:space="preserve">46 (1): 29–35.</w:t>
      </w:r>
      <w:r>
        <w:t xml:space="preserve"> </w:t>
      </w:r>
      <w:hyperlink r:id="rId72">
        <w:r>
          <w:rPr>
            <w:rStyle w:val="Hyperlink"/>
          </w:rPr>
          <w:t xml:space="preserve">https://doi.org/10.1016/j.jsat.2013.08.004</w:t>
        </w:r>
      </w:hyperlink>
      <w:r>
        <w:t xml:space="preserve">.</w:t>
      </w:r>
    </w:p>
    <w:bookmarkEnd w:id="73"/>
    <w:bookmarkStart w:id="75"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74">
        <w:r>
          <w:rPr>
            <w:rStyle w:val="Hyperlink"/>
          </w:rPr>
          <w:t xml:space="preserve">https://doi.org/10.1016/j.brat.2019.103506</w:t>
        </w:r>
      </w:hyperlink>
      <w:r>
        <w:t xml:space="preserve">.</w:t>
      </w:r>
    </w:p>
    <w:bookmarkEnd w:id="75"/>
    <w:bookmarkStart w:id="76"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76"/>
    <w:bookmarkStart w:id="77"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77"/>
    <w:bookmarkStart w:id="79"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Cs/>
          <w:i/>
        </w:rPr>
        <w:t xml:space="preserve">Drug and Alcohol Dependence</w:t>
      </w:r>
      <w:r>
        <w:t xml:space="preserve"> </w:t>
      </w:r>
      <w:r>
        <w:t xml:space="preserve">86 (1): 1–21.</w:t>
      </w:r>
      <w:r>
        <w:t xml:space="preserve"> </w:t>
      </w:r>
      <w:hyperlink r:id="rId78">
        <w:r>
          <w:rPr>
            <w:rStyle w:val="Hyperlink"/>
          </w:rPr>
          <w:t xml:space="preserve">https://doi.org/10.1016/j.drugalcdep.2006.05.012</w:t>
        </w:r>
      </w:hyperlink>
      <w:r>
        <w:t xml:space="preserve">.</w:t>
      </w:r>
    </w:p>
    <w:bookmarkEnd w:id="79"/>
    <w:bookmarkStart w:id="80" w:name="ref-hsiehSampleSizeTables1989"/>
    <w:p>
      <w:pPr>
        <w:pStyle w:val="Bibliography"/>
      </w:pPr>
      <w:r>
        <w:t xml:space="preserve">Hsieh, F. 1989.</w:t>
      </w:r>
      <w:r>
        <w:t xml:space="preserve"> </w:t>
      </w:r>
      <w:r>
        <w:t xml:space="preserve">“Sample Size Tables for Logistic Regression.”</w:t>
      </w:r>
      <w:r>
        <w:t xml:space="preserve"> </w:t>
      </w:r>
      <w:r>
        <w:rPr>
          <w:iCs/>
          <w:i/>
        </w:rPr>
        <w:t xml:space="preserve">Statistics in Medicine</w:t>
      </w:r>
      <w:r>
        <w:t xml:space="preserve"> </w:t>
      </w:r>
      <w:r>
        <w:t xml:space="preserve">8: 795–802.</w:t>
      </w:r>
    </w:p>
    <w:bookmarkEnd w:id="80"/>
    <w:bookmarkStart w:id="82" w:name="X305ed1b6c97f878fcc6b9e2dc29ff342edd2275"/>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Cs/>
          <w:i/>
        </w:rPr>
        <w:t xml:space="preserve">Addiction (Abingdon, England)</w:t>
      </w:r>
      <w:r>
        <w:t xml:space="preserve"> </w:t>
      </w:r>
      <w:r>
        <w:t xml:space="preserve">114 (4): 609–19.</w:t>
      </w:r>
      <w:r>
        <w:t xml:space="preserve"> </w:t>
      </w:r>
      <w:hyperlink r:id="rId81">
        <w:r>
          <w:rPr>
            <w:rStyle w:val="Hyperlink"/>
          </w:rPr>
          <w:t xml:space="preserve">https://doi.org/gfsjzg</w:t>
        </w:r>
      </w:hyperlink>
      <w:r>
        <w:t xml:space="preserve">.</w:t>
      </w:r>
    </w:p>
    <w:bookmarkEnd w:id="82"/>
    <w:bookmarkStart w:id="84"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Cs/>
          <w:i/>
        </w:rPr>
        <w:t xml:space="preserve">JAMA Network Open</w:t>
      </w:r>
      <w:r>
        <w:t xml:space="preserve"> </w:t>
      </w:r>
      <w:r>
        <w:t xml:space="preserve">3 (5): e205852.</w:t>
      </w:r>
      <w:r>
        <w:t xml:space="preserve"> </w:t>
      </w:r>
      <w:hyperlink r:id="rId83">
        <w:r>
          <w:rPr>
            <w:rStyle w:val="Hyperlink"/>
          </w:rPr>
          <w:t xml:space="preserve">https://doi.org/10.1001/jamanetworkopen.2020.5852</w:t>
        </w:r>
      </w:hyperlink>
      <w:r>
        <w:t xml:space="preserve">.</w:t>
      </w:r>
    </w:p>
    <w:bookmarkEnd w:id="84"/>
    <w:bookmarkStart w:id="8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85"/>
    <w:bookmarkStart w:id="87"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86">
        <w:r>
          <w:rPr>
            <w:rStyle w:val="Hyperlink"/>
          </w:rPr>
          <w:t xml:space="preserve">https://doi.org/10.1007/978-1-4614-6849-3</w:t>
        </w:r>
      </w:hyperlink>
      <w:r>
        <w:t xml:space="preserve">.</w:t>
      </w:r>
    </w:p>
    <w:bookmarkEnd w:id="87"/>
    <w:bookmarkStart w:id="8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88"/>
    <w:bookmarkStart w:id="90"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Cs/>
          <w:i/>
        </w:rPr>
        <w:t xml:space="preserve">Electronic Journal of Statistics</w:t>
      </w:r>
      <w:r>
        <w:t xml:space="preserve"> </w:t>
      </w:r>
      <w:r>
        <w:t xml:space="preserve">11 (2): 5052–80.</w:t>
      </w:r>
      <w:r>
        <w:t xml:space="preserve"> </w:t>
      </w:r>
      <w:hyperlink r:id="rId89">
        <w:r>
          <w:rPr>
            <w:rStyle w:val="Hyperlink"/>
          </w:rPr>
          <w:t xml:space="preserve">https://doi.org/10.1214/17-EJS1338SI</w:t>
        </w:r>
      </w:hyperlink>
      <w:r>
        <w:t xml:space="preserve">.</w:t>
      </w:r>
    </w:p>
    <w:bookmarkEnd w:id="90"/>
    <w:bookmarkStart w:id="91"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p>
    <w:bookmarkEnd w:id="91"/>
    <w:bookmarkStart w:id="93"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Cs/>
          <w:i/>
        </w:rPr>
        <w:t xml:space="preserve">JMIR Research Protocols</w:t>
      </w:r>
      <w:r>
        <w:t xml:space="preserve"> </w:t>
      </w:r>
      <w:r>
        <w:t xml:space="preserve">10 (12): e29563.</w:t>
      </w:r>
      <w:r>
        <w:t xml:space="preserve"> </w:t>
      </w:r>
      <w:hyperlink r:id="rId92">
        <w:r>
          <w:rPr>
            <w:rStyle w:val="Hyperlink"/>
          </w:rPr>
          <w:t xml:space="preserve">https://doi.org/10.2196/29563</w:t>
        </w:r>
      </w:hyperlink>
      <w:r>
        <w:t xml:space="preserve">.</w:t>
      </w:r>
    </w:p>
    <w:bookmarkEnd w:id="93"/>
    <w:bookmarkStart w:id="95"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Cs/>
          <w:i/>
        </w:rPr>
        <w:t xml:space="preserve">Journal of Substance Abuse Treatment</w:t>
      </w:r>
      <w:r>
        <w:t xml:space="preserve"> </w:t>
      </w:r>
      <w:r>
        <w:t xml:space="preserve">137 (June): 108710.</w:t>
      </w:r>
      <w:r>
        <w:t xml:space="preserve"> </w:t>
      </w:r>
      <w:hyperlink r:id="rId94">
        <w:r>
          <w:rPr>
            <w:rStyle w:val="Hyperlink"/>
          </w:rPr>
          <w:t xml:space="preserve">https://doi.org/10.1016/j.jsat.2021.108710</w:t>
        </w:r>
      </w:hyperlink>
      <w:r>
        <w:t xml:space="preserve">.</w:t>
      </w:r>
    </w:p>
    <w:bookmarkEnd w:id="95"/>
    <w:bookmarkStart w:id="97"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Cs/>
          <w:i/>
        </w:rPr>
        <w:t xml:space="preserve">Drug and Alcohol Dependence</w:t>
      </w:r>
      <w:r>
        <w:t xml:space="preserve"> </w:t>
      </w:r>
      <w:r>
        <w:t xml:space="preserve">202 (September): 162–67.</w:t>
      </w:r>
      <w:r>
        <w:t xml:space="preserve"> </w:t>
      </w:r>
      <w:hyperlink r:id="rId96">
        <w:r>
          <w:rPr>
            <w:rStyle w:val="Hyperlink"/>
          </w:rPr>
          <w:t xml:space="preserve">https://doi.org/10.1016/j.drugalcdep.2019.05.017</w:t>
        </w:r>
      </w:hyperlink>
      <w:r>
        <w:t xml:space="preserve">.</w:t>
      </w:r>
    </w:p>
    <w:bookmarkEnd w:id="97"/>
    <w:bookmarkStart w:id="98" w:name="Xa6ef1c5c979e7476d6234b79f6a74545fbd7694"/>
    <w:p>
      <w:pPr>
        <w:pStyle w:val="Bibliography"/>
      </w:pPr>
      <w:r>
        <w:t xml:space="preserve">Project Match Research Group, U. S. 1997.</w:t>
      </w:r>
      <w:r>
        <w:t xml:space="preserve"> </w:t>
      </w:r>
      <w:r>
        <w:t xml:space="preserve">“Matching Alcoholism Treatments to Client Heterogeneity:</w:t>
      </w:r>
      <w:r>
        <w:t xml:space="preserve"> </w:t>
      </w:r>
      <w:r>
        <w:t xml:space="preserve">Project MATCH Posttreatment</w:t>
      </w:r>
      <w:r>
        <w:t xml:space="preserve"> </w:t>
      </w:r>
      <w:r>
        <w:t xml:space="preserve">Drinking Outcomes.”</w:t>
      </w:r>
      <w:r>
        <w:t xml:space="preserve"> </w:t>
      </w:r>
      <w:r>
        <w:rPr>
          <w:iCs/>
          <w:i/>
        </w:rPr>
        <w:t xml:space="preserve">Journal of Studies on Alcohol</w:t>
      </w:r>
      <w:r>
        <w:t xml:space="preserve"> </w:t>
      </w:r>
      <w:r>
        <w:t xml:space="preserve">58 (1): 7–29.</w:t>
      </w:r>
    </w:p>
    <w:bookmarkEnd w:id="98"/>
    <w:bookmarkStart w:id="99"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99"/>
    <w:bookmarkStart w:id="10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Cs/>
          <w:i/>
        </w:rPr>
        <w:t xml:space="preserve">Psychology of Addictive Behaviors: Journal of the Society of Psychologists in Addictive Behaviors</w:t>
      </w:r>
      <w:r>
        <w:t xml:space="preserve"> </w:t>
      </w:r>
      <w:r>
        <w:t xml:space="preserve">36 (3): 296–306.</w:t>
      </w:r>
      <w:r>
        <w:t xml:space="preserve"> </w:t>
      </w:r>
      <w:hyperlink r:id="rId100">
        <w:r>
          <w:rPr>
            <w:rStyle w:val="Hyperlink"/>
          </w:rPr>
          <w:t xml:space="preserve">https://doi.org/10.1037/adb0000666</w:t>
        </w:r>
      </w:hyperlink>
      <w:r>
        <w:t xml:space="preserve">.</w:t>
      </w:r>
    </w:p>
    <w:bookmarkEnd w:id="101"/>
    <w:bookmarkStart w:id="10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Cs/>
          <w:i/>
        </w:rPr>
        <w:t xml:space="preserve">Journal of Substance Abuse Treatment</w:t>
      </w:r>
      <w:r>
        <w:t xml:space="preserve"> </w:t>
      </w:r>
      <w:r>
        <w:t xml:space="preserve">127 (August): 108417.</w:t>
      </w:r>
      <w:r>
        <w:t xml:space="preserve"> </w:t>
      </w:r>
      <w:hyperlink r:id="rId102">
        <w:r>
          <w:rPr>
            <w:rStyle w:val="Hyperlink"/>
          </w:rPr>
          <w:t xml:space="preserve">https://doi.org/10.1016/j.jsat.2021.108417</w:t>
        </w:r>
      </w:hyperlink>
      <w:r>
        <w:t xml:space="preserve">.</w:t>
      </w:r>
    </w:p>
    <w:bookmarkEnd w:id="103"/>
    <w:bookmarkStart w:id="105"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Cs/>
          <w:i/>
        </w:rPr>
        <w:t xml:space="preserve">American Psychologist</w:t>
      </w:r>
      <w:r>
        <w:t xml:space="preserve"> </w:t>
      </w:r>
      <w:r>
        <w:t xml:space="preserve">59 (4): 224–35.</w:t>
      </w:r>
      <w:r>
        <w:t xml:space="preserve"> </w:t>
      </w:r>
      <w:hyperlink r:id="rId104">
        <w:r>
          <w:rPr>
            <w:rStyle w:val="Hyperlink"/>
          </w:rPr>
          <w:t xml:space="preserve">https://doi.org/10.1037/0003-066X.59.4.224</w:t>
        </w:r>
      </w:hyperlink>
      <w:r>
        <w:t xml:space="preserve">.</w:t>
      </w:r>
    </w:p>
    <w:bookmarkEnd w:id="105"/>
    <w:bookmarkStart w:id="107"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Cs/>
          <w:i/>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06">
        <w:r>
          <w:rPr>
            <w:rStyle w:val="Hyperlink"/>
          </w:rPr>
          <w:t xml:space="preserve">https://doi.org/10.1016/j.cpr.2007.01.002</w:t>
        </w:r>
      </w:hyperlink>
      <w:r>
        <w:t xml:space="preserve">.</w:t>
      </w:r>
    </w:p>
    <w:bookmarkEnd w:id="107"/>
    <w:bookmarkStart w:id="109"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Cs/>
          <w:i/>
        </w:rPr>
        <w:t xml:space="preserve">JMIR mHealth and uHealth</w:t>
      </w:r>
      <w:r>
        <w:t xml:space="preserve"> </w:t>
      </w:r>
      <w:r>
        <w:t xml:space="preserve">11 (1): e41833.</w:t>
      </w:r>
      <w:r>
        <w:t xml:space="preserve"> </w:t>
      </w:r>
      <w:hyperlink r:id="rId108">
        <w:r>
          <w:rPr>
            <w:rStyle w:val="Hyperlink"/>
          </w:rPr>
          <w:t xml:space="preserve">https://doi.org/10.2196/41833</w:t>
        </w:r>
      </w:hyperlink>
      <w:r>
        <w:t xml:space="preserve">.</w:t>
      </w:r>
    </w:p>
    <w:bookmarkEnd w:id="109"/>
    <w:bookmarkStart w:id="111"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110">
        <w:r>
          <w:rPr>
            <w:rStyle w:val="Hyperlink"/>
          </w:rPr>
          <w:t xml:space="preserve">https://doi.org/10.31234/osf.io/cgsf7</w:t>
        </w:r>
      </w:hyperlink>
      <w:r>
        <w:t xml:space="preserve">.</w:t>
      </w:r>
    </w:p>
    <w:bookmarkEnd w:id="111"/>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32" Target="media/rId32.png" /><Relationship Type="http://schemas.openxmlformats.org/officeDocument/2006/relationships/hyperlink" Id="rId20" Target="https://KendraPaquette.github.io/study_lag/index-preview.html" TargetMode="External" /><Relationship Type="http://schemas.openxmlformats.org/officeDocument/2006/relationships/hyperlink" Id="rId57"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3" Target="https://doi.org/10.1001/jamanetworkopen.2020.5852" TargetMode="External" /><Relationship Type="http://schemas.openxmlformats.org/officeDocument/2006/relationships/hyperlink" Id="rId86" Target="https://doi.org/10.1007/978-1-4614-6849-3" TargetMode="External" /><Relationship Type="http://schemas.openxmlformats.org/officeDocument/2006/relationships/hyperlink" Id="rId68" Target="https://doi.org/10.1016/j.addbeh.2017.11.039" TargetMode="External" /><Relationship Type="http://schemas.openxmlformats.org/officeDocument/2006/relationships/hyperlink" Id="rId74" Target="https://doi.org/10.1016/j.brat.2019.103506" TargetMode="External" /><Relationship Type="http://schemas.openxmlformats.org/officeDocument/2006/relationships/hyperlink" Id="rId106" Target="https://doi.org/10.1016/j.cpr.2007.01.002" TargetMode="External" /><Relationship Type="http://schemas.openxmlformats.org/officeDocument/2006/relationships/hyperlink" Id="rId78" Target="https://doi.org/10.1016/j.drugalcdep.2006.05.012" TargetMode="External" /><Relationship Type="http://schemas.openxmlformats.org/officeDocument/2006/relationships/hyperlink" Id="rId96" Target="https://doi.org/10.1016/j.drugalcdep.2019.05.017" TargetMode="External" /><Relationship Type="http://schemas.openxmlformats.org/officeDocument/2006/relationships/hyperlink" Id="rId72" Target="https://doi.org/10.1016/j.jsat.2013.08.004" TargetMode="External" /><Relationship Type="http://schemas.openxmlformats.org/officeDocument/2006/relationships/hyperlink" Id="rId102" Target="https://doi.org/10.1016/j.jsat.2021.108417" TargetMode="External" /><Relationship Type="http://schemas.openxmlformats.org/officeDocument/2006/relationships/hyperlink" Id="rId94" Target="https://doi.org/10.1016/j.jsat.2021.108710" TargetMode="External" /><Relationship Type="http://schemas.openxmlformats.org/officeDocument/2006/relationships/hyperlink" Id="rId104" Target="https://doi.org/10.1037/0003-066X.59.4.224" TargetMode="External" /><Relationship Type="http://schemas.openxmlformats.org/officeDocument/2006/relationships/hyperlink" Id="rId100" Target="https://doi.org/10.1037/adb0000666" TargetMode="External" /><Relationship Type="http://schemas.openxmlformats.org/officeDocument/2006/relationships/hyperlink" Id="rId89" Target="https://doi.org/10.1214/17-EJS1338SI" TargetMode="External" /><Relationship Type="http://schemas.openxmlformats.org/officeDocument/2006/relationships/hyperlink" Id="rId70" Target="https://doi.org/10.21231/GNT1-HW21" TargetMode="External" /><Relationship Type="http://schemas.openxmlformats.org/officeDocument/2006/relationships/hyperlink" Id="rId92" Target="https://doi.org/10.2196/29563" TargetMode="External" /><Relationship Type="http://schemas.openxmlformats.org/officeDocument/2006/relationships/hyperlink" Id="rId108" Target="https://doi.org/10.2196/41833" TargetMode="External" /><Relationship Type="http://schemas.openxmlformats.org/officeDocument/2006/relationships/hyperlink" Id="rId110" Target="https://doi.org/10.31234/osf.io/cgsf7" TargetMode="External" /><Relationship Type="http://schemas.openxmlformats.org/officeDocument/2006/relationships/hyperlink" Id="rId81" Target="https://doi.org/gfsjzg" TargetMode="External" /><Relationship Type="http://schemas.openxmlformats.org/officeDocument/2006/relationships/hyperlink" Id="rId25" Target="https://osf.io/xta67/"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preview.html" TargetMode="External" /><Relationship Type="http://schemas.openxmlformats.org/officeDocument/2006/relationships/hyperlink" Id="rId57"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3" Target="https://doi.org/10.1001/jamanetworkopen.2020.5852" TargetMode="External" /><Relationship Type="http://schemas.openxmlformats.org/officeDocument/2006/relationships/hyperlink" Id="rId86" Target="https://doi.org/10.1007/978-1-4614-6849-3" TargetMode="External" /><Relationship Type="http://schemas.openxmlformats.org/officeDocument/2006/relationships/hyperlink" Id="rId68" Target="https://doi.org/10.1016/j.addbeh.2017.11.039" TargetMode="External" /><Relationship Type="http://schemas.openxmlformats.org/officeDocument/2006/relationships/hyperlink" Id="rId74" Target="https://doi.org/10.1016/j.brat.2019.103506" TargetMode="External" /><Relationship Type="http://schemas.openxmlformats.org/officeDocument/2006/relationships/hyperlink" Id="rId106" Target="https://doi.org/10.1016/j.cpr.2007.01.002" TargetMode="External" /><Relationship Type="http://schemas.openxmlformats.org/officeDocument/2006/relationships/hyperlink" Id="rId78" Target="https://doi.org/10.1016/j.drugalcdep.2006.05.012" TargetMode="External" /><Relationship Type="http://schemas.openxmlformats.org/officeDocument/2006/relationships/hyperlink" Id="rId96" Target="https://doi.org/10.1016/j.drugalcdep.2019.05.017" TargetMode="External" /><Relationship Type="http://schemas.openxmlformats.org/officeDocument/2006/relationships/hyperlink" Id="rId72" Target="https://doi.org/10.1016/j.jsat.2013.08.004" TargetMode="External" /><Relationship Type="http://schemas.openxmlformats.org/officeDocument/2006/relationships/hyperlink" Id="rId102" Target="https://doi.org/10.1016/j.jsat.2021.108417" TargetMode="External" /><Relationship Type="http://schemas.openxmlformats.org/officeDocument/2006/relationships/hyperlink" Id="rId94" Target="https://doi.org/10.1016/j.jsat.2021.108710" TargetMode="External" /><Relationship Type="http://schemas.openxmlformats.org/officeDocument/2006/relationships/hyperlink" Id="rId104" Target="https://doi.org/10.1037/0003-066X.59.4.224" TargetMode="External" /><Relationship Type="http://schemas.openxmlformats.org/officeDocument/2006/relationships/hyperlink" Id="rId100" Target="https://doi.org/10.1037/adb0000666" TargetMode="External" /><Relationship Type="http://schemas.openxmlformats.org/officeDocument/2006/relationships/hyperlink" Id="rId89" Target="https://doi.org/10.1214/17-EJS1338SI" TargetMode="External" /><Relationship Type="http://schemas.openxmlformats.org/officeDocument/2006/relationships/hyperlink" Id="rId70" Target="https://doi.org/10.21231/GNT1-HW21" TargetMode="External" /><Relationship Type="http://schemas.openxmlformats.org/officeDocument/2006/relationships/hyperlink" Id="rId92" Target="https://doi.org/10.2196/29563" TargetMode="External" /><Relationship Type="http://schemas.openxmlformats.org/officeDocument/2006/relationships/hyperlink" Id="rId108" Target="https://doi.org/10.2196/41833" TargetMode="External" /><Relationship Type="http://schemas.openxmlformats.org/officeDocument/2006/relationships/hyperlink" Id="rId110" Target="https://doi.org/10.31234/osf.io/cgsf7" TargetMode="External" /><Relationship Type="http://schemas.openxmlformats.org/officeDocument/2006/relationships/hyperlink" Id="rId81" Target="https://doi.org/gfsjzg" TargetMode="External" /><Relationship Type="http://schemas.openxmlformats.org/officeDocument/2006/relationships/hyperlink" Id="rId25" Target="https://osf.io/xta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2024-12-04T14:49:51Z</dcterms:created>
  <dcterms:modified xsi:type="dcterms:W3CDTF">2024-12-04T14:49:51Z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worse than the 0 lag model (probabilities &gt; .95). All models performed worse for disadvantaged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2024-12-04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