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4" w:name="references"/>
    <w:p>
      <w:pPr>
        <w:pStyle w:val="Heading2"/>
      </w:pPr>
      <w:r>
        <w:t xml:space="preserve">References</w:t>
      </w:r>
    </w:p>
    <w:bookmarkStart w:id="123"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
          <w:iCs/>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4"/>
    <w:bookmarkStart w:id="8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9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89">
        <w:r>
          <w:rPr>
            <w:rStyle w:val="Hyperlink"/>
          </w:rPr>
          <w:t xml:space="preserve">https://doi.org/10.1007/s11920-012-0296-5</w:t>
        </w:r>
      </w:hyperlink>
      <w:r>
        <w:t xml:space="preserve">.</w:t>
      </w:r>
    </w:p>
    <w:bookmarkEnd w:id="90"/>
    <w:bookmarkStart w:id="9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1"/>
    <w:bookmarkStart w:id="9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2">
        <w:r>
          <w:rPr>
            <w:rStyle w:val="Hyperlink"/>
          </w:rPr>
          <w:t xml:space="preserve">https://doi.org/10.1007/978-1-4614-6849-3</w:t>
        </w:r>
      </w:hyperlink>
      <w:r>
        <w:t xml:space="preserve">.</w:t>
      </w:r>
    </w:p>
    <w:bookmarkEnd w:id="93"/>
    <w:bookmarkStart w:id="9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4"/>
    <w:bookmarkStart w:id="96"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5">
        <w:r>
          <w:rPr>
            <w:rStyle w:val="Hyperlink"/>
          </w:rPr>
          <w:t xml:space="preserve">https://doi.org/10.1214/17-EJS1338SI</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7"/>
    <w:bookmarkStart w:id="9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8">
        <w:r>
          <w:rPr>
            <w:rStyle w:val="Hyperlink"/>
          </w:rPr>
          <w:t xml:space="preserve">https://doi.org/10.2196/29563</w:t>
        </w:r>
      </w:hyperlink>
      <w:r>
        <w:t xml:space="preserve">.</w:t>
      </w:r>
    </w:p>
    <w:bookmarkEnd w:id="99"/>
    <w:bookmarkStart w:id="10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0">
        <w:r>
          <w:rPr>
            <w:rStyle w:val="Hyperlink"/>
          </w:rPr>
          <w:t xml:space="preserve">https://doi.org/10.1016/j.jsat.2021.108710</w:t>
        </w:r>
      </w:hyperlink>
      <w:r>
        <w:t xml:space="preserve">.</w:t>
      </w:r>
    </w:p>
    <w:bookmarkEnd w:id="101"/>
    <w:bookmarkStart w:id="10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2">
        <w:r>
          <w:rPr>
            <w:rStyle w:val="Hyperlink"/>
          </w:rPr>
          <w:t xml:space="preserve">https://doi.org/10.1016/j.drugalcdep.2019.05.017</w:t>
        </w:r>
      </w:hyperlink>
      <w:r>
        <w:t xml:space="preserve">.</w:t>
      </w:r>
    </w:p>
    <w:bookmarkEnd w:id="103"/>
    <w:bookmarkStart w:id="104"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4"/>
    <w:bookmarkStart w:id="10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5"/>
    <w:bookmarkStart w:id="106"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106"/>
    <w:bookmarkStart w:id="10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07">
        <w:r>
          <w:rPr>
            <w:rStyle w:val="Hyperlink"/>
          </w:rPr>
          <w:t xml:space="preserve">https://doi.org/10.1111/add.13479</w:t>
        </w:r>
      </w:hyperlink>
      <w:r>
        <w:t xml:space="preserve">.</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1">
        <w:r>
          <w:rPr>
            <w:rStyle w:val="Hyperlink"/>
          </w:rPr>
          <w:t xml:space="preserve">https://doi.org/10.1177/1178221820976988</w:t>
        </w:r>
      </w:hyperlink>
      <w:r>
        <w:t xml:space="preserve">.</w:t>
      </w:r>
    </w:p>
    <w:bookmarkEnd w:id="112"/>
    <w:bookmarkStart w:id="11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3">
        <w:r>
          <w:rPr>
            <w:rStyle w:val="Hyperlink"/>
          </w:rPr>
          <w:t xml:space="preserve">https://doi.org/10.1016/j.jsat.2021.108417</w:t>
        </w:r>
      </w:hyperlink>
      <w:r>
        <w:t xml:space="preserve">.</w:t>
      </w:r>
    </w:p>
    <w:bookmarkEnd w:id="114"/>
    <w:bookmarkStart w:id="11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5">
        <w:r>
          <w:rPr>
            <w:rStyle w:val="Hyperlink"/>
          </w:rPr>
          <w:t xml:space="preserve">https://doi.org/10.1037/0003-066X.59.4.224</w:t>
        </w:r>
      </w:hyperlink>
      <w:r>
        <w:t xml:space="preserve">.</w:t>
      </w:r>
    </w:p>
    <w:bookmarkEnd w:id="116"/>
    <w:bookmarkStart w:id="11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7">
        <w:r>
          <w:rPr>
            <w:rStyle w:val="Hyperlink"/>
          </w:rPr>
          <w:t xml:space="preserve">https://doi.org/10.1016/j.cpr.2007.01.002</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2024-12-04T23:42:14Z</dcterms:created>
  <dcterms:modified xsi:type="dcterms:W3CDTF">2024-12-04T23:42:14Z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