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w:t>
      </w:r>
      <w:r>
        <w:rPr>
          <w:bCs/>
          <w:b/>
        </w:rPr>
        <w:t xml:space="preserve">dennisManagingAddictionChronic2007?</w:t>
      </w:r>
      <w:r>
        <w:t xml:space="preserve">)</w:t>
      </w:r>
      <w:r>
        <w:t xml:space="preserve">. Few individuals receive any treatment, and even fewer receive continuous care throughout their recovery</w:t>
      </w:r>
      <w:r>
        <w:t xml:space="preserve"> </w:t>
      </w:r>
      <w:r>
        <w:t xml:space="preserve">(</w:t>
      </w:r>
      <w:r>
        <w:rPr>
          <w:bCs/>
          <w:b/>
        </w:rPr>
        <w:t xml:space="preserve">samhsacenterforbehavioralhealthstatisticsandquality2021NSDUHDetailed2021?</w:t>
      </w:r>
      <w:r>
        <w:t xml:space="preserve">)</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w:t>
      </w:r>
      <w:r>
        <w:rPr>
          <w:bCs/>
          <w:b/>
        </w:rPr>
        <w:t xml:space="preserve">stanojlovicTargetingBarriersSubstance2021?</w:t>
      </w:r>
      <w:r>
        <w:t xml:space="preserve">;</w:t>
      </w:r>
      <w:r>
        <w:t xml:space="preserve"> </w:t>
      </w:r>
      <w:r>
        <w:rPr>
          <w:bCs/>
          <w:b/>
        </w:rPr>
        <w:t xml:space="preserve">sociasAdoptingCascadeCare2016?</w:t>
      </w:r>
      <w:r>
        <w:t xml:space="preserve">)</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w:t>
      </w:r>
      <w:r>
        <w:rPr>
          <w:bCs/>
          <w:b/>
        </w:rPr>
        <w:t xml:space="preserve">kranzlerPersonalizedTreatmentAlcohol2012?</w:t>
      </w:r>
      <w:r>
        <w:t xml:space="preserve">;</w:t>
      </w:r>
      <w:r>
        <w:t xml:space="preserve"> </w:t>
      </w:r>
      <w:r>
        <w:rPr>
          <w:bCs/>
          <w:b/>
        </w:rPr>
        <w:t xml:space="preserve">friedmannEffectMatchingComprehensive2004?</w:t>
      </w:r>
      <w:r>
        <w:t xml:space="preserve">)</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Cs/>
          <w:i/>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Cs/>
          <w:i/>
        </w:rPr>
        <w:t xml:space="preserve">how</w:t>
      </w:r>
      <w:r>
        <w:t xml:space="preserve"> </w:t>
      </w:r>
      <w:r>
        <w:t xml:space="preserve">and the</w:t>
      </w:r>
      <w:r>
        <w:t xml:space="preserve"> </w:t>
      </w:r>
      <w:r>
        <w:rPr>
          <w:iCs/>
          <w:i/>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Cs/>
          <w:i/>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Cs/>
          <w:i/>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Cs/>
          <w:i/>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numPr>
          <w:ilvl w:val="0"/>
          <w:numId w:val="1001"/>
        </w:numPr>
        <w:pStyle w:val="Compact"/>
      </w:pPr>
      <w:r>
        <w:t xml:space="preserve">were age 18 or older,</w:t>
      </w:r>
    </w:p>
    <w:p>
      <w:pPr>
        <w:numPr>
          <w:ilvl w:val="0"/>
          <w:numId w:val="1001"/>
        </w:numPr>
        <w:pStyle w:val="Compact"/>
      </w:pPr>
      <w:r>
        <w:t xml:space="preserve">could write and read in English,</w:t>
      </w:r>
    </w:p>
    <w:p>
      <w:pPr>
        <w:numPr>
          <w:ilvl w:val="0"/>
          <w:numId w:val="1001"/>
        </w:numPr>
        <w:pStyle w:val="Compact"/>
      </w:pPr>
      <w:r>
        <w:t xml:space="preserve">had at least moderate AUD (&gt;= 4 self-reported DSM-5 symptoms),</w:t>
      </w:r>
    </w:p>
    <w:p>
      <w:pPr>
        <w:numPr>
          <w:ilvl w:val="0"/>
          <w:numId w:val="1001"/>
        </w:numPr>
        <w:pStyle w:val="Compact"/>
      </w:pPr>
      <w:r>
        <w:t xml:space="preserve">were abstinent from alcohol for 1-8 weeks, and</w:t>
      </w:r>
    </w:p>
    <w:p>
      <w:pPr>
        <w:numPr>
          <w:ilvl w:val="0"/>
          <w:numId w:val="1001"/>
        </w:numPr>
        <w:pStyle w:val="Compact"/>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Cs/>
          <w:i/>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Cs/>
          <w:i/>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Cs/>
          <w:i/>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ook w:firstRow="0" w:lastRow="0" w:firstColumn="0" w:lastColumn="0" w:noHBand="0" w:noVBand="0" w:val="0000"/>
        <w:jc w:val="start"/>
        <w:tblLayout w:type="fixed"/>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Cs/>
          <w:i/>
        </w:rPr>
        <w:t xml:space="preserve">lapse</w:t>
      </w:r>
      <w:r>
        <w:t xml:space="preserve"> </w:t>
      </w:r>
      <w:r>
        <w:t xml:space="preserve">if the start date/hour of any drinking episode fell within that window. A window was labeled</w:t>
      </w:r>
      <w:r>
        <w:t xml:space="preserve"> </w:t>
      </w:r>
      <w:r>
        <w:rPr>
          <w:iCs/>
          <w:i/>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Cs/>
          <w:i/>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Cs/>
          <w:i/>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Cs/>
          <w:i/>
        </w:rPr>
        <w:t xml:space="preserve">validation</w:t>
      </w:r>
      <w:r>
        <w:t xml:space="preserve"> </w:t>
      </w:r>
      <w:r>
        <w:t xml:space="preserve">sets) and 3 repeats of 10-fold cross-validation for the outer loop (i.e.,</w:t>
      </w:r>
      <w:r>
        <w:t xml:space="preserve"> </w:t>
      </w:r>
      <w:r>
        <w:rPr>
          <w:iCs/>
          <w:i/>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9"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ook w:firstRow="0" w:lastRow="0" w:firstColumn="0" w:lastColumn="0" w:noHBand="0" w:noVBand="0" w:val="0000"/>
        <w:jc w:val="start"/>
        <w:tblLayout w:type="fixed"/>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ook w:firstRow="1" w:lastRow="0" w:firstColumn="0" w:lastColumn="0" w:noHBand="0" w:noVBand="0" w:val="0020"/>
              <w:jc w:val="start"/>
              <w:tblLayout w:type="fixed"/>
            </w:tblPr>
            <w:tblGrid>
              <w:gridCol w:w="3622"/>
              <w:gridCol w:w="505"/>
              <w:gridCol w:w="589"/>
              <w:gridCol w:w="926"/>
              <w:gridCol w:w="926"/>
              <w:gridCol w:w="1179"/>
            </w:tblGrid>
            <w:tr>
              <w:trPr>
                <w:tblHeader w:val="true"/>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1">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ook w:firstRow="0" w:lastRow="0" w:firstColumn="0" w:lastColumn="0" w:noHBand="0" w:noVBand="0" w:val="0000"/>
        <w:jc w:val="start"/>
        <w:tblLayout w:type="fixed"/>
      </w:tblPr>
      <w:tblGrid>
        <w:gridCol w:w="7920"/>
      </w:tblGrid>
      <w:tr>
        <w:tc>
          <w:tcPr/>
          <w:bookmarkStart w:id="56" w:name="fig-1"/>
          <w:p>
            <w:pPr>
              <w:pStyle w:val="Compact"/>
              <w:jc w:val="center"/>
            </w:pPr>
            <w:r>
              <w:drawing>
                <wp:inline>
                  <wp:extent cx="5334000" cy="3810000"/>
                  <wp:effectExtent b="0" l="0" r="0" t="0"/>
                  <wp:docPr descr="" title="" id="54" name="Picture"/>
                  <a:graphic>
                    <a:graphicData uri="http://schemas.openxmlformats.org/drawingml/2006/picture">
                      <pic:pic>
                        <pic:nvPicPr>
                          <pic:cNvPr descr="index_files/figure-docx/notebooks-mak_figures-fig-1-output-1.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7"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Cs/>
          <w:i/>
        </w:rPr>
        <w:t xml:space="preserve">N</w:t>
      </w:r>
      <w:r>
        <w:t xml:space="preserve"> </w:t>
      </w:r>
      <w:r>
        <w:t xml:space="preserve">= 20 vs. Non-Hispanic White;</w:t>
      </w:r>
      <w:r>
        <w:t xml:space="preserve"> </w:t>
      </w:r>
      <w:r>
        <w:rPr>
          <w:iCs/>
          <w:i/>
        </w:rPr>
        <w:t xml:space="preserve">N</w:t>
      </w:r>
      <w:r>
        <w:t xml:space="preserve"> </w:t>
      </w:r>
      <w:r>
        <w:t xml:space="preserve">= 131), sex at birth (female;</w:t>
      </w:r>
      <w:r>
        <w:t xml:space="preserve"> </w:t>
      </w:r>
      <w:r>
        <w:rPr>
          <w:iCs/>
          <w:i/>
        </w:rPr>
        <w:t xml:space="preserve">N</w:t>
      </w:r>
      <w:r>
        <w:t xml:space="preserve"> </w:t>
      </w:r>
      <w:r>
        <w:t xml:space="preserve">= 74 vs. Male;</w:t>
      </w:r>
      <w:r>
        <w:t xml:space="preserve"> </w:t>
      </w:r>
      <w:r>
        <w:rPr>
          <w:iCs/>
          <w:i/>
        </w:rPr>
        <w:t xml:space="preserve">N</w:t>
      </w:r>
      <w:r>
        <w:t xml:space="preserve"> </w:t>
      </w:r>
      <w:r>
        <w:t xml:space="preserve">= 77), and income (below poverty;</w:t>
      </w:r>
      <w:r>
        <w:t xml:space="preserve"> </w:t>
      </w:r>
      <w:r>
        <w:rPr>
          <w:iCs/>
          <w:i/>
        </w:rPr>
        <w:t xml:space="preserve">N</w:t>
      </w:r>
      <w:r>
        <w:t xml:space="preserve"> </w:t>
      </w:r>
      <w:r>
        <w:t xml:space="preserve">= 18 vs. above poverty;</w:t>
      </w:r>
      <w:r>
        <w:t xml:space="preserve"> </w:t>
      </w:r>
      <w:r>
        <w:rPr>
          <w:iCs/>
          <w:i/>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tbl>
      <w:tblPr>
        <w:tblStyle w:val="Table"/>
        <w:tblW w:type="pct" w:w="5000"/>
        <w:tblLook w:firstRow="0" w:lastRow="0" w:firstColumn="0" w:lastColumn="0" w:noHBand="0" w:noVBand="0" w:val="0000"/>
        <w:jc w:val="start"/>
        <w:tblLayout w:type="fixed"/>
      </w:tblPr>
      <w:tblGrid>
        <w:gridCol w:w="7920"/>
      </w:tblGrid>
      <w:tr>
        <w:tc>
          <w:tcPr/>
          <w:bookmarkStart w:id="65" w:name="fig-2"/>
          <w:p>
            <w:pPr>
              <w:pStyle w:val="Compact"/>
              <w:jc w:val="center"/>
            </w:pPr>
            <w:r>
              <w:drawing>
                <wp:inline>
                  <wp:extent cx="5334000" cy="4000500"/>
                  <wp:effectExtent b="0" l="0" r="0" t="0"/>
                  <wp:docPr descr="" title="" id="63" name="Picture"/>
                  <a:graphic>
                    <a:graphicData uri="http://schemas.openxmlformats.org/drawingml/2006/picture">
                      <pic:pic>
                        <pic:nvPicPr>
                          <pic:cNvPr descr="index_files/figure-docx/notebooks-mak_figures-fig-2-output-1.pn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All Figures for Main Manuscript</w:t>
        </w:r>
      </w:hyperlink>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18" w:name="references"/>
    <w:p>
      <w:pPr>
        <w:pStyle w:val="Heading2"/>
      </w:pPr>
      <w:r>
        <w:t xml:space="preserve">References</w:t>
      </w:r>
    </w:p>
    <w:bookmarkStart w:id="117"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81"/>
    <w:bookmarkStart w:id="8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2"/>
    <w:bookmarkStart w:id="8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83">
        <w:r>
          <w:rPr>
            <w:rStyle w:val="Hyperlink"/>
          </w:rPr>
          <w:t xml:space="preserve">https://doi.org/10.1016/j.drugalcdep.2006.05.012</w:t>
        </w:r>
      </w:hyperlink>
      <w:r>
        <w:t xml:space="preserve">.</w:t>
      </w:r>
    </w:p>
    <w:bookmarkEnd w:id="84"/>
    <w:bookmarkStart w:id="85" w:name="ref-hsiehSampleSizeTables1989"/>
    <w:p>
      <w:pPr>
        <w:pStyle w:val="Bibliography"/>
      </w:pPr>
      <w:r>
        <w:t xml:space="preserve">Hsieh, F. 1989.</w:t>
      </w:r>
      <w:r>
        <w:t xml:space="preserve"> </w:t>
      </w:r>
      <w:r>
        <w:t xml:space="preserve">“Sample Size Tables for Logistic Regression.”</w:t>
      </w:r>
      <w:r>
        <w:t xml:space="preserve"> </w:t>
      </w:r>
      <w:r>
        <w:rPr>
          <w:iCs/>
          <w:i/>
        </w:rPr>
        <w:t xml:space="preserve">Statistics in Medicine</w:t>
      </w:r>
      <w:r>
        <w:t xml:space="preserve"> </w:t>
      </w:r>
      <w:r>
        <w:t xml:space="preserve">8: 795–802.</w:t>
      </w:r>
    </w:p>
    <w:bookmarkEnd w:id="85"/>
    <w:bookmarkStart w:id="87"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Cs/>
          <w:i/>
        </w:rPr>
        <w:t xml:space="preserve">Addiction (Abingdon, England)</w:t>
      </w:r>
      <w:r>
        <w:t xml:space="preserve"> </w:t>
      </w:r>
      <w:r>
        <w:t xml:space="preserve">114 (4): 609–19.</w:t>
      </w:r>
      <w:r>
        <w:t xml:space="preserve"> </w:t>
      </w:r>
      <w:hyperlink r:id="rId86">
        <w:r>
          <w:rPr>
            <w:rStyle w:val="Hyperlink"/>
          </w:rPr>
          <w:t xml:space="preserve">https://doi.org/gfsjzg</w:t>
        </w:r>
      </w:hyperlink>
      <w:r>
        <w:t xml:space="preserve">.</w:t>
      </w:r>
    </w:p>
    <w:bookmarkEnd w:id="87"/>
    <w:bookmarkStart w:id="8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88">
        <w:r>
          <w:rPr>
            <w:rStyle w:val="Hyperlink"/>
          </w:rPr>
          <w:t xml:space="preserve">https://doi.org/10.1001/jamanetworkopen.2020.5852</w:t>
        </w:r>
      </w:hyperlink>
      <w:r>
        <w:t xml:space="preserve">.</w:t>
      </w:r>
    </w:p>
    <w:bookmarkEnd w:id="89"/>
    <w:bookmarkStart w:id="9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0"/>
    <w:bookmarkStart w:id="92"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91">
        <w:r>
          <w:rPr>
            <w:rStyle w:val="Hyperlink"/>
          </w:rPr>
          <w:t xml:space="preserve">https://doi.org/10.1007/978-1-4614-6849-3</w:t>
        </w:r>
      </w:hyperlink>
      <w:r>
        <w:t xml:space="preserve">.</w:t>
      </w:r>
    </w:p>
    <w:bookmarkEnd w:id="92"/>
    <w:bookmarkStart w:id="9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3"/>
    <w:bookmarkStart w:id="95"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Cs/>
          <w:i/>
        </w:rPr>
        <w:t xml:space="preserve">Electronic Journal of Statistics</w:t>
      </w:r>
      <w:r>
        <w:t xml:space="preserve"> </w:t>
      </w:r>
      <w:r>
        <w:t xml:space="preserve">11 (2): 5052–80.</w:t>
      </w:r>
      <w:r>
        <w:t xml:space="preserve"> </w:t>
      </w:r>
      <w:hyperlink r:id="rId94">
        <w:r>
          <w:rPr>
            <w:rStyle w:val="Hyperlink"/>
          </w:rPr>
          <w:t xml:space="preserve">https://doi.org/10.1214/17-EJS1338SI</w:t>
        </w:r>
      </w:hyperlink>
      <w:r>
        <w:t xml:space="preserve">.</w:t>
      </w:r>
    </w:p>
    <w:bookmarkEnd w:id="95"/>
    <w:bookmarkStart w:id="96"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6"/>
    <w:bookmarkStart w:id="9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Cs/>
          <w:i/>
        </w:rPr>
        <w:t xml:space="preserve">JMIR Research Protocols</w:t>
      </w:r>
      <w:r>
        <w:t xml:space="preserve"> </w:t>
      </w:r>
      <w:r>
        <w:t xml:space="preserve">10 (12): e29563.</w:t>
      </w:r>
      <w:r>
        <w:t xml:space="preserve"> </w:t>
      </w:r>
      <w:hyperlink r:id="rId97">
        <w:r>
          <w:rPr>
            <w:rStyle w:val="Hyperlink"/>
          </w:rPr>
          <w:t xml:space="preserve">https://doi.org/10.2196/29563</w:t>
        </w:r>
      </w:hyperlink>
      <w:r>
        <w:t xml:space="preserve">.</w:t>
      </w:r>
    </w:p>
    <w:bookmarkEnd w:id="98"/>
    <w:bookmarkStart w:id="10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99">
        <w:r>
          <w:rPr>
            <w:rStyle w:val="Hyperlink"/>
          </w:rPr>
          <w:t xml:space="preserve">https://doi.org/10.1016/j.jsat.2021.108710</w:t>
        </w:r>
      </w:hyperlink>
      <w:r>
        <w:t xml:space="preserve">.</w:t>
      </w:r>
    </w:p>
    <w:bookmarkEnd w:id="100"/>
    <w:bookmarkStart w:id="10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101">
        <w:r>
          <w:rPr>
            <w:rStyle w:val="Hyperlink"/>
          </w:rPr>
          <w:t xml:space="preserve">https://doi.org/10.1016/j.drugalcdep.2019.05.017</w:t>
        </w:r>
      </w:hyperlink>
      <w:r>
        <w:t xml:space="preserve">.</w:t>
      </w:r>
    </w:p>
    <w:bookmarkEnd w:id="102"/>
    <w:bookmarkStart w:id="103"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Cs/>
          <w:i/>
        </w:rPr>
        <w:t xml:space="preserve">Journal of Studies on Alcohol</w:t>
      </w:r>
      <w:r>
        <w:t xml:space="preserve"> </w:t>
      </w:r>
      <w:r>
        <w:t xml:space="preserve">58 (1): 7–29.</w:t>
      </w:r>
    </w:p>
    <w:bookmarkEnd w:id="103"/>
    <w:bookmarkStart w:id="10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4"/>
    <w:bookmarkStart w:id="10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105">
        <w:r>
          <w:rPr>
            <w:rStyle w:val="Hyperlink"/>
          </w:rPr>
          <w:t xml:space="preserve">https://doi.org/10.1037/adb0000666</w:t>
        </w:r>
      </w:hyperlink>
      <w:r>
        <w:t xml:space="preserve">.</w:t>
      </w:r>
    </w:p>
    <w:bookmarkEnd w:id="106"/>
    <w:bookmarkStart w:id="108"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Cs/>
          <w:i/>
        </w:rPr>
        <w:t xml:space="preserve">Journal of Substance Abuse Treatment</w:t>
      </w:r>
      <w:r>
        <w:t xml:space="preserve"> </w:t>
      </w:r>
      <w:r>
        <w:t xml:space="preserve">127 (August): 108417.</w:t>
      </w:r>
      <w:r>
        <w:t xml:space="preserve"> </w:t>
      </w:r>
      <w:hyperlink r:id="rId107">
        <w:r>
          <w:rPr>
            <w:rStyle w:val="Hyperlink"/>
          </w:rPr>
          <w:t xml:space="preserve">https://doi.org/10.1016/j.jsat.2021.108417</w:t>
        </w:r>
      </w:hyperlink>
      <w:r>
        <w:t xml:space="preserve">.</w:t>
      </w:r>
    </w:p>
    <w:bookmarkEnd w:id="108"/>
    <w:bookmarkStart w:id="11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Cs/>
          <w:i/>
        </w:rPr>
        <w:t xml:space="preserve">American Psychologist</w:t>
      </w:r>
      <w:r>
        <w:t xml:space="preserve"> </w:t>
      </w:r>
      <w:r>
        <w:t xml:space="preserve">59 (4): 224–35.</w:t>
      </w:r>
      <w:r>
        <w:t xml:space="preserve"> </w:t>
      </w:r>
      <w:hyperlink r:id="rId109">
        <w:r>
          <w:rPr>
            <w:rStyle w:val="Hyperlink"/>
          </w:rPr>
          <w:t xml:space="preserve">https://doi.org/10.1037/0003-066X.59.4.224</w:t>
        </w:r>
      </w:hyperlink>
      <w:r>
        <w:t xml:space="preserve">.</w:t>
      </w:r>
    </w:p>
    <w:bookmarkEnd w:id="110"/>
    <w:bookmarkStart w:id="11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Cs/>
          <w:i/>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1">
        <w:r>
          <w:rPr>
            <w:rStyle w:val="Hyperlink"/>
          </w:rPr>
          <w:t xml:space="preserve">https://doi.org/10.1016/j.cpr.2007.01.002</w:t>
        </w:r>
      </w:hyperlink>
      <w:r>
        <w:t xml:space="preserve">.</w:t>
      </w:r>
    </w:p>
    <w:bookmarkEnd w:id="112"/>
    <w:bookmarkStart w:id="11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113">
        <w:r>
          <w:rPr>
            <w:rStyle w:val="Hyperlink"/>
          </w:rPr>
          <w:t xml:space="preserve">https://doi.org/10.2196/41833</w:t>
        </w:r>
      </w:hyperlink>
      <w:r>
        <w:t xml:space="preserve">.</w:t>
      </w:r>
    </w:p>
    <w:bookmarkEnd w:id="114"/>
    <w:bookmarkStart w:id="116"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15">
        <w:r>
          <w:rPr>
            <w:rStyle w:val="Hyperlink"/>
          </w:rPr>
          <w:t xml:space="preserve">https://doi.org/10.31234/osf.io/cgsf7</w:t>
        </w:r>
      </w:hyperlink>
      <w:r>
        <w:t xml:space="preserve">.</w:t>
      </w:r>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2024-12-04T14:24:16Z</dcterms:created>
  <dcterms:modified xsi:type="dcterms:W3CDTF">2024-12-04T14:24:16Z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