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E39E5" w14:textId="3FF8B218" w:rsidR="009307A4" w:rsidRPr="009307A4" w:rsidRDefault="009307A4" w:rsidP="009307A4">
      <w:pPr>
        <w:spacing w:line="360" w:lineRule="auto"/>
        <w:jc w:val="center"/>
        <w:rPr>
          <w:b/>
          <w:bCs/>
          <w:sz w:val="32"/>
          <w:szCs w:val="32"/>
          <w:lang w:val="en-US"/>
        </w:rPr>
      </w:pPr>
      <w:r w:rsidRPr="009307A4">
        <w:rPr>
          <w:b/>
          <w:bCs/>
          <w:sz w:val="32"/>
          <w:szCs w:val="32"/>
          <w:lang w:val="en-US"/>
        </w:rPr>
        <w:t xml:space="preserve">Kendrick Winata </w:t>
      </w:r>
    </w:p>
    <w:p w14:paraId="361E9C13" w14:textId="609F4DF2" w:rsidR="009307A4" w:rsidRPr="009307A4" w:rsidRDefault="009307A4" w:rsidP="009307A4">
      <w:pPr>
        <w:spacing w:line="360" w:lineRule="auto"/>
        <w:jc w:val="center"/>
        <w:rPr>
          <w:b/>
          <w:bCs/>
          <w:sz w:val="28"/>
          <w:szCs w:val="28"/>
          <w:lang w:val="en-US"/>
        </w:rPr>
      </w:pPr>
      <w:r w:rsidRPr="009307A4">
        <w:rPr>
          <w:b/>
          <w:bCs/>
          <w:sz w:val="28"/>
          <w:szCs w:val="28"/>
          <w:lang w:val="en-US"/>
        </w:rPr>
        <w:t>QF600 – Asset Pricing</w:t>
      </w:r>
    </w:p>
    <w:p w14:paraId="28E282DD" w14:textId="65D38151" w:rsidR="009307A4" w:rsidRPr="009307A4" w:rsidRDefault="009307A4" w:rsidP="009307A4">
      <w:pPr>
        <w:spacing w:line="360" w:lineRule="auto"/>
        <w:jc w:val="center"/>
        <w:rPr>
          <w:b/>
          <w:bCs/>
          <w:sz w:val="28"/>
          <w:szCs w:val="28"/>
          <w:lang w:val="en-US"/>
        </w:rPr>
      </w:pPr>
      <w:r w:rsidRPr="009307A4">
        <w:rPr>
          <w:b/>
          <w:bCs/>
          <w:sz w:val="28"/>
          <w:szCs w:val="28"/>
          <w:lang w:val="en-US"/>
        </w:rPr>
        <w:t xml:space="preserve">Homework </w:t>
      </w:r>
      <w:r w:rsidR="00535854">
        <w:rPr>
          <w:b/>
          <w:bCs/>
          <w:sz w:val="28"/>
          <w:szCs w:val="28"/>
          <w:lang w:val="en-US"/>
        </w:rPr>
        <w:t>2</w:t>
      </w:r>
    </w:p>
    <w:p w14:paraId="3EB9F97D" w14:textId="77777777" w:rsidR="009307A4" w:rsidRDefault="009307A4">
      <w:pPr>
        <w:rPr>
          <w:b/>
          <w:bCs/>
          <w:lang w:val="en-US"/>
        </w:rPr>
      </w:pPr>
    </w:p>
    <w:p w14:paraId="50C50DBB" w14:textId="77777777" w:rsidR="00D7115C" w:rsidRPr="00983985" w:rsidRDefault="00D7115C" w:rsidP="00535854">
      <w:pPr>
        <w:rPr>
          <w:b/>
          <w:bCs/>
          <w:lang w:val="en-US"/>
        </w:rPr>
      </w:pPr>
    </w:p>
    <w:p w14:paraId="6C71C6B1" w14:textId="77777777" w:rsidR="00535854" w:rsidRPr="00535854" w:rsidRDefault="00535854" w:rsidP="00535854">
      <w:pPr>
        <w:rPr>
          <w:b/>
          <w:bCs/>
          <w:lang w:val="en-US"/>
        </w:rPr>
      </w:pPr>
      <w:r w:rsidRPr="00535854">
        <w:rPr>
          <w:b/>
          <w:bCs/>
          <w:lang w:val="en-US"/>
        </w:rPr>
        <w:t>Create a table showing the intercept and slope coefficients for the ten industry portfolios.</w:t>
      </w:r>
    </w:p>
    <w:p w14:paraId="6C9EED53" w14:textId="55A526CB" w:rsidR="00240E0C" w:rsidRDefault="00240E0C" w:rsidP="00240E0C">
      <w:pPr>
        <w:jc w:val="center"/>
        <w:rPr>
          <w:lang w:val="en-US"/>
        </w:rPr>
      </w:pPr>
    </w:p>
    <w:p w14:paraId="4EB7201C" w14:textId="426295D6" w:rsidR="00983985" w:rsidRDefault="001D3E72" w:rsidP="00983985">
      <w:pPr>
        <w:jc w:val="center"/>
        <w:rPr>
          <w:lang w:val="en-US"/>
        </w:rPr>
      </w:pPr>
      <w:r w:rsidRPr="001D3E72">
        <w:rPr>
          <w:lang w:val="en-US"/>
        </w:rPr>
        <w:drawing>
          <wp:inline distT="0" distB="0" distL="0" distR="0" wp14:anchorId="5B1B0144" wp14:editId="360C7554">
            <wp:extent cx="4635500" cy="3759200"/>
            <wp:effectExtent l="0" t="0" r="0" b="0"/>
            <wp:docPr id="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500" cy="3759200"/>
                    </a:xfrm>
                    <a:prstGeom prst="rect">
                      <a:avLst/>
                    </a:prstGeom>
                  </pic:spPr>
                </pic:pic>
              </a:graphicData>
            </a:graphic>
          </wp:inline>
        </w:drawing>
      </w:r>
    </w:p>
    <w:p w14:paraId="4B7B3B93" w14:textId="77777777" w:rsidR="00983985" w:rsidRDefault="00983985" w:rsidP="00983985">
      <w:pPr>
        <w:jc w:val="center"/>
        <w:rPr>
          <w:lang w:val="en-US"/>
        </w:rPr>
      </w:pPr>
    </w:p>
    <w:p w14:paraId="1CC57E3A" w14:textId="65A2E631" w:rsidR="00983985" w:rsidRDefault="00983985" w:rsidP="00983985">
      <w:pPr>
        <w:rPr>
          <w:b/>
          <w:bCs/>
          <w:lang w:val="en-US"/>
        </w:rPr>
      </w:pPr>
      <w:r w:rsidRPr="00983985">
        <w:rPr>
          <w:b/>
          <w:bCs/>
          <w:lang w:val="en-US"/>
        </w:rPr>
        <w:t>Briefly explain the economic significance of the intercept and slope coefficients.</w:t>
      </w:r>
    </w:p>
    <w:p w14:paraId="3565D8D1" w14:textId="52D7202E" w:rsidR="00983985" w:rsidRPr="00983985" w:rsidRDefault="00983985" w:rsidP="00983985">
      <w:pPr>
        <w:rPr>
          <w:lang w:val="en-US"/>
        </w:rPr>
      </w:pPr>
      <w:r w:rsidRPr="00983985">
        <w:rPr>
          <w:lang w:val="en-US"/>
        </w:rPr>
        <w:t>Beta</w:t>
      </w:r>
      <w:r w:rsidR="005B6408">
        <w:rPr>
          <w:lang w:val="en-US"/>
        </w:rPr>
        <w:t xml:space="preserve"> (slope coefficients)</w:t>
      </w:r>
      <w:r w:rsidRPr="00983985">
        <w:rPr>
          <w:lang w:val="en-US"/>
        </w:rPr>
        <w:t xml:space="preserve"> measures the amount of exposure to systematic </w:t>
      </w:r>
      <w:r w:rsidR="008F5384">
        <w:rPr>
          <w:lang w:val="en-US"/>
        </w:rPr>
        <w:t>“</w:t>
      </w:r>
      <w:r w:rsidRPr="00983985">
        <w:rPr>
          <w:lang w:val="en-US"/>
        </w:rPr>
        <w:t>market</w:t>
      </w:r>
      <w:r w:rsidR="008F5384">
        <w:rPr>
          <w:lang w:val="en-US"/>
        </w:rPr>
        <w:t>”</w:t>
      </w:r>
      <w:r w:rsidRPr="00983985">
        <w:rPr>
          <w:lang w:val="en-US"/>
        </w:rPr>
        <w:t xml:space="preserve"> risk when investing in an individual risky asset. It is a measure of the volatility of an investment, or the expected move in a stock relative to movements in the overall market. A beta value that is greater than 1 suggests that the stock is more volatile than the overall market, and a beta value of less than 1 suggests that the stock is less volatile than the broader market. </w:t>
      </w:r>
      <w:r w:rsidR="004F666D">
        <w:rPr>
          <w:lang w:val="en-US"/>
        </w:rPr>
        <w:t xml:space="preserve"> </w:t>
      </w:r>
      <w:r w:rsidRPr="00983985">
        <w:rPr>
          <w:lang w:val="en-US"/>
        </w:rPr>
        <w:t>Alpha</w:t>
      </w:r>
      <w:r w:rsidR="005B6408">
        <w:rPr>
          <w:lang w:val="en-US"/>
        </w:rPr>
        <w:t xml:space="preserve"> (intercept coefficients)</w:t>
      </w:r>
      <w:r w:rsidRPr="00983985">
        <w:rPr>
          <w:lang w:val="en-US"/>
        </w:rPr>
        <w:t xml:space="preserve"> measures that expected excess return, after subtracting the reward associated with the systematic component. </w:t>
      </w:r>
      <w:r w:rsidR="001F3448">
        <w:rPr>
          <w:lang w:val="en-US"/>
        </w:rPr>
        <w:t>Alpha</w:t>
      </w:r>
      <w:r w:rsidR="008D1CE8">
        <w:rPr>
          <w:lang w:val="en-US"/>
        </w:rPr>
        <w:t xml:space="preserve"> often being used as a measure of a overall pricing error</w:t>
      </w:r>
      <w:r w:rsidR="00B442CA">
        <w:rPr>
          <w:lang w:val="en-US"/>
        </w:rPr>
        <w:t xml:space="preserve"> (relative to CAPM)</w:t>
      </w:r>
      <w:r w:rsidR="008D1CE8">
        <w:rPr>
          <w:lang w:val="en-US"/>
        </w:rPr>
        <w:t xml:space="preserve"> </w:t>
      </w:r>
      <w:r w:rsidR="008D1CE8" w:rsidRPr="00983985">
        <w:rPr>
          <w:lang w:val="en-US"/>
        </w:rPr>
        <w:t>for either individual assets or a passive portfolio.</w:t>
      </w:r>
      <w:r w:rsidR="004F666D">
        <w:rPr>
          <w:lang w:val="en-US"/>
        </w:rPr>
        <w:t xml:space="preserve"> </w:t>
      </w:r>
      <w:r w:rsidR="0034663C">
        <w:rPr>
          <w:lang w:val="en-US"/>
        </w:rPr>
        <w:t>However, f</w:t>
      </w:r>
      <w:r w:rsidR="008D1CE8">
        <w:rPr>
          <w:lang w:val="en-US"/>
        </w:rPr>
        <w:t>or active</w:t>
      </w:r>
      <w:r w:rsidR="00E12184">
        <w:rPr>
          <w:lang w:val="en-US"/>
        </w:rPr>
        <w:t>ly managed</w:t>
      </w:r>
      <w:r w:rsidR="008D1CE8">
        <w:rPr>
          <w:lang w:val="en-US"/>
        </w:rPr>
        <w:t xml:space="preserve"> portfolio, </w:t>
      </w:r>
      <w:r w:rsidRPr="00983985">
        <w:rPr>
          <w:lang w:val="en-US"/>
        </w:rPr>
        <w:t>Alpha reflects how an investment performed relative to the market. I</w:t>
      </w:r>
      <w:r w:rsidR="008D1CE8">
        <w:rPr>
          <w:lang w:val="en-US"/>
        </w:rPr>
        <w:t xml:space="preserve">f alpha is non-zero, expected return is higher or lower than CAPM predict. Positive alpha means </w:t>
      </w:r>
      <w:r w:rsidR="007B0375">
        <w:rPr>
          <w:lang w:val="en-US"/>
        </w:rPr>
        <w:t xml:space="preserve">the portfolio is </w:t>
      </w:r>
      <w:r w:rsidR="008D1CE8">
        <w:rPr>
          <w:lang w:val="en-US"/>
        </w:rPr>
        <w:t>under</w:t>
      </w:r>
      <w:r w:rsidR="00D8525E">
        <w:rPr>
          <w:lang w:val="en-US"/>
        </w:rPr>
        <w:t>value</w:t>
      </w:r>
      <w:r w:rsidR="008D1CE8">
        <w:rPr>
          <w:lang w:val="en-US"/>
        </w:rPr>
        <w:t xml:space="preserve"> and negative alpha means </w:t>
      </w:r>
      <w:r w:rsidR="007B0375">
        <w:rPr>
          <w:lang w:val="en-US"/>
        </w:rPr>
        <w:t xml:space="preserve">the portfolio is </w:t>
      </w:r>
      <w:r w:rsidR="008D1CE8">
        <w:rPr>
          <w:lang w:val="en-US"/>
        </w:rPr>
        <w:t>over</w:t>
      </w:r>
      <w:r w:rsidR="00D8525E">
        <w:rPr>
          <w:lang w:val="en-US"/>
        </w:rPr>
        <w:t>value</w:t>
      </w:r>
      <w:r w:rsidR="008D1CE8">
        <w:rPr>
          <w:lang w:val="en-US"/>
        </w:rPr>
        <w:t xml:space="preserve">. </w:t>
      </w:r>
      <w:r w:rsidR="004F666D">
        <w:rPr>
          <w:lang w:val="en-US"/>
        </w:rPr>
        <w:t>Alpha is also usually being used to identify fund manager performance. Positive alpha means fund manager being able to identify overprice and underprice stock, and vice versa</w:t>
      </w:r>
      <w:r w:rsidR="00196343">
        <w:rPr>
          <w:lang w:val="en-US"/>
        </w:rPr>
        <w:t>.</w:t>
      </w:r>
    </w:p>
    <w:p w14:paraId="4C624C3E" w14:textId="77777777" w:rsidR="00983985" w:rsidRPr="00983985" w:rsidRDefault="00983985" w:rsidP="00983985">
      <w:pPr>
        <w:jc w:val="center"/>
      </w:pPr>
    </w:p>
    <w:p w14:paraId="3B67D1AA" w14:textId="77777777" w:rsidR="00593915" w:rsidRDefault="00593915" w:rsidP="00983985">
      <w:pPr>
        <w:rPr>
          <w:b/>
          <w:bCs/>
          <w:lang w:val="en-US"/>
        </w:rPr>
      </w:pPr>
    </w:p>
    <w:p w14:paraId="5E6BFF32" w14:textId="77777777" w:rsidR="00593915" w:rsidRDefault="00593915">
      <w:pPr>
        <w:rPr>
          <w:b/>
          <w:bCs/>
          <w:lang w:val="en-US"/>
        </w:rPr>
      </w:pPr>
      <w:r>
        <w:rPr>
          <w:b/>
          <w:bCs/>
          <w:lang w:val="en-US"/>
        </w:rPr>
        <w:br w:type="page"/>
      </w:r>
    </w:p>
    <w:p w14:paraId="7345CA3C" w14:textId="3349CE8B" w:rsidR="00983985" w:rsidRDefault="00983985" w:rsidP="00983985">
      <w:pPr>
        <w:rPr>
          <w:b/>
          <w:bCs/>
          <w:lang w:val="en-US"/>
        </w:rPr>
      </w:pPr>
      <w:r w:rsidRPr="00983985">
        <w:rPr>
          <w:b/>
          <w:bCs/>
          <w:lang w:val="en-US"/>
        </w:rPr>
        <w:lastRenderedPageBreak/>
        <w:t>Use the estimated intercept and slope coefficients for the SML to plot the SML in the range of β from zero to two on the horizontal axis.</w:t>
      </w:r>
    </w:p>
    <w:p w14:paraId="29E3C8C7" w14:textId="2478127E" w:rsidR="00FA3739" w:rsidRDefault="00FA3739" w:rsidP="00FA3739">
      <w:pPr>
        <w:rPr>
          <w:b/>
          <w:bCs/>
          <w:lang w:val="en-US"/>
        </w:rPr>
      </w:pPr>
      <w:r w:rsidRPr="00FA3739">
        <w:rPr>
          <w:b/>
          <w:bCs/>
          <w:lang w:val="en-US"/>
        </w:rPr>
        <w:t>Also plot the positions of the ten industry portfolios and the market portfolio. (You are NOT required to label the individual portfolios.)</w:t>
      </w:r>
    </w:p>
    <w:p w14:paraId="6339D13B" w14:textId="53883B0F" w:rsidR="00FA3739" w:rsidRPr="00983985" w:rsidRDefault="00593915" w:rsidP="00983985">
      <w:pPr>
        <w:rPr>
          <w:b/>
          <w:bCs/>
          <w:lang w:val="en-US"/>
        </w:rPr>
      </w:pPr>
      <w:r w:rsidRPr="00593915">
        <w:rPr>
          <w:b/>
          <w:bCs/>
          <w:lang w:val="en-US"/>
        </w:rPr>
        <w:drawing>
          <wp:inline distT="0" distB="0" distL="0" distR="0" wp14:anchorId="122EB832" wp14:editId="04C2E4FD">
            <wp:extent cx="6479540" cy="4832350"/>
            <wp:effectExtent l="0" t="0" r="0" b="6350"/>
            <wp:docPr id="2"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4832350"/>
                    </a:xfrm>
                    <a:prstGeom prst="rect">
                      <a:avLst/>
                    </a:prstGeom>
                  </pic:spPr>
                </pic:pic>
              </a:graphicData>
            </a:graphic>
          </wp:inline>
        </w:drawing>
      </w:r>
    </w:p>
    <w:p w14:paraId="5C241310" w14:textId="77777777" w:rsidR="00593915" w:rsidRPr="00593915" w:rsidRDefault="00593915" w:rsidP="00117F8D">
      <w:pPr>
        <w:spacing w:before="100" w:beforeAutospacing="1" w:after="100" w:afterAutospacing="1"/>
        <w:rPr>
          <w:b/>
          <w:bCs/>
          <w:lang w:val="en-US"/>
        </w:rPr>
      </w:pPr>
      <w:r w:rsidRPr="00593915">
        <w:rPr>
          <w:b/>
          <w:bCs/>
          <w:lang w:val="en-US"/>
        </w:rPr>
        <w:t>Briefly explain the economic significance of the SML.</w:t>
      </w:r>
    </w:p>
    <w:p w14:paraId="6A302927" w14:textId="7CFBC686" w:rsidR="00593915" w:rsidRPr="00593915" w:rsidRDefault="00593915">
      <w:pPr>
        <w:rPr>
          <w:lang w:val="en-US"/>
        </w:rPr>
      </w:pPr>
      <w:r w:rsidRPr="00593915">
        <w:rPr>
          <w:lang w:val="en-US"/>
        </w:rPr>
        <w:t>The SML is a graphical representation of the Capital Asset Pricing Model. It shows different levels of systematic risks of various risky assets plotted against the expected return of the entire market at any given time. All the portfolios on the SML have the same Treynor Ratio as the market portfolio.</w:t>
      </w:r>
      <w:r w:rsidR="0021744F">
        <w:rPr>
          <w:lang w:val="en-US"/>
        </w:rPr>
        <w:t xml:space="preserve"> Slope of SML (Treynor Ratio) represent ratio of risk premium to beta (often called reward of risk premium).</w:t>
      </w:r>
      <w:r w:rsidRPr="00593915">
        <w:rPr>
          <w:lang w:val="en-US"/>
        </w:rPr>
        <w:t xml:space="preserve"> The SML is used to determine if an asset is either overpriced or underpriced compared to the market, given its level of systematic risk. Fairly priced portfolios lie on the SML. </w:t>
      </w:r>
      <w:r w:rsidR="00762BE8">
        <w:rPr>
          <w:lang w:val="en-US"/>
        </w:rPr>
        <w:t xml:space="preserve">Portfolio/asset lie above of SML </w:t>
      </w:r>
      <w:r w:rsidR="005F14C7">
        <w:rPr>
          <w:lang w:val="en-US"/>
        </w:rPr>
        <w:t xml:space="preserve">suggest it </w:t>
      </w:r>
      <w:r w:rsidR="00762BE8">
        <w:rPr>
          <w:lang w:val="en-US"/>
        </w:rPr>
        <w:t>is underprice</w:t>
      </w:r>
      <w:r w:rsidR="008B2345">
        <w:rPr>
          <w:lang w:val="en-US"/>
        </w:rPr>
        <w:t xml:space="preserve"> (attractive)</w:t>
      </w:r>
      <w:r w:rsidR="00762BE8">
        <w:rPr>
          <w:lang w:val="en-US"/>
        </w:rPr>
        <w:t xml:space="preserve"> and portfolio/asset that lies below SML</w:t>
      </w:r>
      <w:r w:rsidR="005F14C7">
        <w:rPr>
          <w:lang w:val="en-US"/>
        </w:rPr>
        <w:t xml:space="preserve"> suggest it is</w:t>
      </w:r>
      <w:r w:rsidR="00762BE8">
        <w:rPr>
          <w:lang w:val="en-US"/>
        </w:rPr>
        <w:t xml:space="preserve"> overprice</w:t>
      </w:r>
      <w:r w:rsidR="0021744F">
        <w:rPr>
          <w:lang w:val="en-US"/>
        </w:rPr>
        <w:t xml:space="preserve"> (unattractive)</w:t>
      </w:r>
      <w:r w:rsidR="00762BE8">
        <w:rPr>
          <w:lang w:val="en-US"/>
        </w:rPr>
        <w:t>.</w:t>
      </w:r>
      <w:r w:rsidR="0021744F">
        <w:rPr>
          <w:lang w:val="en-US"/>
        </w:rPr>
        <w:t xml:space="preserve"> In summary</w:t>
      </w:r>
      <w:r w:rsidRPr="00593915">
        <w:rPr>
          <w:lang w:val="en-US"/>
        </w:rPr>
        <w:t>, the SML is useful in determining whether the asset offers a favorable expected return compared to its level of risk.</w:t>
      </w:r>
      <w:r w:rsidR="008B2345">
        <w:rPr>
          <w:lang w:val="en-US"/>
        </w:rPr>
        <w:t xml:space="preserve"> It provides a framework for understanding how expected returns relate to systematic risk.</w:t>
      </w:r>
    </w:p>
    <w:p w14:paraId="50CDC097" w14:textId="74239018" w:rsidR="00240E0C" w:rsidRPr="00EC33A9" w:rsidRDefault="00166359" w:rsidP="00240E0C">
      <w:pPr>
        <w:rPr>
          <w:b/>
          <w:bCs/>
          <w:lang w:val="en-US"/>
        </w:rPr>
      </w:pPr>
      <w:r w:rsidRPr="009B67D1">
        <w:t xml:space="preserve"> </w:t>
      </w:r>
    </w:p>
    <w:sectPr w:rsidR="00240E0C" w:rsidRPr="00EC33A9" w:rsidSect="00240E0C">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6E430" w14:textId="77777777" w:rsidR="002E146F" w:rsidRDefault="002E146F" w:rsidP="009307A4">
      <w:r>
        <w:separator/>
      </w:r>
    </w:p>
  </w:endnote>
  <w:endnote w:type="continuationSeparator" w:id="0">
    <w:p w14:paraId="71030362" w14:textId="77777777" w:rsidR="002E146F" w:rsidRDefault="002E146F" w:rsidP="0093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62958" w14:textId="77777777" w:rsidR="002E146F" w:rsidRDefault="002E146F" w:rsidP="009307A4">
      <w:r>
        <w:separator/>
      </w:r>
    </w:p>
  </w:footnote>
  <w:footnote w:type="continuationSeparator" w:id="0">
    <w:p w14:paraId="7F2EDBD0" w14:textId="77777777" w:rsidR="002E146F" w:rsidRDefault="002E146F" w:rsidP="00930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7C99"/>
    <w:multiLevelType w:val="multilevel"/>
    <w:tmpl w:val="A1C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B53BE"/>
    <w:multiLevelType w:val="multilevel"/>
    <w:tmpl w:val="E33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A0831"/>
    <w:multiLevelType w:val="multilevel"/>
    <w:tmpl w:val="C43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A5C7A"/>
    <w:multiLevelType w:val="multilevel"/>
    <w:tmpl w:val="E91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2A408E"/>
    <w:multiLevelType w:val="multilevel"/>
    <w:tmpl w:val="907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0C"/>
    <w:rsid w:val="000232C2"/>
    <w:rsid w:val="00106D2B"/>
    <w:rsid w:val="00117F8D"/>
    <w:rsid w:val="00166359"/>
    <w:rsid w:val="00196343"/>
    <w:rsid w:val="001D3E72"/>
    <w:rsid w:val="001F3448"/>
    <w:rsid w:val="0021744F"/>
    <w:rsid w:val="00240E0C"/>
    <w:rsid w:val="0027675A"/>
    <w:rsid w:val="00280446"/>
    <w:rsid w:val="002A1B81"/>
    <w:rsid w:val="002E146F"/>
    <w:rsid w:val="002F24ED"/>
    <w:rsid w:val="002F2DF1"/>
    <w:rsid w:val="0034663C"/>
    <w:rsid w:val="004224DE"/>
    <w:rsid w:val="004F666D"/>
    <w:rsid w:val="00535854"/>
    <w:rsid w:val="00593915"/>
    <w:rsid w:val="005B6408"/>
    <w:rsid w:val="005C2FD3"/>
    <w:rsid w:val="005F14C7"/>
    <w:rsid w:val="006A14FC"/>
    <w:rsid w:val="006C6E01"/>
    <w:rsid w:val="00762BE8"/>
    <w:rsid w:val="007744C7"/>
    <w:rsid w:val="007B0375"/>
    <w:rsid w:val="007C4500"/>
    <w:rsid w:val="007D7C3A"/>
    <w:rsid w:val="00806A24"/>
    <w:rsid w:val="00817CF3"/>
    <w:rsid w:val="00853408"/>
    <w:rsid w:val="008B2345"/>
    <w:rsid w:val="008D1CE8"/>
    <w:rsid w:val="008D34D5"/>
    <w:rsid w:val="008D78BE"/>
    <w:rsid w:val="008E7614"/>
    <w:rsid w:val="008F5384"/>
    <w:rsid w:val="009307A4"/>
    <w:rsid w:val="009755D5"/>
    <w:rsid w:val="00983985"/>
    <w:rsid w:val="009B67D1"/>
    <w:rsid w:val="00A07539"/>
    <w:rsid w:val="00A1338B"/>
    <w:rsid w:val="00A17850"/>
    <w:rsid w:val="00A5668C"/>
    <w:rsid w:val="00B442CA"/>
    <w:rsid w:val="00B71F66"/>
    <w:rsid w:val="00BA0190"/>
    <w:rsid w:val="00CB1E4C"/>
    <w:rsid w:val="00CD68B7"/>
    <w:rsid w:val="00CD7F79"/>
    <w:rsid w:val="00D03CE5"/>
    <w:rsid w:val="00D7115C"/>
    <w:rsid w:val="00D8525E"/>
    <w:rsid w:val="00DA0CBF"/>
    <w:rsid w:val="00DB6547"/>
    <w:rsid w:val="00DE0460"/>
    <w:rsid w:val="00E12184"/>
    <w:rsid w:val="00E37E46"/>
    <w:rsid w:val="00EC33A9"/>
    <w:rsid w:val="00F577E9"/>
    <w:rsid w:val="00F70E40"/>
    <w:rsid w:val="00FA0DD1"/>
    <w:rsid w:val="00FA3739"/>
    <w:rsid w:val="00FC5AD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0180F6"/>
  <w15:chartTrackingRefBased/>
  <w15:docId w15:val="{F7BD1E84-47BA-8943-B72C-40C64ABF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0E0C"/>
    <w:rPr>
      <w:rFonts w:ascii="Courier New" w:eastAsia="Times New Roman" w:hAnsi="Courier New" w:cs="Courier New"/>
      <w:sz w:val="20"/>
      <w:szCs w:val="20"/>
    </w:rPr>
  </w:style>
  <w:style w:type="paragraph" w:styleId="ListParagraph">
    <w:name w:val="List Paragraph"/>
    <w:basedOn w:val="Normal"/>
    <w:uiPriority w:val="34"/>
    <w:qFormat/>
    <w:rsid w:val="005C2FD3"/>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9307A4"/>
    <w:pPr>
      <w:tabs>
        <w:tab w:val="center" w:pos="4513"/>
        <w:tab w:val="right" w:pos="9026"/>
      </w:tabs>
    </w:pPr>
  </w:style>
  <w:style w:type="character" w:customStyle="1" w:styleId="HeaderChar">
    <w:name w:val="Header Char"/>
    <w:basedOn w:val="DefaultParagraphFont"/>
    <w:link w:val="Header"/>
    <w:uiPriority w:val="99"/>
    <w:rsid w:val="009307A4"/>
    <w:rPr>
      <w:rFonts w:ascii="Times New Roman" w:eastAsia="Times New Roman" w:hAnsi="Times New Roman" w:cs="Times New Roman"/>
    </w:rPr>
  </w:style>
  <w:style w:type="paragraph" w:styleId="Footer">
    <w:name w:val="footer"/>
    <w:basedOn w:val="Normal"/>
    <w:link w:val="FooterChar"/>
    <w:uiPriority w:val="99"/>
    <w:unhideWhenUsed/>
    <w:rsid w:val="009307A4"/>
    <w:pPr>
      <w:tabs>
        <w:tab w:val="center" w:pos="4513"/>
        <w:tab w:val="right" w:pos="9026"/>
      </w:tabs>
    </w:pPr>
  </w:style>
  <w:style w:type="character" w:customStyle="1" w:styleId="FooterChar">
    <w:name w:val="Footer Char"/>
    <w:basedOn w:val="DefaultParagraphFont"/>
    <w:link w:val="Footer"/>
    <w:uiPriority w:val="99"/>
    <w:rsid w:val="009307A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D34D5"/>
    <w:rPr>
      <w:sz w:val="18"/>
      <w:szCs w:val="18"/>
    </w:rPr>
  </w:style>
  <w:style w:type="character" w:customStyle="1" w:styleId="BalloonTextChar">
    <w:name w:val="Balloon Text Char"/>
    <w:basedOn w:val="DefaultParagraphFont"/>
    <w:link w:val="BalloonText"/>
    <w:uiPriority w:val="99"/>
    <w:semiHidden/>
    <w:rsid w:val="008D34D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426275">
      <w:bodyDiv w:val="1"/>
      <w:marLeft w:val="0"/>
      <w:marRight w:val="0"/>
      <w:marTop w:val="0"/>
      <w:marBottom w:val="0"/>
      <w:divBdr>
        <w:top w:val="none" w:sz="0" w:space="0" w:color="auto"/>
        <w:left w:val="none" w:sz="0" w:space="0" w:color="auto"/>
        <w:bottom w:val="none" w:sz="0" w:space="0" w:color="auto"/>
        <w:right w:val="none" w:sz="0" w:space="0" w:color="auto"/>
      </w:divBdr>
    </w:div>
    <w:div w:id="559290540">
      <w:bodyDiv w:val="1"/>
      <w:marLeft w:val="0"/>
      <w:marRight w:val="0"/>
      <w:marTop w:val="0"/>
      <w:marBottom w:val="0"/>
      <w:divBdr>
        <w:top w:val="none" w:sz="0" w:space="0" w:color="auto"/>
        <w:left w:val="none" w:sz="0" w:space="0" w:color="auto"/>
        <w:bottom w:val="none" w:sz="0" w:space="0" w:color="auto"/>
        <w:right w:val="none" w:sz="0" w:space="0" w:color="auto"/>
      </w:divBdr>
    </w:div>
    <w:div w:id="571625737">
      <w:bodyDiv w:val="1"/>
      <w:marLeft w:val="0"/>
      <w:marRight w:val="0"/>
      <w:marTop w:val="0"/>
      <w:marBottom w:val="0"/>
      <w:divBdr>
        <w:top w:val="none" w:sz="0" w:space="0" w:color="auto"/>
        <w:left w:val="none" w:sz="0" w:space="0" w:color="auto"/>
        <w:bottom w:val="none" w:sz="0" w:space="0" w:color="auto"/>
        <w:right w:val="none" w:sz="0" w:space="0" w:color="auto"/>
      </w:divBdr>
    </w:div>
    <w:div w:id="1285312271">
      <w:bodyDiv w:val="1"/>
      <w:marLeft w:val="0"/>
      <w:marRight w:val="0"/>
      <w:marTop w:val="0"/>
      <w:marBottom w:val="0"/>
      <w:divBdr>
        <w:top w:val="none" w:sz="0" w:space="0" w:color="auto"/>
        <w:left w:val="none" w:sz="0" w:space="0" w:color="auto"/>
        <w:bottom w:val="none" w:sz="0" w:space="0" w:color="auto"/>
        <w:right w:val="none" w:sz="0" w:space="0" w:color="auto"/>
      </w:divBdr>
    </w:div>
    <w:div w:id="1463157276">
      <w:bodyDiv w:val="1"/>
      <w:marLeft w:val="0"/>
      <w:marRight w:val="0"/>
      <w:marTop w:val="0"/>
      <w:marBottom w:val="0"/>
      <w:divBdr>
        <w:top w:val="none" w:sz="0" w:space="0" w:color="auto"/>
        <w:left w:val="none" w:sz="0" w:space="0" w:color="auto"/>
        <w:bottom w:val="none" w:sz="0" w:space="0" w:color="auto"/>
        <w:right w:val="none" w:sz="0" w:space="0" w:color="auto"/>
      </w:divBdr>
    </w:div>
    <w:div w:id="1539317351">
      <w:bodyDiv w:val="1"/>
      <w:marLeft w:val="0"/>
      <w:marRight w:val="0"/>
      <w:marTop w:val="0"/>
      <w:marBottom w:val="0"/>
      <w:divBdr>
        <w:top w:val="none" w:sz="0" w:space="0" w:color="auto"/>
        <w:left w:val="none" w:sz="0" w:space="0" w:color="auto"/>
        <w:bottom w:val="none" w:sz="0" w:space="0" w:color="auto"/>
        <w:right w:val="none" w:sz="0" w:space="0" w:color="auto"/>
      </w:divBdr>
    </w:div>
    <w:div w:id="1648701524">
      <w:bodyDiv w:val="1"/>
      <w:marLeft w:val="0"/>
      <w:marRight w:val="0"/>
      <w:marTop w:val="0"/>
      <w:marBottom w:val="0"/>
      <w:divBdr>
        <w:top w:val="none" w:sz="0" w:space="0" w:color="auto"/>
        <w:left w:val="none" w:sz="0" w:space="0" w:color="auto"/>
        <w:bottom w:val="none" w:sz="0" w:space="0" w:color="auto"/>
        <w:right w:val="none" w:sz="0" w:space="0" w:color="auto"/>
      </w:divBdr>
    </w:div>
    <w:div w:id="1672101062">
      <w:bodyDiv w:val="1"/>
      <w:marLeft w:val="0"/>
      <w:marRight w:val="0"/>
      <w:marTop w:val="0"/>
      <w:marBottom w:val="0"/>
      <w:divBdr>
        <w:top w:val="none" w:sz="0" w:space="0" w:color="auto"/>
        <w:left w:val="none" w:sz="0" w:space="0" w:color="auto"/>
        <w:bottom w:val="none" w:sz="0" w:space="0" w:color="auto"/>
        <w:right w:val="none" w:sz="0" w:space="0" w:color="auto"/>
      </w:divBdr>
    </w:div>
    <w:div w:id="1680543940">
      <w:bodyDiv w:val="1"/>
      <w:marLeft w:val="0"/>
      <w:marRight w:val="0"/>
      <w:marTop w:val="0"/>
      <w:marBottom w:val="0"/>
      <w:divBdr>
        <w:top w:val="none" w:sz="0" w:space="0" w:color="auto"/>
        <w:left w:val="none" w:sz="0" w:space="0" w:color="auto"/>
        <w:bottom w:val="none" w:sz="0" w:space="0" w:color="auto"/>
        <w:right w:val="none" w:sz="0" w:space="0" w:color="auto"/>
      </w:divBdr>
    </w:div>
    <w:div w:id="1871914162">
      <w:bodyDiv w:val="1"/>
      <w:marLeft w:val="0"/>
      <w:marRight w:val="0"/>
      <w:marTop w:val="0"/>
      <w:marBottom w:val="0"/>
      <w:divBdr>
        <w:top w:val="none" w:sz="0" w:space="0" w:color="auto"/>
        <w:left w:val="none" w:sz="0" w:space="0" w:color="auto"/>
        <w:bottom w:val="none" w:sz="0" w:space="0" w:color="auto"/>
        <w:right w:val="none" w:sz="0" w:space="0" w:color="auto"/>
      </w:divBdr>
    </w:div>
    <w:div w:id="1936593084">
      <w:bodyDiv w:val="1"/>
      <w:marLeft w:val="0"/>
      <w:marRight w:val="0"/>
      <w:marTop w:val="0"/>
      <w:marBottom w:val="0"/>
      <w:divBdr>
        <w:top w:val="none" w:sz="0" w:space="0" w:color="auto"/>
        <w:left w:val="none" w:sz="0" w:space="0" w:color="auto"/>
        <w:bottom w:val="none" w:sz="0" w:space="0" w:color="auto"/>
        <w:right w:val="none" w:sz="0" w:space="0" w:color="auto"/>
      </w:divBdr>
    </w:div>
    <w:div w:id="19883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WINATA</dc:creator>
  <cp:keywords/>
  <dc:description/>
  <cp:lastModifiedBy>Kendrick WINATA</cp:lastModifiedBy>
  <cp:revision>6</cp:revision>
  <cp:lastPrinted>2023-09-24T08:56:00Z</cp:lastPrinted>
  <dcterms:created xsi:type="dcterms:W3CDTF">2023-09-24T08:56:00Z</dcterms:created>
  <dcterms:modified xsi:type="dcterms:W3CDTF">2023-09-24T11:47:00Z</dcterms:modified>
</cp:coreProperties>
</file>