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31C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outlineLvl w:val="9"/>
        <w:rPr>
          <w:rFonts w:hint="eastAsia" w:ascii="SimHei" w:hAnsi="SimHei" w:eastAsia="SimHei" w:cs="SimHei"/>
          <w:sz w:val="28"/>
          <w:szCs w:val="28"/>
        </w:rPr>
      </w:pPr>
    </w:p>
    <w:p w14:paraId="60B9C2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結合先前（2026/07/20）與本次（2026/08/11）的實驗數據、熱影像分析及物理機制說明，可直接提供給客戶檢視：</w:t>
      </w:r>
    </w:p>
    <w:p w14:paraId="3E97FA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sz w:val="36"/>
          <w:szCs w:val="36"/>
        </w:rPr>
        <w:t>銅散熱鰭片（裸銅 vs 奈米散熱塗料）效能評估報告</w:t>
      </w:r>
    </w:p>
    <w:p w14:paraId="2CB27B9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文件歸屬</w:t>
      </w:r>
      <w:r>
        <w:rPr>
          <w:rFonts w:hint="eastAsia" w:ascii="SimHei" w:hAnsi="SimHei" w:eastAsia="SimHei" w:cs="SimHei"/>
        </w:rPr>
        <w:t>：晶禹科技有限公司 - 研發與測試紀錄</w:t>
      </w:r>
    </w:p>
    <w:p w14:paraId="30A481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報告日期</w:t>
      </w:r>
      <w:r>
        <w:rPr>
          <w:rFonts w:hint="eastAsia" w:ascii="SimHei" w:hAnsi="SimHei" w:eastAsia="SimHei" w:cs="SimHei"/>
        </w:rPr>
        <w:t>：2026 年 8 月 12 日</w:t>
      </w:r>
    </w:p>
    <w:p w14:paraId="5654C2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測試項目</w:t>
      </w:r>
      <w:r>
        <w:rPr>
          <w:rFonts w:hint="eastAsia" w:ascii="SimHei" w:hAnsi="SimHei" w:eastAsia="SimHei" w:cs="SimHei"/>
        </w:rPr>
        <w:t>：裸銅鰭片與表面噴塗奈米散熱塗料（SiC塗層）鰭片之熱傳導、熱輻射與末端降溫效能對比</w:t>
      </w:r>
    </w:p>
    <w:p w14:paraId="633309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 測試樣品規格與實驗配置</w:t>
      </w:r>
    </w:p>
    <w:p w14:paraId="55314BE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  <w:rPr>
          <w:rFonts w:hint="eastAsia" w:ascii="SimHei" w:hAnsi="SimHei" w:eastAsia="SimHei" w:cs="SimHei"/>
        </w:rPr>
      </w:pPr>
    </w:p>
    <w:p w14:paraId="2B9535FB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材質與結構</w:t>
      </w:r>
      <w:r>
        <w:rPr>
          <w:rFonts w:hint="eastAsia" w:ascii="SimHei" w:hAnsi="SimHei" w:eastAsia="SimHei" w:cs="SimHei"/>
        </w:rPr>
        <w:t xml:space="preserve">：銅質擠型散熱鰭片，具備內部中空微通道設計，可大幅增加接觸空氣的總表面積。 </w:t>
      </w:r>
    </w:p>
    <w:p w14:paraId="3065CAC7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外觀尺寸</w:t>
      </w:r>
      <w:r>
        <w:rPr>
          <w:rFonts w:hint="eastAsia" w:ascii="SimHei" w:hAnsi="SimHei" w:eastAsia="SimHei" w:cs="SimHei"/>
        </w:rPr>
        <w:t>：長 76.8</w:t>
      </w:r>
      <w:r>
        <w:rPr>
          <w:rFonts w:hint="eastAsia" w:ascii="SimHei" w:hAnsi="SimHei" w:eastAsia="新細明體" w:cs="SimHei"/>
          <w:lang w:val="en-US" w:eastAsia="zh-TW"/>
        </w:rPr>
        <w:t xml:space="preserve"> x</w:t>
      </w:r>
      <w:r>
        <w:rPr>
          <w:rFonts w:hint="eastAsia" w:ascii="SimHei" w:hAnsi="SimHei" w:eastAsia="SimHei" w:cs="SimHei"/>
        </w:rPr>
        <w:t>寬 22</w:t>
      </w:r>
      <w:r>
        <w:rPr>
          <w:rFonts w:hint="eastAsia" w:ascii="SimHei" w:hAnsi="SimHei" w:eastAsia="新細明體" w:cs="SimHei"/>
          <w:lang w:val="en-US" w:eastAsia="zh-TW"/>
        </w:rPr>
        <w:t xml:space="preserve"> x</w:t>
      </w:r>
      <w:r>
        <w:rPr>
          <w:rFonts w:hint="eastAsia" w:ascii="SimHei" w:hAnsi="SimHei" w:eastAsia="SimHei" w:cs="SimHei"/>
        </w:rPr>
        <w:t>高 7.4mm。</w:t>
      </w:r>
    </w:p>
    <w:p w14:paraId="0BBDAEDB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熱傳導路徑</w:t>
      </w:r>
      <w:r>
        <w:rPr>
          <w:rFonts w:hint="eastAsia" w:ascii="SimHei" w:hAnsi="SimHei" w:eastAsia="SimHei" w:cs="SimHei"/>
        </w:rPr>
        <w:t xml:space="preserve">：熱源由前端加熱板匯入，沿 76.8mm長度方向進行一維熱傳導，同時透過上下表面及內部通道向環境散熱；熱電偶測溫點（T1/T2）設定於鰭片末端。 </w:t>
      </w:r>
    </w:p>
    <w:p w14:paraId="200FA0C5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測試環境對比</w:t>
      </w:r>
      <w:r>
        <w:rPr>
          <w:rFonts w:hint="eastAsia" w:ascii="SimHei" w:hAnsi="SimHei" w:eastAsia="SimHei" w:cs="SimHei"/>
        </w:rPr>
        <w:t>：</w:t>
      </w:r>
    </w:p>
    <w:p w14:paraId="0955BB37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12" w:leftChars="166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前期環境（2026/07/20）</w:t>
      </w:r>
      <w:r>
        <w:rPr>
          <w:rFonts w:hint="eastAsia" w:ascii="SimHei" w:hAnsi="SimHei" w:eastAsia="SimHei" w:cs="SimHei"/>
        </w:rPr>
        <w:t>：開放空間（開窗+風扇間接對流），加熱器設定 100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 xml:space="preserve">恆溫。 </w:t>
      </w:r>
    </w:p>
    <w:p w14:paraId="39926C6F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12" w:leftChars="166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本次環境（2026/08/11）</w:t>
      </w:r>
      <w:r>
        <w:rPr>
          <w:rFonts w:hint="eastAsia" w:ascii="SimHei" w:hAnsi="SimHei" w:eastAsia="SimHei" w:cs="SimHei"/>
        </w:rPr>
        <w:t>：置於</w:t>
      </w:r>
      <w:r>
        <w:rPr>
          <w:rFonts w:hint="eastAsia" w:ascii="SimHei" w:hAnsi="SimHei" w:eastAsia="SimHei" w:cs="SimHei"/>
          <w:b/>
          <w:bCs/>
        </w:rPr>
        <w:t>紙箱封閉防擾流環境</w:t>
      </w:r>
      <w:r>
        <w:rPr>
          <w:rFonts w:hint="eastAsia" w:ascii="SimHei" w:hAnsi="SimHei" w:eastAsia="SimHei" w:cs="SimHei"/>
        </w:rPr>
        <w:t>內，排除環境氣流干擾，提升數據穩定度與重複性。</w:t>
      </w:r>
    </w:p>
    <w:p w14:paraId="6B00B1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 熱成像（FLIR）光學分析</w:t>
      </w:r>
    </w:p>
    <w:p w14:paraId="600303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透過 FLIR 紅外線熱影像儀進行表面溫場與輻射特性觀測：</w:t>
      </w:r>
    </w:p>
    <w:p w14:paraId="64A513F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加熱源校正</w:t>
      </w:r>
      <w:r>
        <w:rPr>
          <w:rFonts w:hint="eastAsia" w:ascii="SimHei" w:hAnsi="SimHei" w:eastAsia="SimHei" w:cs="SimHei"/>
        </w:rPr>
        <w:t>：</w:t>
      </w:r>
    </w:p>
    <w:p w14:paraId="1FFDDDA0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檢測加熱板中心與接觸面溫度，量測結果顯示為103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>（中心區域上限 107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>），確認熱源輸出穩定並與 100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>設定目標高度吻合。</w:t>
      </w:r>
      <w:bookmarkStart w:id="0" w:name="_GoBack"/>
      <w:bookmarkEnd w:id="0"/>
    </w:p>
    <w:p w14:paraId="68F4B46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奈米塗料鰭片（左側噴塗）</w:t>
      </w:r>
      <w:r>
        <w:rPr>
          <w:rFonts w:hint="eastAsia" w:ascii="SimHei" w:hAnsi="SimHei" w:eastAsia="SimHei" w:cs="SimHei"/>
        </w:rPr>
        <w:t>：</w:t>
      </w:r>
    </w:p>
    <w:p w14:paraId="7C1DA19E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由於奈米散熱塗料具備</w:t>
      </w:r>
      <w:r>
        <w:rPr>
          <w:rFonts w:hint="eastAsia" w:ascii="SimHei" w:hAnsi="SimHei" w:eastAsia="SimHei" w:cs="SimHei"/>
          <w:b/>
          <w:bCs/>
        </w:rPr>
        <w:t xml:space="preserve">高熱發射率（Emissivity </w:t>
      </w:r>
      <w:r>
        <w:rPr>
          <w:rFonts w:hint="default" w:ascii="Arial" w:hAnsi="Arial" w:eastAsia="SimHei" w:cs="Arial"/>
          <w:b/>
          <w:bCs/>
        </w:rPr>
        <w:t>≈</w:t>
      </w:r>
      <w:r>
        <w:rPr>
          <w:rFonts w:hint="eastAsia" w:ascii="SimHei" w:hAnsi="SimHei" w:eastAsia="SimHei" w:cs="SimHei"/>
          <w:b/>
          <w:bCs/>
        </w:rPr>
        <w:t>0.90</w:t>
      </w:r>
      <w:r>
        <w:rPr>
          <w:rFonts w:hint="eastAsia" w:ascii="SimHei" w:hAnsi="SimHei" w:eastAsia="新細明體" w:cs="SimHei"/>
          <w:b/>
          <w:bCs/>
          <w:lang w:val="en-US" w:eastAsia="zh-TW"/>
        </w:rPr>
        <w:t>~</w:t>
      </w:r>
      <w:r>
        <w:rPr>
          <w:rFonts w:hint="eastAsia" w:ascii="SimHei" w:hAnsi="SimHei" w:eastAsia="SimHei" w:cs="SimHei"/>
          <w:b/>
          <w:bCs/>
        </w:rPr>
        <w:t>0.95）</w:t>
      </w:r>
      <w:r>
        <w:rPr>
          <w:rFonts w:hint="eastAsia" w:ascii="SimHei" w:hAnsi="SimHei" w:eastAsia="SimHei" w:cs="SimHei"/>
        </w:rPr>
        <w:t>，FLIR 能夠精準捕捉其表面的紅外線輻射，熱影像呈現明亮熱訊號（顯示溫度 93.4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>），證實塗料能將內部熱能高效轉換為紅外線熱輻射向外發散。</w:t>
      </w:r>
    </w:p>
    <w:p w14:paraId="6CAF90C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裸銅鰭片（右側無噴塗）</w:t>
      </w:r>
      <w:r>
        <w:rPr>
          <w:rFonts w:hint="eastAsia" w:ascii="SimHei" w:hAnsi="SimHei" w:eastAsia="SimHei" w:cs="SimHei"/>
        </w:rPr>
        <w:t>：</w:t>
      </w:r>
    </w:p>
    <w:p w14:paraId="28829F5D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金屬裸銅之熱發射率極低（</w:t>
      </w:r>
      <w:r>
        <w:rPr>
          <w:rFonts w:hint="default" w:ascii="Arial" w:hAnsi="Arial" w:eastAsia="SimHei" w:cs="Arial"/>
        </w:rPr>
        <w:t>≈</w:t>
      </w:r>
      <w:r>
        <w:rPr>
          <w:rFonts w:hint="eastAsia" w:ascii="SimHei" w:hAnsi="SimHei" w:eastAsia="SimHei" w:cs="SimHei"/>
        </w:rPr>
        <w:t>0.03</w:t>
      </w:r>
      <w:r>
        <w:rPr>
          <w:rFonts w:hint="eastAsia" w:ascii="SimHei" w:hAnsi="SimHei" w:eastAsia="新細明體" w:cs="SimHei"/>
          <w:lang w:val="en-US" w:eastAsia="zh-TW"/>
        </w:rPr>
        <w:t>~</w:t>
      </w:r>
      <w:r>
        <w:rPr>
          <w:rFonts w:hint="eastAsia" w:ascii="SimHei" w:hAnsi="SimHei" w:eastAsia="SimHei" w:cs="SimHei"/>
        </w:rPr>
        <w:t>0.05），反射率高，因此熱影像呈現低輻射的暗藍色（顯示溫度 34.2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>）。這說明裸銅無法透過輻射散熱，熱能易積聚於鰭片內部，僅能依賴效率較低的自然對流。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3072"/>
        <w:gridCol w:w="3053"/>
      </w:tblGrid>
      <w:tr w14:paraId="235B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1B6578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SimHei" w:hAnsi="SimHei" w:eastAsia="新細明體" w:cs="SimHei"/>
                <w:vertAlign w:val="baseline"/>
                <w:lang w:eastAsia="zh-TW"/>
              </w:rPr>
            </w:pPr>
            <w:r>
              <w:rPr>
                <w:rFonts w:hint="eastAsia" w:ascii="SimHei" w:hAnsi="SimHei" w:eastAsia="新細明體" w:cs="SimHei"/>
                <w:vertAlign w:val="baseline"/>
                <w:lang w:eastAsia="zh-TW"/>
              </w:rPr>
              <w:drawing>
                <wp:inline distT="0" distB="0" distL="114300" distR="114300">
                  <wp:extent cx="1808480" cy="1356360"/>
                  <wp:effectExtent l="0" t="0" r="7620" b="2540"/>
                  <wp:docPr id="1" name="圖片 1" descr="FLIR1541加熱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 descr="FLIR1541加熱板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2C36C3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SimHei" w:hAnsi="SimHei" w:eastAsia="新細明體" w:cs="SimHei"/>
                <w:vertAlign w:val="baseline"/>
                <w:lang w:eastAsia="zh-TW"/>
              </w:rPr>
            </w:pPr>
            <w:r>
              <w:rPr>
                <w:rFonts w:hint="eastAsia" w:ascii="SimHei" w:hAnsi="SimHei" w:eastAsia="新細明體" w:cs="SimHei"/>
                <w:vertAlign w:val="baseline"/>
                <w:lang w:eastAsia="zh-TW"/>
              </w:rPr>
              <w:drawing>
                <wp:inline distT="0" distB="0" distL="114300" distR="114300">
                  <wp:extent cx="1804670" cy="1353185"/>
                  <wp:effectExtent l="0" t="0" r="11430" b="5715"/>
                  <wp:docPr id="2" name="圖片 2" descr="FLIR1543奈米塗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FLIR1543奈米塗料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11CAB9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SimHei" w:hAnsi="SimHei" w:eastAsia="新細明體" w:cs="SimHei"/>
                <w:vertAlign w:val="baseline"/>
                <w:lang w:eastAsia="zh-TW"/>
              </w:rPr>
            </w:pPr>
            <w:r>
              <w:rPr>
                <w:rFonts w:hint="eastAsia" w:ascii="SimHei" w:hAnsi="SimHei" w:eastAsia="新細明體" w:cs="SimHei"/>
                <w:vertAlign w:val="baseline"/>
                <w:lang w:eastAsia="zh-TW"/>
              </w:rPr>
              <w:drawing>
                <wp:inline distT="0" distB="0" distL="114300" distR="114300">
                  <wp:extent cx="1796415" cy="1347470"/>
                  <wp:effectExtent l="0" t="0" r="6985" b="11430"/>
                  <wp:docPr id="3" name="圖片 3" descr="FLIR1545裸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 descr="FLIR1545裸銅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5EE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eastAsia" w:ascii="SimHei" w:hAnsi="SimHei" w:eastAsia="SimHei" w:cs="SimHei"/>
        </w:rPr>
      </w:pPr>
    </w:p>
    <w:p w14:paraId="217902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eastAsia" w:ascii="SimHei" w:hAnsi="SimHei" w:eastAsia="SimHei" w:cs="SimHei"/>
        </w:rPr>
      </w:pPr>
    </w:p>
    <w:p w14:paraId="50B922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eastAsia" w:ascii="SimHei" w:hAnsi="SimHei" w:eastAsia="SimHei" w:cs="SimHei"/>
        </w:rPr>
      </w:pPr>
    </w:p>
    <w:p w14:paraId="5AD53D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 接觸式熱電偶數據比對與環境影響分析</w:t>
      </w:r>
    </w:p>
    <w:p w14:paraId="51C16C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實測末端接觸式熱電偶量測數據彙整如下：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655"/>
        <w:gridCol w:w="1346"/>
        <w:gridCol w:w="1346"/>
        <w:gridCol w:w="1416"/>
        <w:gridCol w:w="1296"/>
      </w:tblGrid>
      <w:tr w14:paraId="442D6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02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測試批次 / 日期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96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實驗環境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7E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裸銅末端溫度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69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塗層末端溫度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61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末端溫差 (ΔT)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19A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Style w:val="9"/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散熱效益評估</w:t>
            </w:r>
          </w:p>
        </w:tc>
      </w:tr>
      <w:tr w14:paraId="61EE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30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前期 Group 1</w:t>
            </w: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 xml:space="preserve"> (2026/07/20)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62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開放環境 (開窗+風扇)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BA0E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>85.4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 (T1)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FC33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>81.8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 (T2)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2482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sz w:val="20"/>
                <w:szCs w:val="20"/>
              </w:rPr>
              <w:t>3.6</w:t>
            </w:r>
            <w:r>
              <w:rPr>
                <w:rFonts w:hint="eastAsia" w:ascii="SimSun" w:hAnsi="SimSun" w:eastAsia="SimSun" w:cs="SimSun"/>
                <w:b/>
                <w:bCs/>
                <w:sz w:val="20"/>
                <w:szCs w:val="20"/>
              </w:rPr>
              <w:t>℃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EE28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穩定降溫 </w:t>
            </w:r>
          </w:p>
        </w:tc>
      </w:tr>
      <w:tr w14:paraId="1CA5B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AF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前期 Group 2</w:t>
            </w: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 xml:space="preserve"> (2026/07/20)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67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開放環境 (開窗+風扇)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56EC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>81.4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 (T1)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2680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>77.4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 (T2)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55E1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sz w:val="20"/>
                <w:szCs w:val="20"/>
              </w:rPr>
              <w:t>4.</w:t>
            </w:r>
            <w:r>
              <w:rPr>
                <w:rFonts w:hint="eastAsia" w:ascii="SimSun" w:hAnsi="SimSun" w:eastAsia="SimSun" w:cs="SimSun"/>
                <w:b/>
                <w:bCs/>
                <w:sz w:val="20"/>
                <w:szCs w:val="20"/>
              </w:rPr>
              <w:t>0℃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DA3B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sz w:val="20"/>
                <w:szCs w:val="20"/>
              </w:rPr>
              <w:t xml:space="preserve">重複驗證穩定 </w:t>
            </w:r>
          </w:p>
        </w:tc>
      </w:tr>
      <w:tr w14:paraId="58A66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36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本次測試</w:t>
            </w: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 xml:space="preserve"> (2026/08/11)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6B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紙箱防擾流環境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07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90.8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 xml:space="preserve"> (T1)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B2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>86.4</w:t>
            </w:r>
            <w:r>
              <w:rPr>
                <w:rFonts w:hint="eastAsia" w:ascii="SimSun" w:hAnsi="SimSun" w:eastAsia="SimSun" w:cs="SimSun"/>
                <w:sz w:val="20"/>
                <w:szCs w:val="20"/>
              </w:rPr>
              <w:t>℃</w:t>
            </w:r>
            <w:r>
              <w:rPr>
                <w:rFonts w:hint="eastAsia" w:ascii="SimHei" w:hAnsi="SimHei" w:eastAsia="SimHei" w:cs="SimHei"/>
                <w:kern w:val="0"/>
                <w:sz w:val="20"/>
                <w:szCs w:val="20"/>
                <w:lang w:val="en-US" w:eastAsia="zh-CN" w:bidi="ar"/>
              </w:rPr>
              <w:t xml:space="preserve"> (T2)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B3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4.4</w:t>
            </w:r>
            <w:r>
              <w:rPr>
                <w:rFonts w:hint="eastAsia"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℃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58C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left"/>
              <w:textAlignment w:val="auto"/>
              <w:rPr>
                <w:rFonts w:hint="eastAsia" w:ascii="SimHei" w:hAnsi="SimHei" w:eastAsia="SimHei" w:cs="SimHei"/>
                <w:sz w:val="20"/>
                <w:szCs w:val="20"/>
              </w:rPr>
            </w:pPr>
            <w:r>
              <w:rPr>
                <w:rFonts w:hint="eastAsia" w:ascii="SimHei" w:hAnsi="SimHei" w:eastAsia="SimHei" w:cs="SimHei"/>
                <w:b/>
                <w:bCs/>
                <w:kern w:val="0"/>
                <w:sz w:val="20"/>
                <w:szCs w:val="20"/>
                <w:lang w:val="en-US" w:eastAsia="zh-CN" w:bidi="ar"/>
              </w:rPr>
              <w:t>散熱效益最大化</w:t>
            </w:r>
          </w:p>
        </w:tc>
      </w:tr>
    </w:tbl>
    <w:p w14:paraId="0A3775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  <w:i/>
          <w:iCs/>
        </w:rPr>
      </w:pPr>
      <w:r>
        <w:rPr>
          <w:rFonts w:hint="eastAsia" w:ascii="SimHei" w:hAnsi="SimHei" w:eastAsia="SimHei" w:cs="SimHei"/>
          <w:i/>
          <w:iCs/>
        </w:rPr>
        <w:t>註：本次測試之 T1 設定為噴塗奈米塗料鰭片末端（90.8</w:t>
      </w:r>
      <w:r>
        <w:rPr>
          <w:rFonts w:hint="eastAsia" w:ascii="SimSun" w:hAnsi="SimSun" w:eastAsia="SimSun" w:cs="SimSun"/>
          <w:i/>
          <w:iCs/>
        </w:rPr>
        <w:t>℃</w:t>
      </w:r>
      <w:r>
        <w:rPr>
          <w:rFonts w:hint="eastAsia" w:ascii="SimHei" w:hAnsi="SimHei" w:eastAsia="SimHei" w:cs="SimHei"/>
          <w:i/>
          <w:iCs/>
        </w:rPr>
        <w:t>），T2 為裸銅末端（86.4</w:t>
      </w:r>
      <w:r>
        <w:rPr>
          <w:rFonts w:hint="eastAsia" w:ascii="SimSun" w:hAnsi="SimSun" w:eastAsia="SimSun" w:cs="SimSun"/>
          <w:i/>
          <w:iCs/>
        </w:rPr>
        <w:t>℃</w:t>
      </w:r>
      <w:r>
        <w:rPr>
          <w:rFonts w:hint="eastAsia" w:ascii="SimHei" w:hAnsi="SimHei" w:eastAsia="SimHei" w:cs="SimHei"/>
          <w:i/>
          <w:iCs/>
        </w:rPr>
        <w:t>），相對溫差為 4.4</w:t>
      </w:r>
      <w:r>
        <w:rPr>
          <w:rFonts w:hint="eastAsia" w:ascii="SimSun" w:hAnsi="SimSun" w:eastAsia="SimSun" w:cs="SimSun"/>
          <w:i/>
          <w:iCs/>
        </w:rPr>
        <w:t>℃</w:t>
      </w:r>
      <w:r>
        <w:rPr>
          <w:rFonts w:hint="eastAsia" w:ascii="SimHei" w:hAnsi="SimHei" w:eastAsia="SimHei" w:cs="SimHei"/>
          <w:i/>
          <w:iCs/>
        </w:rPr>
        <w:t>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8"/>
        <w:gridCol w:w="4599"/>
      </w:tblGrid>
      <w:tr w14:paraId="484DE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</w:tcPr>
          <w:p w14:paraId="4DB34BE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center"/>
              <w:textAlignment w:val="auto"/>
              <w:rPr>
                <w:rFonts w:hint="eastAsia" w:ascii="SimHei" w:hAnsi="SimHei" w:eastAsia="新細明體" w:cs="SimHei"/>
                <w:i/>
                <w:iCs/>
                <w:vertAlign w:val="baseline"/>
                <w:lang w:eastAsia="zh-TW"/>
              </w:rPr>
            </w:pPr>
            <w:r>
              <w:rPr>
                <w:rFonts w:hint="eastAsia" w:ascii="SimHei" w:hAnsi="SimHei" w:eastAsia="新細明體" w:cs="SimHei"/>
                <w:i/>
                <w:iCs/>
                <w:vertAlign w:val="baseline"/>
                <w:lang w:eastAsia="zh-TW"/>
              </w:rPr>
              <w:drawing>
                <wp:inline distT="0" distB="0" distL="114300" distR="114300">
                  <wp:extent cx="2781300" cy="1967230"/>
                  <wp:effectExtent l="0" t="0" r="0" b="1270"/>
                  <wp:docPr id="5" name="圖片 5" descr="新配方_FLIR 開窗+風扇(紙箱)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 descr="新配方_FLIR 開窗+風扇(紙箱)_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9" w:type="dxa"/>
          </w:tcPr>
          <w:p w14:paraId="14C244A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jc w:val="center"/>
              <w:textAlignment w:val="auto"/>
              <w:rPr>
                <w:rFonts w:hint="eastAsia" w:ascii="SimHei" w:hAnsi="SimHei" w:eastAsia="新細明體" w:cs="SimHei"/>
                <w:i/>
                <w:iCs/>
                <w:vertAlign w:val="baseline"/>
                <w:lang w:eastAsia="zh-TW"/>
              </w:rPr>
            </w:pPr>
            <w:r>
              <w:rPr>
                <w:rFonts w:hint="eastAsia" w:ascii="SimHei" w:hAnsi="SimHei" w:eastAsia="新細明體" w:cs="SimHei"/>
                <w:i/>
                <w:iCs/>
                <w:vertAlign w:val="baseline"/>
                <w:lang w:eastAsia="zh-TW"/>
              </w:rPr>
              <w:drawing>
                <wp:inline distT="0" distB="0" distL="114300" distR="114300">
                  <wp:extent cx="1350010" cy="1800225"/>
                  <wp:effectExtent l="0" t="0" r="8890" b="3175"/>
                  <wp:docPr id="6" name="圖片 6" descr="新配方_FLIR 開窗+風扇(紙箱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 descr="新配方_FLIR 開窗+風扇(紙箱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E0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  <w:i/>
          <w:iCs/>
        </w:rPr>
      </w:pPr>
    </w:p>
    <w:p w14:paraId="581BC2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關鍵數據分析結論：</w:t>
      </w:r>
    </w:p>
    <w:p w14:paraId="527B3A6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防擾流環境效益提升</w:t>
      </w:r>
      <w:r>
        <w:rPr>
          <w:rFonts w:hint="eastAsia" w:ascii="SimHei" w:hAnsi="SimHei" w:eastAsia="SimHei" w:cs="SimHei"/>
        </w:rPr>
        <w:t>：在隔離外部環境氣流（紙箱內）後，消除了自然風擾流對表面對流換熱的干擾，使奈米塗料的「輻射散熱」優勢更加突出，末端溫差從開放環境的 3.6</w:t>
      </w:r>
      <w:r>
        <w:rPr>
          <w:rFonts w:hint="eastAsia" w:ascii="SimHei" w:hAnsi="SimHei" w:eastAsia="新細明體" w:cs="SimHei"/>
          <w:lang w:val="en-US" w:eastAsia="zh-TW"/>
        </w:rPr>
        <w:t>~</w:t>
      </w:r>
      <w:r>
        <w:rPr>
          <w:rFonts w:hint="eastAsia" w:ascii="SimHei" w:hAnsi="SimHei" w:eastAsia="SimHei" w:cs="SimHei"/>
        </w:rPr>
        <w:t>4.0</w:t>
      </w:r>
      <w:r>
        <w:rPr>
          <w:rFonts w:hint="eastAsia" w:ascii="SimSun" w:hAnsi="SimSun" w:eastAsia="SimSun" w:cs="SimSun"/>
        </w:rPr>
        <w:t>℃</w:t>
      </w:r>
      <w:r>
        <w:rPr>
          <w:rFonts w:hint="eastAsia" w:ascii="SimHei" w:hAnsi="SimHei" w:eastAsia="SimHei" w:cs="SimHei"/>
        </w:rPr>
        <w:t xml:space="preserve"> 提升至 </w:t>
      </w:r>
      <w:r>
        <w:rPr>
          <w:rFonts w:hint="eastAsia" w:ascii="SimHei" w:hAnsi="SimHei" w:eastAsia="SimHei" w:cs="SimHei"/>
          <w:b/>
          <w:bCs/>
        </w:rPr>
        <w:t>4.4</w:t>
      </w:r>
      <w:r>
        <w:rPr>
          <w:rFonts w:hint="eastAsia" w:ascii="SimSun" w:hAnsi="SimSun" w:eastAsia="SimSun" w:cs="SimSun"/>
          <w:b/>
          <w:bCs/>
        </w:rPr>
        <w:t>℃</w:t>
      </w:r>
      <w:r>
        <w:rPr>
          <w:rFonts w:hint="eastAsia" w:ascii="SimHei" w:hAnsi="SimHei" w:eastAsia="SimHei" w:cs="SimHei"/>
        </w:rPr>
        <w:t xml:space="preserve">。 </w:t>
      </w:r>
    </w:p>
    <w:p w14:paraId="5F882AB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曲線平滑度改進</w:t>
      </w:r>
      <w:r>
        <w:rPr>
          <w:rFonts w:hint="eastAsia" w:ascii="SimHei" w:hAnsi="SimHei" w:eastAsia="SimHei" w:cs="SimHei"/>
        </w:rPr>
        <w:t xml:space="preserve">：比較兩次升溫與恆溫曲線，紙箱內測試大幅減少了因風速波動導致的鋸齒狀微幅震盪，證明數據極具可信度與重複性。 </w:t>
      </w:r>
    </w:p>
    <w:p w14:paraId="0E7F72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 物理散熱機制解析</w:t>
      </w:r>
    </w:p>
    <w:p w14:paraId="45273D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 xml:space="preserve">熱能沿著 76.8mm 的銅片熱傳導過程中，末端溫度的差異主要由表面的熱發散機制決定： </w:t>
      </w:r>
    </w:p>
    <w:p w14:paraId="5B54388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裸銅鰭片之散熱瓶頸</w:t>
      </w:r>
      <w:r>
        <w:rPr>
          <w:rFonts w:hint="eastAsia" w:ascii="SimHei" w:hAnsi="SimHei" w:eastAsia="SimHei" w:cs="SimHei"/>
        </w:rPr>
        <w:t>： 銅雖具備極高導熱係數（約 385</w:t>
      </w:r>
      <w:r>
        <w:rPr>
          <w:rFonts w:hint="eastAsia" w:ascii="SimHei" w:hAnsi="SimHei" w:eastAsia="新細明體" w:cs="SimHei"/>
          <w:lang w:val="en-US" w:eastAsia="zh-TW"/>
        </w:rPr>
        <w:t xml:space="preserve"> </w:t>
      </w:r>
      <w:r>
        <w:rPr>
          <w:rFonts w:hint="eastAsia" w:ascii="SimHei" w:hAnsi="SimHei" w:eastAsia="SimHei" w:cs="SimHei"/>
        </w:rPr>
        <w:t xml:space="preserve">W/m•K），但裸銅表面極低發射率限制了輻射散熱能力。熱能傳導至末端時無法即時向外發散，導致末端滯留較多熱量，維持較高溫度。 </w:t>
      </w:r>
    </w:p>
    <w:p w14:paraId="1F25ABD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奈米散熱塗料之「輻射 + 對流」雙重解熱機制</w:t>
      </w:r>
      <w:r>
        <w:rPr>
          <w:rFonts w:hint="eastAsia" w:ascii="SimHei" w:hAnsi="SimHei" w:eastAsia="SimHei" w:cs="SimHei"/>
        </w:rPr>
        <w:t>：</w:t>
      </w:r>
    </w:p>
    <w:p w14:paraId="443B4A09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提高熱發射率</w:t>
      </w:r>
      <w:r>
        <w:rPr>
          <w:rFonts w:hint="eastAsia" w:ascii="SimHei" w:hAnsi="SimHei" w:eastAsia="SimHei" w:cs="SimHei"/>
        </w:rPr>
        <w:t>：塗層填補了銅表面的微觀缺陷，將輻射發射率大幅提升至接近黑體的水平。</w:t>
      </w:r>
    </w:p>
    <w:p w14:paraId="5CECCAA2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3" w:hanging="363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  <w:b/>
          <w:bCs/>
        </w:rPr>
        <w:t>面積放大與散熱衰減</w:t>
      </w:r>
      <w:r>
        <w:rPr>
          <w:rFonts w:hint="eastAsia" w:ascii="SimHei" w:hAnsi="SimHei" w:eastAsia="SimHei" w:cs="SimHei"/>
        </w:rPr>
        <w:t xml:space="preserve">：當熱量由前端傳導至末端時，沿途不斷透過「高效熱輻射 + 空氣對流」將熱能大量甩出。因此抵達末端測溫點時，累積熱能已大幅降低，展現出顯著的 </w:t>
      </w:r>
      <w:r>
        <w:rPr>
          <w:rFonts w:hint="eastAsia" w:ascii="SimHei" w:hAnsi="SimHei" w:eastAsia="SimHei" w:cs="SimHei"/>
          <w:b/>
          <w:bCs/>
        </w:rPr>
        <w:t>4.4</w:t>
      </w:r>
      <w:r>
        <w:rPr>
          <w:rFonts w:hint="eastAsia" w:ascii="SimSun" w:hAnsi="SimSun" w:eastAsia="SimSun" w:cs="SimSun"/>
          <w:b/>
          <w:bCs/>
        </w:rPr>
        <w:t>℃</w:t>
      </w:r>
      <w:r>
        <w:rPr>
          <w:rFonts w:hint="eastAsia" w:ascii="SimHei" w:hAnsi="SimHei" w:eastAsia="SimHei" w:cs="SimHei"/>
          <w:b/>
          <w:bCs/>
        </w:rPr>
        <w:t xml:space="preserve"> 降溫優勢</w:t>
      </w:r>
      <w:r>
        <w:rPr>
          <w:rFonts w:hint="eastAsia" w:ascii="SimHei" w:hAnsi="SimHei" w:eastAsia="SimHei" w:cs="SimHei"/>
        </w:rPr>
        <w:t xml:space="preserve">。 </w:t>
      </w:r>
    </w:p>
    <w:p w14:paraId="307F3EE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5. 綜合評估結論</w:t>
      </w:r>
    </w:p>
    <w:p w14:paraId="2BA613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本次驗證成功證明：</w:t>
      </w:r>
      <w:r>
        <w:rPr>
          <w:rFonts w:hint="eastAsia" w:ascii="SimHei" w:hAnsi="SimHei" w:eastAsia="SimHei" w:cs="SimHei"/>
          <w:b/>
          <w:bCs/>
        </w:rPr>
        <w:t>晶禹科技之奈米散熱塗料在封閉/局限空間（無強迫對流環境）下，更能展現出強大的熱輻射解熱能力。</w:t>
      </w:r>
    </w:p>
    <w:p w14:paraId="4C3328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 xml:space="preserve">即使在長度僅 76.8mm的微型鰭片結構上，塗層依然能打破金屬裸銅的輻射散熱瓶頸，提供 </w:t>
      </w:r>
      <w:r>
        <w:rPr>
          <w:rFonts w:hint="eastAsia" w:ascii="SimHei" w:hAnsi="SimHei" w:eastAsia="SimHei" w:cs="SimHei"/>
          <w:b/>
          <w:bCs/>
        </w:rPr>
        <w:t>4.4</w:t>
      </w:r>
      <w:r>
        <w:rPr>
          <w:rFonts w:hint="eastAsia" w:ascii="SimSun" w:hAnsi="SimSun" w:eastAsia="SimSun" w:cs="SimSun"/>
          <w:b/>
          <w:bCs/>
        </w:rPr>
        <w:t>℃</w:t>
      </w:r>
      <w:r>
        <w:rPr>
          <w:rFonts w:hint="eastAsia" w:ascii="SimHei" w:hAnsi="SimHei" w:eastAsia="SimHei" w:cs="SimHei"/>
          <w:b/>
          <w:bCs/>
        </w:rPr>
        <w:t>的實質降溫效益</w:t>
      </w:r>
      <w:r>
        <w:rPr>
          <w:rFonts w:hint="eastAsia" w:ascii="SimHei" w:hAnsi="SimHei" w:eastAsia="SimHei" w:cs="SimHei"/>
        </w:rPr>
        <w:t xml:space="preserve">。此特性非常適合應用於無風扇、高密度封閉模組、密閉機殼或空間受限的微型電子元件熱管理方案中。 </w:t>
      </w:r>
    </w:p>
    <w:p w14:paraId="59D428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textAlignment w:val="auto"/>
        <w:rPr>
          <w:rFonts w:hint="eastAsia" w:ascii="SimHei" w:hAnsi="SimHei" w:eastAsia="SimHei" w:cs="SimHei"/>
          <w:lang w:eastAsia="zh-TW"/>
        </w:rPr>
      </w:pPr>
    </w:p>
    <w:sectPr>
      <w:headerReference r:id="rId3" w:type="default"/>
      <w:pgSz w:w="11906" w:h="16838"/>
      <w:pgMar w:top="1361" w:right="1179" w:bottom="1361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9D87F">
    <w:pPr>
      <w:pStyle w:val="10"/>
      <w:rPr>
        <w:rFonts w:hint="eastAsia" w:eastAsiaTheme="minorEastAsia"/>
        <w:lang w:eastAsia="zh-TW"/>
      </w:rPr>
    </w:pPr>
    <w:r>
      <w:rPr>
        <w:rFonts w:hint="eastAsia" w:eastAsiaTheme="minorEastAsia"/>
        <w:lang w:eastAsia="zh-TW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-109220</wp:posOffset>
          </wp:positionH>
          <wp:positionV relativeFrom="paragraph">
            <wp:posOffset>-243205</wp:posOffset>
          </wp:positionV>
          <wp:extent cx="1718945" cy="556895"/>
          <wp:effectExtent l="0" t="0" r="8255" b="1905"/>
          <wp:wrapSquare wrapText="bothSides"/>
          <wp:docPr id="4" name="圖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945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D0326"/>
    <w:multiLevelType w:val="singleLevel"/>
    <w:tmpl w:val="B56D03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2E55C5C"/>
    <w:multiLevelType w:val="multilevel"/>
    <w:tmpl w:val="32E55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716617C"/>
    <w:multiLevelType w:val="multilevel"/>
    <w:tmpl w:val="371661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08A773D"/>
    <w:multiLevelType w:val="multilevel"/>
    <w:tmpl w:val="408A77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A161280"/>
    <w:multiLevelType w:val="multilevel"/>
    <w:tmpl w:val="7A161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9119E"/>
    <w:rsid w:val="0D6A735E"/>
    <w:rsid w:val="0FC1445E"/>
    <w:rsid w:val="132926F0"/>
    <w:rsid w:val="16213DD0"/>
    <w:rsid w:val="19287E60"/>
    <w:rsid w:val="246B6FCE"/>
    <w:rsid w:val="250E39D9"/>
    <w:rsid w:val="26372DC2"/>
    <w:rsid w:val="35663089"/>
    <w:rsid w:val="3AE016A7"/>
    <w:rsid w:val="3CAF061D"/>
    <w:rsid w:val="44A61C97"/>
    <w:rsid w:val="46A62886"/>
    <w:rsid w:val="474B419F"/>
    <w:rsid w:val="480A4E65"/>
    <w:rsid w:val="521605BB"/>
    <w:rsid w:val="57A5765E"/>
    <w:rsid w:val="5A7E7FCF"/>
    <w:rsid w:val="65B0249F"/>
    <w:rsid w:val="6D686DC2"/>
    <w:rsid w:val="706A1AFA"/>
    <w:rsid w:val="79EB7193"/>
    <w:rsid w:val="7DE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qFormat/>
    <w:uiPriority w:val="0"/>
    <w:rPr>
      <w:rFonts w:ascii="Courier New" w:hAnsi="Courier New"/>
      <w:sz w:val="20"/>
    </w:rPr>
  </w:style>
  <w:style w:type="character" w:styleId="9">
    <w:name w:val="Strong"/>
    <w:qFormat/>
    <w:uiPriority w:val="0"/>
    <w:rPr>
      <w:b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1427</Words>
  <Characters>1687</Characters>
  <Lines>0</Lines>
  <Paragraphs>0</Paragraphs>
  <TotalTime>30</TotalTime>
  <ScaleCrop>false</ScaleCrop>
  <LinksUpToDate>false</LinksUpToDate>
  <CharactersWithSpaces>1773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2026-07-10T04:57:00Z</dcterms:created>
  <dc:creator>USER</dc:creator>
  <cp:lastModifiedBy>Kendy Lin</cp:lastModifiedBy>
  <dcterms:modified xsi:type="dcterms:W3CDTF">2026-08-12T08:33:23Z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eyJoZGlkIjoiYjkyZmNhZmMwYTRkMzdjNDc0ZDBiODA4ZTNmNjg2YzYiLCJ1c2VySWQiOiI4ODEzODczMDMxNzA5In0=</vt:lpwstr>
  </property>
  <property fmtid="{D5CDD505-2E9C-101B-9397-08002B2CF9AE}" pid="4" name="ICV">
    <vt:lpwstr>D991BF4759E04F588BFE242377852BA8_13</vt:lpwstr>
  </property>
</Properties>
</file>