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cdb-v2-transactions-slice"/>
    <w:p>
      <w:pPr>
        <w:pStyle w:val="Heading1"/>
      </w:pPr>
      <w:r>
        <w:t xml:space="preserve">VCDB v2 — Transactions Slice</w:t>
      </w:r>
    </w:p>
    <w:bookmarkStart w:id="20" w:name="ledger-principles"/>
    <w:p>
      <w:pPr>
        <w:pStyle w:val="Heading2"/>
      </w:pPr>
      <w:r>
        <w:t xml:space="preserve">Ledger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Public/audit‑safe</w:t>
      </w:r>
      <w:r>
        <w:t xml:space="preserve">: event names, IDs, timestamps;</w:t>
      </w:r>
      <w:r>
        <w:t xml:space="preserve"> </w:t>
      </w:r>
      <w:r>
        <w:rPr>
          <w:b/>
          <w:bCs/>
        </w:rPr>
        <w:t xml:space="preserve">no PII</w:t>
      </w:r>
      <w:r>
        <w:t xml:space="preserve"> </w:t>
      </w:r>
      <w:r>
        <w:t xml:space="preserve">or field values.</w:t>
      </w:r>
    </w:p>
    <w:p>
      <w:pPr>
        <w:pStyle w:val="Compact"/>
        <w:numPr>
          <w:ilvl w:val="0"/>
          <w:numId w:val="1001"/>
        </w:numPr>
      </w:pPr>
      <w:r>
        <w:t xml:space="preserve">PII and full snapshots live in</w:t>
      </w:r>
      <w:r>
        <w:t xml:space="preserve"> </w:t>
      </w:r>
      <w:r>
        <w:rPr>
          <w:b/>
          <w:bCs/>
        </w:rPr>
        <w:t xml:space="preserve">slice Histories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notes vault</w:t>
      </w:r>
      <w:r>
        <w:t xml:space="preserve"> </w:t>
      </w:r>
      <w:r>
        <w:t xml:space="preserve">(RBAC‑gated).</w:t>
      </w:r>
    </w:p>
    <w:bookmarkEnd w:id="20"/>
    <w:bookmarkStart w:id="21" w:name="event-envelope-standard"/>
    <w:p>
      <w:pPr>
        <w:pStyle w:val="Heading2"/>
      </w:pPr>
      <w:r>
        <w:t xml:space="preserve">Event Envelope (standard)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(dot‑style),</w:t>
      </w:r>
      <w:r>
        <w:t xml:space="preserve"> </w:t>
      </w:r>
      <w:r>
        <w:rPr>
          <w:rStyle w:val="VerbatimChar"/>
        </w:rPr>
        <w:t xml:space="preserve">happened_at</w:t>
      </w:r>
      <w:r>
        <w:t xml:space="preserve"> </w:t>
      </w:r>
      <w:r>
        <w:t xml:space="preserve">(UTC),</w:t>
      </w:r>
      <w:r>
        <w:t xml:space="preserve"> </w:t>
      </w:r>
      <w:r>
        <w:rPr>
          <w:rStyle w:val="VerbatimChar"/>
        </w:rPr>
        <w:t xml:space="preserve">actor_id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target_id</w:t>
      </w:r>
      <w:r>
        <w:t xml:space="preserve"> </w:t>
      </w:r>
      <w:r>
        <w:t xml:space="preserve">(primary subject; when subject is a Customer,</w:t>
      </w:r>
      <w:r>
        <w:t xml:space="preserve"> </w:t>
      </w:r>
      <w:r>
        <w:rPr>
          <w:rStyle w:val="VerbatimChar"/>
        </w:rPr>
        <w:t xml:space="preserve">target_id == customer_id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customer_id?</w:t>
      </w:r>
      <w:r>
        <w:t xml:space="preserve"> </w:t>
      </w:r>
      <w:r>
        <w:t xml:space="preserve">(present when involved),</w:t>
      </w:r>
      <w:r>
        <w:t xml:space="preserve"> </w:t>
      </w:r>
      <w:r>
        <w:rPr>
          <w:rStyle w:val="VerbatimChar"/>
        </w:rPr>
        <w:t xml:space="preserve">slice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operation</w:t>
      </w:r>
      <w:r>
        <w:t xml:space="preserve"> </w:t>
      </w:r>
      <w:r>
        <w:t xml:space="preserve">(action/verb or transaction subtype)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changed_fields</w:t>
      </w:r>
      <w:r>
        <w:t xml:space="preserve"> </w:t>
      </w:r>
      <w:r>
        <w:t xml:space="preserve">(field</w:t>
      </w:r>
      <w: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only when applicable)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entity_ids</w:t>
      </w:r>
      <w:r>
        <w:t xml:space="preserve"> </w:t>
      </w:r>
      <w:r>
        <w:t xml:space="preserve">(other participants:</w:t>
      </w:r>
      <w:r>
        <w:t xml:space="preserve"> </w:t>
      </w:r>
      <w:r>
        <w:rPr>
          <w:rStyle w:val="VerbatimChar"/>
        </w:rPr>
        <w:t xml:space="preserve">resource_id | sponsor_id | inventory_sku | asset_id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refs.*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version_ptr</w:t>
      </w:r>
      <w:r>
        <w:t xml:space="preserve">,</w:t>
      </w:r>
      <w:r>
        <w:t xml:space="preserve"> </w:t>
      </w:r>
      <w:r>
        <w:rPr>
          <w:rStyle w:val="VerbatimChar"/>
        </w:rPr>
        <w:t xml:space="preserve">kit_template_key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calendar_event_id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request_id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correlation_id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reason</w:t>
      </w:r>
      <w:r>
        <w:t xml:space="preserve"> </w:t>
      </w:r>
      <w:r>
        <w:t xml:space="preserve">(short code)</w:t>
      </w:r>
    </w:p>
    <w:bookmarkEnd w:id="21"/>
    <w:bookmarkStart w:id="22" w:name="pinned-revisions-chronological"/>
    <w:p>
      <w:pPr>
        <w:pStyle w:val="Heading2"/>
      </w:pPr>
      <w:r>
        <w:t xml:space="preserve">Pinned Revisions (chronological)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TRANS-2025-09-10-R1 — Opaque IDs = ULID</w:t>
      </w:r>
      <w:r>
        <w:br/>
      </w:r>
      <w:r>
        <w:t xml:space="preserve">All entity IDs are</w:t>
      </w:r>
      <w:r>
        <w:t xml:space="preserve"> </w:t>
      </w:r>
      <w:r>
        <w:rPr>
          <w:b/>
          <w:bCs/>
        </w:rPr>
        <w:t xml:space="preserve">ULID (26‑char, Crockford Base32, uppercase)</w:t>
      </w:r>
      <w:r>
        <w:t xml:space="preserve"> </w:t>
      </w:r>
      <w:r>
        <w:t xml:space="preserve">for sort‑by‑time and collision resistance. Avoid exposing sequential ints.</w:t>
      </w:r>
      <w:r>
        <w:t xml:space="preserve"> </w:t>
      </w:r>
      <w:r>
        <w:rPr>
          <w:rStyle w:val="VerbatimChar"/>
          <w:b/>
          <w:bCs/>
        </w:rPr>
        <w:t xml:space="preserve">request_id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  <w:b/>
          <w:bCs/>
        </w:rPr>
        <w:t xml:space="preserve">correlation_id</w:t>
      </w:r>
      <w:r>
        <w:t xml:space="preserve"> </w:t>
      </w:r>
      <w:r>
        <w:t xml:space="preserve">also use ULID.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TRANS-2025-09-10-R2 — Idempotency &amp; Traceability</w:t>
      </w:r>
      <w:r>
        <w:br/>
      </w:r>
      <w:r>
        <w:t xml:space="preserve">Routes accept</w:t>
      </w:r>
      <w:r>
        <w:t xml:space="preserve"> </w:t>
      </w:r>
      <w:r>
        <w:rPr>
          <w:b/>
          <w:bCs/>
        </w:rPr>
        <w:t xml:space="preserve">client‑supplied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request_id</w:t>
      </w:r>
      <w:r>
        <w:t xml:space="preserve">; services must be</w:t>
      </w:r>
      <w:r>
        <w:t xml:space="preserve"> </w:t>
      </w:r>
      <w:r>
        <w:rPr>
          <w:b/>
          <w:bCs/>
        </w:rPr>
        <w:t xml:space="preserve">idempotent</w:t>
      </w:r>
      <w:r>
        <w:t xml:space="preserve">.</w:t>
      </w:r>
      <w:r>
        <w:t xml:space="preserve"> </w:t>
      </w:r>
      <w:r>
        <w:rPr>
          <w:rStyle w:val="VerbatimChar"/>
        </w:rPr>
        <w:t xml:space="preserve">log_event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insert‑once</w:t>
      </w:r>
      <w:r>
        <w:t xml:space="preserve"> </w:t>
      </w:r>
      <w:r>
        <w:t xml:space="preserve">(de‑dupe on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). Envelope:</w:t>
      </w:r>
      <w:r>
        <w:t xml:space="preserve"> </w:t>
      </w:r>
      <w:r>
        <w:rPr>
          <w:rStyle w:val="VerbatimChar"/>
        </w:rPr>
        <w:t xml:space="preserve">type, happened_at_utc, actor_id, target_id, customer_id?, slice, operation, changed_fields (names only), entity_ids, refs.*, request_id, correlation_id, reason</w:t>
      </w:r>
      <w:r>
        <w:t xml:space="preserve">.</w:t>
      </w:r>
      <w:r>
        <w:t xml:space="preserve"> </w:t>
      </w:r>
      <w:r>
        <w:rPr>
          <w:b/>
          <w:bCs/>
        </w:rPr>
        <w:t xml:space="preserve">No PII</w:t>
      </w:r>
      <w:r>
        <w:t xml:space="preserve"> </w:t>
      </w:r>
      <w:r>
        <w:t xml:space="preserve">in ledger.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TRANS-2025-09-10-R3 — Transactions Taxonomy (MVP)</w:t>
      </w:r>
      <w:r>
        <w:br/>
      </w:r>
      <w:r>
        <w:t xml:space="preserve">Baseline event families: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customer.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updated.personal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updated.contact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sponsor.</w:t>
      </w:r>
      <w:r>
        <w:t xml:space="preserve"> </w:t>
      </w:r>
      <w:r>
        <w:rPr>
          <w:rStyle w:val="VerbatimChar"/>
        </w:rPr>
        <w:t xml:space="preserve">contribution.logged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tier.assigned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tier.reassigned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allocation.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reimbursement.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receipts.handover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inventory.</w:t>
      </w:r>
      <w:r>
        <w:t xml:space="preserve"> </w:t>
      </w:r>
      <w:r>
        <w:rPr>
          <w:rStyle w:val="VerbatimChar"/>
        </w:rPr>
        <w:t xml:space="preserve">kit.assembled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kit.issued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quarantine.created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maintenance.</w:t>
      </w:r>
      <w:r>
        <w:t xml:space="preserve"> </w:t>
      </w:r>
      <w:r>
        <w:rPr>
          <w:rStyle w:val="VerbatimChar"/>
        </w:rPr>
        <w:t xml:space="preserve">freeze.start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freeze.end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recon.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variance.reported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calendar.</w:t>
      </w:r>
      <w:r>
        <w:t xml:space="preserve"> </w:t>
      </w:r>
      <w:r>
        <w:rPr>
          <w:rStyle w:val="VerbatimChar"/>
        </w:rPr>
        <w:t xml:space="preserve">event.created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conflict.override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governance.</w:t>
      </w:r>
      <w:r>
        <w:t xml:space="preserve"> </w:t>
      </w:r>
      <w:r>
        <w:rPr>
          <w:rStyle w:val="VerbatimChar"/>
        </w:rPr>
        <w:t xml:space="preserve">officer.updated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TRANS-2025-09-10-R4 — Reimbursement &amp; Receipts Events</w:t>
      </w:r>
      <w:r>
        <w:br/>
      </w:r>
      <w:r>
        <w:t xml:space="preserve">WHK/Grantee flow: caps</w:t>
      </w:r>
      <w:r>
        <w:t xml:space="preserve"> </w:t>
      </w:r>
      <w:r>
        <w:rPr>
          <w:b/>
          <w:bCs/>
        </w:rPr>
        <w:t xml:space="preserve">$400 total</w:t>
      </w:r>
      <w:r>
        <w:t xml:space="preserve">,</w:t>
      </w:r>
      <w:r>
        <w:t xml:space="preserve"> </w:t>
      </w:r>
      <w:r>
        <w:rPr>
          <w:b/>
          <w:bCs/>
        </w:rPr>
        <w:t xml:space="preserve">$50 food</w:t>
      </w:r>
      <w:r>
        <w:t xml:space="preserve">;</w:t>
      </w:r>
      <w:r>
        <w:t xml:space="preserve"> </w:t>
      </w:r>
      <w:r>
        <w:rPr>
          <w:b/>
          <w:bCs/>
        </w:rPr>
        <w:t xml:space="preserve">hard expiry 45 days</w:t>
      </w:r>
      <w:r>
        <w:t xml:space="preserve"> </w:t>
      </w:r>
      <w:r>
        <w:t xml:space="preserve">from commit. Ledger fields include</w:t>
      </w:r>
      <w:r>
        <w:t xml:space="preserve"> </w:t>
      </w:r>
      <w:r>
        <w:rPr>
          <w:rStyle w:val="VerbatimChar"/>
        </w:rPr>
        <w:t xml:space="preserve">authorized_amount_cents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amount_total_cents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amount_food_cents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expiry_at_utc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refs: sponsor_id, case_key, receipt_chain_ref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TRANS-2025-09-10-R5 — Public Ledger Export (MVP)</w:t>
      </w:r>
      <w:r>
        <w:br/>
      </w:r>
      <w:r>
        <w:t xml:space="preserve">Daily names‑only</w:t>
      </w:r>
      <w:r>
        <w:t xml:space="preserve"> </w:t>
      </w:r>
      <w:r>
        <w:rPr>
          <w:b/>
          <w:bCs/>
        </w:rPr>
        <w:t xml:space="preserve">CSV/Parquet</w:t>
      </w:r>
      <w:r>
        <w:t xml:space="preserve"> </w:t>
      </w:r>
      <w:r>
        <w:t xml:space="preserve">with manifest and watermark (</w:t>
      </w:r>
      <w:r>
        <w:rPr>
          <w:rStyle w:val="VerbatimChar"/>
        </w:rPr>
        <w:t xml:space="preserve">last_happened_at_utc</w:t>
      </w:r>
      <w:r>
        <w:t xml:space="preserve">). No PII. Published to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media; verifiable counts and checksums.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TRANS-2025-09-11-R6 — Archiver &amp; Backup Cadence</w:t>
      </w:r>
      <w:r>
        <w:br/>
      </w:r>
      <w:r>
        <w:rPr>
          <w:b/>
          <w:bCs/>
        </w:rPr>
        <w:t xml:space="preserve">02:15</w:t>
      </w:r>
      <w:r>
        <w:t xml:space="preserve"> </w:t>
      </w:r>
      <w:r>
        <w:t xml:space="preserve">daily ops backup;</w:t>
      </w:r>
      <w:r>
        <w:t xml:space="preserve"> </w:t>
      </w:r>
      <w:r>
        <w:rPr>
          <w:b/>
          <w:bCs/>
        </w:rPr>
        <w:t xml:space="preserve">Sun 02:45</w:t>
      </w:r>
      <w:r>
        <w:t xml:space="preserve"> </w:t>
      </w:r>
      <w:r>
        <w:t xml:space="preserve">weekly full;</w:t>
      </w:r>
      <w:r>
        <w:t xml:space="preserve"> </w:t>
      </w:r>
      <w:r>
        <w:rPr>
          <w:b/>
          <w:bCs/>
        </w:rPr>
        <w:t xml:space="preserve">1st 03:30</w:t>
      </w:r>
      <w:r>
        <w:t xml:space="preserve"> </w:t>
      </w:r>
      <w:r>
        <w:t xml:space="preserve">monthly public export;</w:t>
      </w:r>
      <w:r>
        <w:t xml:space="preserve"> </w:t>
      </w:r>
      <w:r>
        <w:rPr>
          <w:b/>
          <w:bCs/>
        </w:rPr>
        <w:t xml:space="preserve">quarterly</w:t>
      </w:r>
      <w:r>
        <w:t xml:space="preserve"> </w:t>
      </w:r>
      <w:r>
        <w:t xml:space="preserve">restore drill. Bundles close by</w:t>
      </w:r>
      <w:r>
        <w:t xml:space="preserve"> </w:t>
      </w:r>
      <w:r>
        <w:rPr>
          <w:rStyle w:val="VerbatimChar"/>
        </w:rPr>
        <w:t xml:space="preserve">case_key</w:t>
      </w:r>
      <w:r>
        <w:t xml:space="preserve">; external</w:t>
      </w:r>
      <w:r>
        <w:t xml:space="preserve"> </w:t>
      </w:r>
      <w:r>
        <w:rPr>
          <w:b/>
          <w:bCs/>
        </w:rPr>
        <w:t xml:space="preserve">LUKS</w:t>
      </w:r>
      <w:r>
        <w:t xml:space="preserve"> </w:t>
      </w:r>
      <w:r>
        <w:t xml:space="preserve">SSD A/B rotation.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TRANS-2025-09-12-R7 — Maintenance &amp; Inventory Reconciliation Events</w:t>
      </w:r>
      <w:r>
        <w:br/>
      </w:r>
      <w:r>
        <w:t xml:space="preserve">Inventory recon is a</w:t>
      </w:r>
      <w:r>
        <w:t xml:space="preserve"> </w:t>
      </w:r>
      <w:r>
        <w:rPr>
          <w:b/>
          <w:bCs/>
        </w:rPr>
        <w:t xml:space="preserve">maintenance freeze</w:t>
      </w:r>
      <w:r>
        <w:t xml:space="preserve"> </w:t>
      </w:r>
      <w:r>
        <w:t xml:space="preserve">window:</w:t>
      </w:r>
      <w:r>
        <w:t xml:space="preserve"> </w:t>
      </w:r>
      <w:r>
        <w:rPr>
          <w:rStyle w:val="VerbatimChar"/>
        </w:rPr>
        <w:t xml:space="preserve">maintenance.freeze.start/end</w:t>
      </w:r>
      <w:r>
        <w:t xml:space="preserve">; recon</w:t>
      </w:r>
      <w:r>
        <w:t xml:space="preserve"> </w:t>
      </w:r>
      <w:r>
        <w:rPr>
          <w:rStyle w:val="VerbatimChar"/>
        </w:rPr>
        <w:t xml:space="preserve">start/finish</w:t>
      </w:r>
      <w:r>
        <w:t xml:space="preserve">;</w:t>
      </w:r>
      <w:r>
        <w:t xml:space="preserve"> </w:t>
      </w:r>
      <w:r>
        <w:rPr>
          <w:rStyle w:val="VerbatimChar"/>
        </w:rPr>
        <w:t xml:space="preserve">variance.reported</w:t>
      </w:r>
      <w:r>
        <w:t xml:space="preserve">;</w:t>
      </w:r>
      <w:r>
        <w:t xml:space="preserve"> </w:t>
      </w:r>
      <w:r>
        <w:rPr>
          <w:rStyle w:val="VerbatimChar"/>
        </w:rPr>
        <w:t xml:space="preserve">quarantine.created</w:t>
      </w:r>
      <w:r>
        <w:t xml:space="preserve">. Scheduled</w:t>
      </w:r>
      <w:r>
        <w:t xml:space="preserve"> </w:t>
      </w:r>
      <w:r>
        <w:rPr>
          <w:b/>
          <w:bCs/>
        </w:rPr>
        <w:t xml:space="preserve">T‑90</w:t>
      </w:r>
      <w:r>
        <w:t xml:space="preserve"> </w:t>
      </w:r>
      <w:r>
        <w:t xml:space="preserve">before Stand Down; kiosk ops paused during count; admin override for emergencies only.</w:t>
      </w:r>
    </w:p>
    <w:bookmarkEnd w:id="22"/>
    <w:bookmarkStart w:id="23" w:name="open-decisions"/>
    <w:p>
      <w:pPr>
        <w:pStyle w:val="Heading2"/>
      </w:pPr>
      <w:r>
        <w:t xml:space="preserve">Open Decisions</w:t>
      </w:r>
    </w:p>
    <w:p>
      <w:pPr>
        <w:pStyle w:val="FirstParagraph"/>
      </w:pPr>
      <w:r>
        <w:t xml:space="preserve">—</w:t>
      </w:r>
      <w:r>
        <w:t xml:space="preserve"> </w:t>
      </w:r>
      <w:r>
        <w:t xml:space="preserve">—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2025-09-14T22:39:51Z</dcterms:created>
  <dcterms:modified xsi:type="dcterms:W3CDTF">2025-09-14T22:39:51Z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