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0AAFBA" w14:textId="77777777" w:rsidR="00DB6B8A" w:rsidRDefault="00451D47" w:rsidP="00DB6B8A">
      <w:pPr>
        <w:tabs>
          <w:tab w:val="center" w:pos="4513"/>
        </w:tabs>
        <w:suppressAutoHyphens/>
        <w:jc w:val="center"/>
        <w:rPr>
          <w:b/>
          <w:spacing w:val="-3"/>
        </w:rPr>
      </w:pPr>
      <w:r>
        <w:rPr>
          <w:b/>
          <w:spacing w:val="-3"/>
        </w:rPr>
        <w:t>CONFIDENCE INT</w:t>
      </w:r>
      <w:bookmarkStart w:id="0" w:name="_GoBack"/>
      <w:bookmarkEnd w:id="0"/>
      <w:r>
        <w:rPr>
          <w:b/>
          <w:spacing w:val="-3"/>
        </w:rPr>
        <w:t>ERVALS</w:t>
      </w:r>
    </w:p>
    <w:p w14:paraId="6E042AD7" w14:textId="77777777" w:rsidR="00DB6B8A" w:rsidRDefault="00DB6B8A" w:rsidP="00DB6B8A">
      <w:pPr>
        <w:tabs>
          <w:tab w:val="center" w:pos="4513"/>
        </w:tabs>
        <w:suppressAutoHyphens/>
        <w:jc w:val="center"/>
        <w:rPr>
          <w:b/>
          <w:spacing w:val="-3"/>
        </w:rPr>
      </w:pPr>
    </w:p>
    <w:p w14:paraId="30EC63C1" w14:textId="77777777" w:rsidR="00DB6B8A" w:rsidRDefault="00DB6B8A" w:rsidP="00DB6B8A">
      <w:pPr>
        <w:tabs>
          <w:tab w:val="center" w:pos="4513"/>
        </w:tabs>
        <w:suppressAutoHyphens/>
        <w:jc w:val="center"/>
        <w:rPr>
          <w:b/>
          <w:spacing w:val="-3"/>
        </w:rPr>
      </w:pPr>
      <w:r>
        <w:rPr>
          <w:b/>
          <w:spacing w:val="-3"/>
        </w:rPr>
        <w:t xml:space="preserve"> PEN &amp; PAPER SESSIONS</w:t>
      </w:r>
    </w:p>
    <w:p w14:paraId="77BBC172" w14:textId="77777777" w:rsidR="00DB6B8A" w:rsidRDefault="00DB6B8A" w:rsidP="00DB6B8A">
      <w:pPr>
        <w:tabs>
          <w:tab w:val="center" w:pos="4513"/>
        </w:tabs>
        <w:suppressAutoHyphens/>
        <w:spacing w:line="360" w:lineRule="auto"/>
        <w:rPr>
          <w:b/>
          <w:spacing w:val="-3"/>
        </w:rPr>
      </w:pPr>
    </w:p>
    <w:p w14:paraId="78F9268D" w14:textId="77777777" w:rsidR="00DB6B8A" w:rsidRDefault="00DB6B8A" w:rsidP="00DB6B8A">
      <w:pPr>
        <w:tabs>
          <w:tab w:val="center" w:pos="4513"/>
        </w:tabs>
        <w:suppressAutoHyphens/>
        <w:spacing w:line="360" w:lineRule="auto"/>
        <w:rPr>
          <w:b/>
          <w:spacing w:val="-3"/>
        </w:rPr>
      </w:pPr>
      <w:r>
        <w:rPr>
          <w:b/>
          <w:spacing w:val="-3"/>
        </w:rPr>
        <w:t>A1.  SAMPLING VARIABILITY OF MEANS</w:t>
      </w:r>
    </w:p>
    <w:p w14:paraId="0948DE0C" w14:textId="77777777" w:rsidR="00DB6B8A" w:rsidRDefault="00DB6B8A" w:rsidP="00DB6B8A">
      <w:pPr>
        <w:tabs>
          <w:tab w:val="left" w:pos="-720"/>
          <w:tab w:val="left" w:pos="0"/>
        </w:tabs>
        <w:suppressAutoHyphens/>
        <w:ind w:left="720" w:hanging="1440"/>
        <w:rPr>
          <w:spacing w:val="-3"/>
        </w:rPr>
      </w:pPr>
    </w:p>
    <w:p w14:paraId="4B7B1859" w14:textId="77777777" w:rsidR="00DB6B8A" w:rsidRDefault="00DB6B8A" w:rsidP="00DB6B8A">
      <w:pPr>
        <w:tabs>
          <w:tab w:val="left" w:pos="-720"/>
          <w:tab w:val="left" w:pos="0"/>
        </w:tabs>
        <w:suppressAutoHyphens/>
        <w:ind w:left="720" w:hanging="1440"/>
        <w:rPr>
          <w:spacing w:val="-3"/>
        </w:rPr>
      </w:pPr>
      <w:r>
        <w:rPr>
          <w:spacing w:val="-3"/>
        </w:rPr>
        <w:t>1.</w:t>
      </w:r>
      <w:r>
        <w:rPr>
          <w:spacing w:val="-3"/>
        </w:rPr>
        <w:tab/>
      </w:r>
      <w:proofErr w:type="gramStart"/>
      <w:r>
        <w:rPr>
          <w:spacing w:val="-3"/>
        </w:rPr>
        <w:t>a</w:t>
      </w:r>
      <w:proofErr w:type="gramEnd"/>
      <w:r>
        <w:rPr>
          <w:spacing w:val="-3"/>
        </w:rPr>
        <w:t>)</w:t>
      </w:r>
      <w:r>
        <w:rPr>
          <w:spacing w:val="-3"/>
        </w:rPr>
        <w:tab/>
        <w:t>n = 20,</w:t>
      </w:r>
      <w:r>
        <w:rPr>
          <w:spacing w:val="-3"/>
        </w:rPr>
        <w:tab/>
        <w:t xml:space="preserve">  </w:t>
      </w:r>
      <w:r w:rsidRPr="00306243">
        <w:rPr>
          <w:position w:val="-4"/>
        </w:rPr>
        <w:object w:dxaOrig="200" w:dyaOrig="300" w14:anchorId="0D5359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pt;height:15pt" o:ole="">
            <v:imagedata r:id="rId6" o:title=""/>
          </v:shape>
          <o:OLEObject Type="Embed" ProgID="Equation.2" ShapeID="_x0000_i1025" DrawAspect="Content" ObjectID="_1326866423" r:id="rId7"/>
        </w:object>
      </w:r>
      <w:r>
        <w:rPr>
          <w:spacing w:val="-3"/>
        </w:rPr>
        <w:t>= 84.25,</w:t>
      </w:r>
      <w:r>
        <w:rPr>
          <w:spacing w:val="-3"/>
        </w:rPr>
        <w:tab/>
        <w:t>s = 3.16</w:t>
      </w:r>
      <w:r>
        <w:rPr>
          <w:spacing w:val="-3"/>
        </w:rPr>
        <w:tab/>
      </w:r>
    </w:p>
    <w:p w14:paraId="4C61EBB1" w14:textId="77777777" w:rsidR="00DB6B8A" w:rsidRDefault="00DB6B8A" w:rsidP="00DB6B8A">
      <w:pPr>
        <w:tabs>
          <w:tab w:val="left" w:pos="-720"/>
        </w:tabs>
        <w:suppressAutoHyphens/>
        <w:rPr>
          <w:spacing w:val="-3"/>
        </w:rPr>
      </w:pPr>
    </w:p>
    <w:p w14:paraId="639BCB93" w14:textId="77777777" w:rsidR="00DB6B8A" w:rsidRDefault="00DB6B8A" w:rsidP="00DB6B8A">
      <w:pPr>
        <w:tabs>
          <w:tab w:val="left" w:pos="-720"/>
          <w:tab w:val="left" w:pos="0"/>
        </w:tabs>
        <w:suppressAutoHyphens/>
        <w:ind w:left="720" w:hanging="720"/>
        <w:rPr>
          <w:spacing w:val="-3"/>
        </w:rPr>
      </w:pPr>
      <w:r>
        <w:rPr>
          <w:spacing w:val="-3"/>
        </w:rPr>
        <w:t>b)</w:t>
      </w:r>
      <w:r>
        <w:rPr>
          <w:spacing w:val="-3"/>
        </w:rPr>
        <w:tab/>
        <w:t xml:space="preserve">Would expect roughly 95% in the range </w:t>
      </w:r>
      <w:r w:rsidR="009D5BDA" w:rsidRPr="00306243">
        <w:rPr>
          <w:position w:val="-4"/>
        </w:rPr>
        <w:object w:dxaOrig="200" w:dyaOrig="300" w14:anchorId="51AA9865">
          <v:shape id="_x0000_i1026" type="#_x0000_t75" style="width:10pt;height:15pt;flip:x" o:ole="">
            <v:imagedata r:id="rId8" o:title=""/>
          </v:shape>
          <o:OLEObject Type="Embed" ProgID="Equation.2" ShapeID="_x0000_i1026" DrawAspect="Content" ObjectID="_1326866424" r:id="rId9"/>
        </w:object>
      </w:r>
      <w:r>
        <w:t xml:space="preserve"> </w:t>
      </w:r>
      <w:r>
        <w:sym w:font="Symbol" w:char="F0B1"/>
      </w:r>
      <w:r>
        <w:rPr>
          <w:spacing w:val="-3"/>
        </w:rPr>
        <w:t xml:space="preserve"> 1.96 </w:t>
      </w:r>
      <w:r>
        <w:rPr>
          <w:rFonts w:ascii="Times" w:hAnsi="Times"/>
          <w:spacing w:val="-3"/>
        </w:rPr>
        <w:t xml:space="preserve">× </w:t>
      </w:r>
      <w:r>
        <w:rPr>
          <w:spacing w:val="-3"/>
        </w:rPr>
        <w:t xml:space="preserve">s, i.e. from 78.1 to 90.4. </w:t>
      </w:r>
    </w:p>
    <w:p w14:paraId="6ADDC448" w14:textId="77777777" w:rsidR="00DB6B8A" w:rsidRDefault="00DB6B8A" w:rsidP="00DB6B8A">
      <w:pPr>
        <w:tabs>
          <w:tab w:val="left" w:pos="-720"/>
        </w:tabs>
        <w:suppressAutoHyphens/>
        <w:rPr>
          <w:spacing w:val="-3"/>
        </w:rPr>
      </w:pPr>
    </w:p>
    <w:p w14:paraId="58BFDDFD" w14:textId="77777777" w:rsidR="00DB6B8A" w:rsidRDefault="00DB6B8A" w:rsidP="00DB6B8A">
      <w:pPr>
        <w:tabs>
          <w:tab w:val="left" w:pos="-720"/>
          <w:tab w:val="left" w:pos="0"/>
        </w:tabs>
        <w:suppressAutoHyphens/>
        <w:ind w:left="720" w:hanging="720"/>
        <w:rPr>
          <w:spacing w:val="-3"/>
        </w:rPr>
      </w:pPr>
      <w:r>
        <w:rPr>
          <w:spacing w:val="-3"/>
        </w:rPr>
        <w:t>c)</w:t>
      </w:r>
      <w:r>
        <w:rPr>
          <w:spacing w:val="-3"/>
        </w:rPr>
        <w:tab/>
        <w:t>All 20 observations are within this range.</w:t>
      </w:r>
    </w:p>
    <w:p w14:paraId="53B41909" w14:textId="77777777" w:rsidR="00DB6B8A" w:rsidRDefault="00DB6B8A" w:rsidP="00DB6B8A">
      <w:pPr>
        <w:tabs>
          <w:tab w:val="left" w:pos="-720"/>
        </w:tabs>
        <w:suppressAutoHyphens/>
        <w:rPr>
          <w:spacing w:val="-3"/>
        </w:rPr>
      </w:pPr>
    </w:p>
    <w:p w14:paraId="3F315E36" w14:textId="77777777" w:rsidR="00DB6B8A" w:rsidRDefault="00DB6B8A" w:rsidP="00DB6B8A">
      <w:pPr>
        <w:tabs>
          <w:tab w:val="left" w:pos="-720"/>
          <w:tab w:val="left" w:pos="0"/>
        </w:tabs>
        <w:suppressAutoHyphens/>
        <w:ind w:left="720" w:hanging="720"/>
        <w:rPr>
          <w:spacing w:val="-3"/>
        </w:rPr>
      </w:pPr>
      <w:r>
        <w:rPr>
          <w:spacing w:val="-3"/>
        </w:rPr>
        <w:t>d)</w:t>
      </w:r>
      <w:r>
        <w:rPr>
          <w:spacing w:val="-3"/>
        </w:rPr>
        <w:tab/>
        <w:t xml:space="preserve">SE of </w:t>
      </w:r>
      <w:r w:rsidRPr="00306243">
        <w:rPr>
          <w:position w:val="-4"/>
        </w:rPr>
        <w:object w:dxaOrig="200" w:dyaOrig="300" w14:anchorId="18A54E3C">
          <v:shape id="_x0000_i1027" type="#_x0000_t75" style="width:10pt;height:15pt" o:ole="">
            <v:imagedata r:id="rId10" o:title=""/>
          </v:shape>
          <o:OLEObject Type="Embed" ProgID="Equation.2" ShapeID="_x0000_i1027" DrawAspect="Content" ObjectID="_1326866425" r:id="rId11"/>
        </w:object>
      </w:r>
      <w:r>
        <w:rPr>
          <w:spacing w:val="-3"/>
        </w:rPr>
        <w:t>is estimated by s/</w:t>
      </w:r>
      <w:r>
        <w:rPr>
          <w:spacing w:val="-3"/>
        </w:rPr>
        <w:sym w:font="Symbol" w:char="F0D6"/>
      </w:r>
      <w:r>
        <w:rPr>
          <w:spacing w:val="-3"/>
        </w:rPr>
        <w:t>n = 3.16/</w:t>
      </w:r>
      <w:r>
        <w:rPr>
          <w:spacing w:val="-3"/>
        </w:rPr>
        <w:sym w:font="Symbol" w:char="F0D6"/>
      </w:r>
      <w:r>
        <w:rPr>
          <w:spacing w:val="-3"/>
        </w:rPr>
        <w:t xml:space="preserve">20 = 0.71.  </w:t>
      </w:r>
    </w:p>
    <w:p w14:paraId="63F825B1" w14:textId="77777777" w:rsidR="00DB6B8A" w:rsidRDefault="00DB6B8A" w:rsidP="00DB6B8A">
      <w:pPr>
        <w:tabs>
          <w:tab w:val="left" w:pos="-720"/>
        </w:tabs>
        <w:suppressAutoHyphens/>
        <w:rPr>
          <w:spacing w:val="-3"/>
        </w:rPr>
      </w:pPr>
    </w:p>
    <w:p w14:paraId="41CADC9B" w14:textId="77777777" w:rsidR="00DB6B8A" w:rsidRDefault="00DB6B8A" w:rsidP="00DB6B8A">
      <w:pPr>
        <w:tabs>
          <w:tab w:val="left" w:pos="-720"/>
          <w:tab w:val="left" w:pos="0"/>
        </w:tabs>
        <w:suppressAutoHyphens/>
        <w:ind w:left="720" w:hanging="720"/>
        <w:rPr>
          <w:spacing w:val="-3"/>
        </w:rPr>
      </w:pPr>
      <w:r>
        <w:rPr>
          <w:spacing w:val="-3"/>
        </w:rPr>
        <w:tab/>
      </w:r>
      <w:proofErr w:type="gramStart"/>
      <w:r>
        <w:rPr>
          <w:spacing w:val="-3"/>
        </w:rPr>
        <w:t xml:space="preserve">95% CI given by </w:t>
      </w:r>
      <w:r w:rsidRPr="00306243">
        <w:rPr>
          <w:position w:val="-4"/>
        </w:rPr>
        <w:object w:dxaOrig="200" w:dyaOrig="300" w14:anchorId="18B70AB9">
          <v:shape id="_x0000_i1028" type="#_x0000_t75" style="width:10pt;height:15pt" o:ole="">
            <v:imagedata r:id="rId12" o:title=""/>
          </v:shape>
          <o:OLEObject Type="Embed" ProgID="Equation.2" ShapeID="_x0000_i1028" DrawAspect="Content" ObjectID="_1326866426" r:id="rId13"/>
        </w:object>
      </w:r>
      <w:r>
        <w:sym w:font="Symbol" w:char="F0B1"/>
      </w:r>
      <w:r>
        <w:rPr>
          <w:spacing w:val="-3"/>
        </w:rPr>
        <w:t xml:space="preserve"> 2.093</w:t>
      </w:r>
      <w:r>
        <w:rPr>
          <w:rFonts w:ascii="Times" w:hAnsi="Times"/>
          <w:spacing w:val="-3"/>
        </w:rPr>
        <w:t>×</w:t>
      </w:r>
      <w:r>
        <w:rPr>
          <w:spacing w:val="-3"/>
        </w:rPr>
        <w:t>SE, i.e. from 82.8 to 85.7.</w:t>
      </w:r>
      <w:proofErr w:type="gramEnd"/>
      <w:r>
        <w:rPr>
          <w:spacing w:val="-3"/>
        </w:rPr>
        <w:t xml:space="preserve">  We use t rather than z to allow for the extra error introduced by using the sample standard deviation to estimate the population standard deviation. However, it makes very little difference for sample sizes greater than about 20. </w:t>
      </w:r>
    </w:p>
    <w:p w14:paraId="1E7DEFF7" w14:textId="77777777" w:rsidR="00DB6B8A" w:rsidRDefault="00DB6B8A" w:rsidP="00DB6B8A">
      <w:pPr>
        <w:tabs>
          <w:tab w:val="left" w:pos="-720"/>
          <w:tab w:val="left" w:pos="0"/>
        </w:tabs>
        <w:suppressAutoHyphens/>
        <w:ind w:left="720" w:hanging="720"/>
        <w:rPr>
          <w:spacing w:val="-3"/>
        </w:rPr>
      </w:pPr>
      <w:r>
        <w:rPr>
          <w:spacing w:val="-3"/>
        </w:rPr>
        <w:tab/>
      </w:r>
    </w:p>
    <w:p w14:paraId="606B9F69" w14:textId="77777777" w:rsidR="00DB6B8A" w:rsidRDefault="00DB6B8A" w:rsidP="00DB6B8A">
      <w:pPr>
        <w:tabs>
          <w:tab w:val="left" w:pos="-720"/>
          <w:tab w:val="left" w:pos="0"/>
        </w:tabs>
        <w:suppressAutoHyphens/>
        <w:ind w:left="720" w:hanging="720"/>
        <w:rPr>
          <w:spacing w:val="-3"/>
        </w:rPr>
      </w:pPr>
      <w:r>
        <w:rPr>
          <w:spacing w:val="-3"/>
        </w:rPr>
        <w:tab/>
        <w:t xml:space="preserve">There is a 95% chance that this interval will include the true mean height. </w:t>
      </w:r>
      <w:r>
        <w:rPr>
          <w:i/>
          <w:spacing w:val="-3"/>
        </w:rPr>
        <w:t xml:space="preserve">[To understand this interpretation imagine we are able to draw random samples of the same size from the population many </w:t>
      </w:r>
      <w:proofErr w:type="spellStart"/>
      <w:r>
        <w:rPr>
          <w:i/>
          <w:spacing w:val="-3"/>
        </w:rPr>
        <w:t>many</w:t>
      </w:r>
      <w:proofErr w:type="spellEnd"/>
      <w:r>
        <w:rPr>
          <w:i/>
          <w:spacing w:val="-3"/>
        </w:rPr>
        <w:t xml:space="preserve"> times, say 10,000.  For each sample we calculate a 95% confidence interval. There will then be </w:t>
      </w:r>
      <w:proofErr w:type="gramStart"/>
      <w:r>
        <w:rPr>
          <w:i/>
          <w:spacing w:val="-3"/>
        </w:rPr>
        <w:t>10,000  such</w:t>
      </w:r>
      <w:proofErr w:type="gramEnd"/>
      <w:r>
        <w:rPr>
          <w:i/>
          <w:spacing w:val="-3"/>
        </w:rPr>
        <w:t xml:space="preserve"> intervals. We would expect about 9,500 of these 95% confidence intervals to include the true mean height.] </w:t>
      </w:r>
    </w:p>
    <w:p w14:paraId="1BCF6054" w14:textId="77777777" w:rsidR="00DB6B8A" w:rsidRDefault="00DB6B8A" w:rsidP="00DB6B8A">
      <w:pPr>
        <w:tabs>
          <w:tab w:val="left" w:pos="-720"/>
        </w:tabs>
        <w:suppressAutoHyphens/>
        <w:rPr>
          <w:spacing w:val="-3"/>
        </w:rPr>
      </w:pPr>
    </w:p>
    <w:p w14:paraId="7DAF408B" w14:textId="77777777" w:rsidR="00DB6B8A" w:rsidRDefault="00DB6B8A" w:rsidP="00DB6B8A">
      <w:pPr>
        <w:numPr>
          <w:ilvl w:val="0"/>
          <w:numId w:val="3"/>
        </w:numPr>
        <w:tabs>
          <w:tab w:val="left" w:pos="-720"/>
        </w:tabs>
        <w:suppressAutoHyphens/>
        <w:spacing w:before="0" w:after="0"/>
        <w:rPr>
          <w:spacing w:val="-3"/>
        </w:rPr>
      </w:pPr>
      <w:r>
        <w:rPr>
          <w:spacing w:val="-3"/>
        </w:rPr>
        <w:t xml:space="preserve">The interval calculated in b) is the range of values between which you expect most of the heights of </w:t>
      </w:r>
      <w:r>
        <w:rPr>
          <w:spacing w:val="-3"/>
          <w:u w:val="single"/>
        </w:rPr>
        <w:t>individual boys</w:t>
      </w:r>
      <w:r>
        <w:rPr>
          <w:spacing w:val="-3"/>
        </w:rPr>
        <w:t xml:space="preserve"> to lie, whereas the interval calculated in d) is the confidence interval for the </w:t>
      </w:r>
      <w:r>
        <w:rPr>
          <w:spacing w:val="-3"/>
          <w:u w:val="single"/>
        </w:rPr>
        <w:t xml:space="preserve">mean </w:t>
      </w:r>
      <w:r>
        <w:rPr>
          <w:spacing w:val="-3"/>
        </w:rPr>
        <w:t>height.</w:t>
      </w:r>
    </w:p>
    <w:p w14:paraId="474C0005" w14:textId="77777777" w:rsidR="00DB6B8A" w:rsidRDefault="00DB6B8A" w:rsidP="00DB6B8A">
      <w:pPr>
        <w:tabs>
          <w:tab w:val="left" w:pos="-720"/>
        </w:tabs>
        <w:suppressAutoHyphens/>
        <w:rPr>
          <w:spacing w:val="-3"/>
        </w:rPr>
      </w:pPr>
    </w:p>
    <w:p w14:paraId="49A98C78" w14:textId="77777777" w:rsidR="00DB6B8A" w:rsidRDefault="00DB6B8A" w:rsidP="00DB6B8A">
      <w:pPr>
        <w:numPr>
          <w:ilvl w:val="0"/>
          <w:numId w:val="3"/>
        </w:numPr>
        <w:tabs>
          <w:tab w:val="left" w:pos="-720"/>
          <w:tab w:val="left" w:pos="0"/>
        </w:tabs>
        <w:suppressAutoHyphens/>
        <w:spacing w:before="0" w:after="0"/>
        <w:rPr>
          <w:spacing w:val="-3"/>
        </w:rPr>
      </w:pPr>
      <w:r>
        <w:rPr>
          <w:spacing w:val="-3"/>
        </w:rPr>
        <w:t>86.5 falls above the upper limit of our confidence interval so there is evidence that Jamaican boys with sickle cell disease do differ from the Tanner and Whitehouse standard.</w:t>
      </w:r>
    </w:p>
    <w:p w14:paraId="087EAA78" w14:textId="77777777" w:rsidR="00DB6B8A" w:rsidRDefault="00DB6B8A" w:rsidP="00DB6B8A">
      <w:pPr>
        <w:tabs>
          <w:tab w:val="left" w:pos="-720"/>
          <w:tab w:val="left" w:pos="0"/>
        </w:tabs>
        <w:suppressAutoHyphens/>
        <w:rPr>
          <w:spacing w:val="-3"/>
        </w:rPr>
      </w:pPr>
    </w:p>
    <w:p w14:paraId="7E5E6D05" w14:textId="77777777" w:rsidR="00DB6B8A" w:rsidRDefault="00DB6B8A" w:rsidP="00DB6B8A">
      <w:pPr>
        <w:tabs>
          <w:tab w:val="left" w:pos="-720"/>
          <w:tab w:val="left" w:pos="0"/>
        </w:tabs>
        <w:suppressAutoHyphens/>
        <w:ind w:left="720" w:hanging="720"/>
        <w:rPr>
          <w:spacing w:val="-3"/>
        </w:rPr>
      </w:pPr>
      <w:r>
        <w:rPr>
          <w:spacing w:val="-3"/>
        </w:rPr>
        <w:t>g)</w:t>
      </w:r>
      <w:r>
        <w:rPr>
          <w:spacing w:val="-3"/>
        </w:rPr>
        <w:tab/>
        <w:t>The SE would be smaller 3.16/</w:t>
      </w:r>
      <w:r>
        <w:rPr>
          <w:spacing w:val="-3"/>
        </w:rPr>
        <w:sym w:font="Symbol" w:char="F0D6"/>
      </w:r>
      <w:r>
        <w:rPr>
          <w:spacing w:val="-3"/>
        </w:rPr>
        <w:t xml:space="preserve"> 100, therefore the confidence interval would be smaller </w:t>
      </w:r>
    </w:p>
    <w:p w14:paraId="07895833" w14:textId="77777777" w:rsidR="00DB6B8A" w:rsidRDefault="00DB6B8A" w:rsidP="00DB6B8A">
      <w:pPr>
        <w:tabs>
          <w:tab w:val="left" w:pos="-720"/>
        </w:tabs>
        <w:suppressAutoHyphens/>
        <w:rPr>
          <w:spacing w:val="-3"/>
        </w:rPr>
      </w:pPr>
    </w:p>
    <w:p w14:paraId="3B0947E9" w14:textId="77777777" w:rsidR="00DB6B8A" w:rsidRDefault="00DB6B8A" w:rsidP="00DB6B8A">
      <w:pPr>
        <w:tabs>
          <w:tab w:val="left" w:pos="-720"/>
          <w:tab w:val="left" w:pos="0"/>
        </w:tabs>
        <w:suppressAutoHyphens/>
        <w:ind w:left="720" w:hanging="720"/>
        <w:rPr>
          <w:spacing w:val="-3"/>
        </w:rPr>
      </w:pPr>
      <w:r>
        <w:rPr>
          <w:spacing w:val="-3"/>
        </w:rPr>
        <w:t>h)</w:t>
      </w:r>
      <w:r>
        <w:rPr>
          <w:spacing w:val="-3"/>
        </w:rPr>
        <w:tab/>
        <w:t>T would be 2.861 instead of 2.093 and therefore the confidence interval would be wider.</w:t>
      </w:r>
    </w:p>
    <w:p w14:paraId="6E189600" w14:textId="77777777" w:rsidR="00DB6B8A" w:rsidRDefault="00DB6B8A" w:rsidP="00DB6B8A">
      <w:pPr>
        <w:pStyle w:val="Heading2"/>
        <w:numPr>
          <w:ilvl w:val="0"/>
          <w:numId w:val="0"/>
        </w:numPr>
      </w:pPr>
    </w:p>
    <w:p w14:paraId="403F6E78" w14:textId="77777777" w:rsidR="00DB6B8A" w:rsidRDefault="00DB6B8A" w:rsidP="00DB6B8A">
      <w:pPr>
        <w:pStyle w:val="Heading2"/>
        <w:numPr>
          <w:ilvl w:val="0"/>
          <w:numId w:val="0"/>
        </w:numPr>
      </w:pPr>
    </w:p>
    <w:p w14:paraId="5C7DBDCB" w14:textId="77777777" w:rsidR="00DB6B8A" w:rsidRDefault="00DB6B8A" w:rsidP="00DB6B8A">
      <w:pPr>
        <w:pStyle w:val="Heading2"/>
        <w:numPr>
          <w:ilvl w:val="0"/>
          <w:numId w:val="0"/>
        </w:numPr>
      </w:pPr>
      <w:r>
        <w:t>Summary points</w:t>
      </w:r>
    </w:p>
    <w:p w14:paraId="5EE70A88" w14:textId="77777777" w:rsidR="00DB6B8A" w:rsidRDefault="00DB6B8A" w:rsidP="00DB6B8A">
      <w:pPr>
        <w:numPr>
          <w:ilvl w:val="0"/>
          <w:numId w:val="2"/>
        </w:numPr>
      </w:pPr>
      <w:r>
        <w:t>The Standard Error of a mean measures the sampling variability of the mean. Use in calculating confidence interval for the true mean.</w:t>
      </w:r>
    </w:p>
    <w:p w14:paraId="608BF1EC" w14:textId="77777777" w:rsidR="00DB6B8A" w:rsidRDefault="00DB6B8A" w:rsidP="00DB6B8A">
      <w:pPr>
        <w:numPr>
          <w:ilvl w:val="0"/>
          <w:numId w:val="2"/>
        </w:numPr>
      </w:pPr>
      <w:r>
        <w:t>The Standard Deviation measures variability in individual data values for a variable. Use to describe data spread/range.</w:t>
      </w:r>
    </w:p>
    <w:p w14:paraId="73CCE7DD" w14:textId="77777777" w:rsidR="00DB6B8A" w:rsidRDefault="00DB6B8A" w:rsidP="00DB6B8A">
      <w:pPr>
        <w:numPr>
          <w:ilvl w:val="0"/>
          <w:numId w:val="2"/>
        </w:numPr>
      </w:pPr>
      <w:r>
        <w:t>For a particular result, the 95% CI will be wider than the 90% CI but narrower than the 99% CI. We can never attain 100% certainty, 100% CIs do not exist.</w:t>
      </w:r>
    </w:p>
    <w:p w14:paraId="16E7F02A" w14:textId="77777777" w:rsidR="00DB6B8A" w:rsidRDefault="00DB6B8A" w:rsidP="00DB6B8A">
      <w:pPr>
        <w:numPr>
          <w:ilvl w:val="0"/>
          <w:numId w:val="2"/>
        </w:numPr>
        <w:rPr>
          <w:rFonts w:ascii="Batang" w:eastAsia="Batang" w:hAnsi="Batang" w:cs="Batang"/>
        </w:rPr>
      </w:pPr>
      <w:r>
        <w:t>95% CI:  mean</w:t>
      </w:r>
      <w:r w:rsidRPr="00306243">
        <w:rPr>
          <w:position w:val="-28"/>
        </w:rPr>
        <w:object w:dxaOrig="1180" w:dyaOrig="660" w14:anchorId="41231427">
          <v:shape id="_x0000_i1029" type="#_x0000_t75" style="width:59pt;height:33pt" o:ole="">
            <v:imagedata r:id="rId14" o:title=""/>
          </v:shape>
          <o:OLEObject Type="Embed" ProgID="Equation.3" ShapeID="_x0000_i1029" DrawAspect="Content" ObjectID="_1326866427" r:id="rId15"/>
        </w:object>
      </w:r>
      <w:r>
        <w:t xml:space="preserve"> </w:t>
      </w:r>
    </w:p>
    <w:p w14:paraId="5AF53DDE" w14:textId="77777777" w:rsidR="008E65B6" w:rsidRDefault="008E65B6"/>
    <w:sectPr w:rsidR="008E65B6" w:rsidSect="00306243">
      <w:pgSz w:w="11909" w:h="16834" w:code="9"/>
      <w:pgMar w:top="1296" w:right="1296" w:bottom="1296" w:left="1296" w:header="720" w:footer="720" w:gutter="0"/>
      <w:cols w:space="720"/>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Batang">
    <w:altName w:val="바탕"/>
    <w:charset w:val="80"/>
    <w:family w:val="decorative"/>
    <w:pitch w:val="variable"/>
    <w:sig w:usb0="900002A7" w:usb1="39D77DFB" w:usb2="00000010" w:usb3="00000000" w:csb0="802A000D"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D7B89"/>
    <w:multiLevelType w:val="hybridMultilevel"/>
    <w:tmpl w:val="4FEEB7DE"/>
    <w:lvl w:ilvl="0" w:tplc="1F9CF192">
      <w:start w:val="1"/>
      <w:numFmt w:val="decimal"/>
      <w:pStyle w:val="Heading2"/>
      <w:lvlText w:val="%1."/>
      <w:lvlJc w:val="left"/>
      <w:pPr>
        <w:tabs>
          <w:tab w:val="num" w:pos="720"/>
        </w:tabs>
        <w:ind w:left="72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nsid w:val="1DA569B5"/>
    <w:multiLevelType w:val="hybridMultilevel"/>
    <w:tmpl w:val="1F4C0ACA"/>
    <w:lvl w:ilvl="0" w:tplc="0BCA9928">
      <w:start w:val="1"/>
      <w:numFmt w:val="bullet"/>
      <w:lvlText w:val=""/>
      <w:lvlJc w:val="left"/>
      <w:pPr>
        <w:tabs>
          <w:tab w:val="num" w:pos="432"/>
        </w:tabs>
        <w:ind w:left="432" w:hanging="432"/>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nsid w:val="414F26A3"/>
    <w:multiLevelType w:val="singleLevel"/>
    <w:tmpl w:val="F892A744"/>
    <w:lvl w:ilvl="0">
      <w:start w:val="5"/>
      <w:numFmt w:val="lowerLetter"/>
      <w:lvlText w:val="%1)"/>
      <w:lvlJc w:val="left"/>
      <w:pPr>
        <w:tabs>
          <w:tab w:val="num" w:pos="720"/>
        </w:tabs>
        <w:ind w:left="720" w:hanging="72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B8A"/>
    <w:rsid w:val="00451D47"/>
    <w:rsid w:val="008E65B6"/>
    <w:rsid w:val="009D5BDA"/>
    <w:rsid w:val="00DB6B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3"/>
    <o:shapelayout v:ext="edit">
      <o:idmap v:ext="edit" data="1"/>
    </o:shapelayout>
  </w:shapeDefaults>
  <w:decimalSymbol w:val="."/>
  <w:listSeparator w:val=","/>
  <w14:docId w14:val="2DD77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6B8A"/>
    <w:pPr>
      <w:spacing w:before="80" w:after="40" w:line="240" w:lineRule="auto"/>
      <w:jc w:val="both"/>
    </w:pPr>
    <w:rPr>
      <w:rFonts w:ascii="Times New Roman" w:eastAsia="Times New Roman" w:hAnsi="Times New Roman" w:cs="Times New Roman"/>
      <w:sz w:val="24"/>
      <w:szCs w:val="24"/>
      <w:lang w:val="en-GB" w:eastAsia="zh-CN"/>
    </w:rPr>
  </w:style>
  <w:style w:type="paragraph" w:styleId="Heading2">
    <w:name w:val="heading 2"/>
    <w:basedOn w:val="Normal"/>
    <w:next w:val="Normal"/>
    <w:link w:val="Heading2Char"/>
    <w:qFormat/>
    <w:rsid w:val="00DB6B8A"/>
    <w:pPr>
      <w:keepNext/>
      <w:numPr>
        <w:numId w:val="1"/>
      </w:numPr>
      <w:spacing w:before="240" w:after="120"/>
      <w:jc w:val="left"/>
      <w:outlineLvl w:val="1"/>
    </w:pPr>
    <w:rPr>
      <w:rFonts w:ascii="Verdana" w:hAnsi="Verdana" w:cs="Arial"/>
      <w:b/>
      <w:bCs/>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B6B8A"/>
    <w:rPr>
      <w:rFonts w:ascii="Verdana" w:eastAsia="Times New Roman" w:hAnsi="Verdana" w:cs="Arial"/>
      <w:b/>
      <w:bCs/>
      <w:iCs/>
      <w:sz w:val="24"/>
      <w:szCs w:val="28"/>
      <w:lang w:val="en-GB"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6B8A"/>
    <w:pPr>
      <w:spacing w:before="80" w:after="40" w:line="240" w:lineRule="auto"/>
      <w:jc w:val="both"/>
    </w:pPr>
    <w:rPr>
      <w:rFonts w:ascii="Times New Roman" w:eastAsia="Times New Roman" w:hAnsi="Times New Roman" w:cs="Times New Roman"/>
      <w:sz w:val="24"/>
      <w:szCs w:val="24"/>
      <w:lang w:val="en-GB" w:eastAsia="zh-CN"/>
    </w:rPr>
  </w:style>
  <w:style w:type="paragraph" w:styleId="Heading2">
    <w:name w:val="heading 2"/>
    <w:basedOn w:val="Normal"/>
    <w:next w:val="Normal"/>
    <w:link w:val="Heading2Char"/>
    <w:qFormat/>
    <w:rsid w:val="00DB6B8A"/>
    <w:pPr>
      <w:keepNext/>
      <w:numPr>
        <w:numId w:val="1"/>
      </w:numPr>
      <w:spacing w:before="240" w:after="120"/>
      <w:jc w:val="left"/>
      <w:outlineLvl w:val="1"/>
    </w:pPr>
    <w:rPr>
      <w:rFonts w:ascii="Verdana" w:hAnsi="Verdana" w:cs="Arial"/>
      <w:b/>
      <w:bCs/>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B6B8A"/>
    <w:rPr>
      <w:rFonts w:ascii="Verdana" w:eastAsia="Times New Roman" w:hAnsi="Verdana" w:cs="Arial"/>
      <w:b/>
      <w:bCs/>
      <w:iCs/>
      <w:sz w:val="24"/>
      <w:szCs w:val="28"/>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oleObject" Target="embeddings/oleObject3.bin"/><Relationship Id="rId12" Type="http://schemas.openxmlformats.org/officeDocument/2006/relationships/image" Target="media/image4.wmf"/><Relationship Id="rId13" Type="http://schemas.openxmlformats.org/officeDocument/2006/relationships/oleObject" Target="embeddings/oleObject4.bin"/><Relationship Id="rId14" Type="http://schemas.openxmlformats.org/officeDocument/2006/relationships/image" Target="media/image5.wmf"/><Relationship Id="rId15" Type="http://schemas.openxmlformats.org/officeDocument/2006/relationships/oleObject" Target="embeddings/Microsoft_Equation1.bin"/><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wmf"/><Relationship Id="rId7" Type="http://schemas.openxmlformats.org/officeDocument/2006/relationships/oleObject" Target="embeddings/oleObject1.bin"/><Relationship Id="rId8" Type="http://schemas.openxmlformats.org/officeDocument/2006/relationships/image" Target="media/image2.wmf"/><Relationship Id="rId9" Type="http://schemas.openxmlformats.org/officeDocument/2006/relationships/oleObject" Target="embeddings/oleObject2.bin"/><Relationship Id="rId10"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317</Words>
  <Characters>1810</Characters>
  <Application>Microsoft Macintosh Word</Application>
  <DocSecurity>0</DocSecurity>
  <Lines>15</Lines>
  <Paragraphs>4</Paragraphs>
  <ScaleCrop>false</ScaleCrop>
  <Company>KEMRI</Company>
  <LinksUpToDate>false</LinksUpToDate>
  <CharactersWithSpaces>2123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Laz</dc:creator>
  <cp:keywords/>
  <dc:description/>
  <cp:lastModifiedBy>Michael Ooko</cp:lastModifiedBy>
  <cp:revision>3</cp:revision>
  <dcterms:created xsi:type="dcterms:W3CDTF">2014-02-03T06:33:00Z</dcterms:created>
  <dcterms:modified xsi:type="dcterms:W3CDTF">2014-02-04T06:14:00Z</dcterms:modified>
</cp:coreProperties>
</file>