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Title"/>
        <w:rPr>
          <w:sz w:val="28"/>
          <w:szCs w:val="28"/>
        </w:rPr>
      </w:pPr>
      <w:r>
        <w:rPr>
          <w:sz w:val="28"/>
          <w:szCs w:val="28"/>
        </w:rPr>
        <w:fldChar w:fldCharType="begin"/>
      </w:r>
      <w:r>
        <w:instrText> TITLE </w:instrText>
      </w:r>
      <w:r>
        <w:fldChar w:fldCharType="separate"/>
      </w:r>
      <w:r>
        <w:t>Bias in Longitudinal Cohort Studies</w:t>
      </w:r>
      <w:r>
        <w:fldChar w:fldCharType="end"/>
      </w:r>
    </w:p>
    <w:p>
      <w:pPr>
        <w:pStyle w:val="OrgTitle"/>
        <w:rPr/>
      </w:pPr>
      <w:r>
        <w:rPr/>
      </w:r>
    </w:p>
    <w:p>
      <w:pPr>
        <w:pStyle w:val="OrgSubtitle"/>
        <w:rPr>
          <w:sz w:val="24"/>
          <w:szCs w:val="24"/>
        </w:rPr>
      </w:pPr>
      <w:r>
        <w:rPr>
          <w:sz w:val="24"/>
          <w:szCs w:val="24"/>
        </w:rPr>
        <w:t>Denis Haine, Ian Dohoo, Simon Dufour</w:t>
      </w:r>
    </w:p>
    <w:p>
      <w:pPr>
        <w:pStyle w:val="OrgSubtitle"/>
        <w:rPr>
          <w:sz w:val="24"/>
          <w:szCs w:val="24"/>
        </w:rPr>
      </w:pPr>
      <w:r>
        <w:rPr>
          <w:sz w:val="24"/>
          <w:szCs w:val="24"/>
        </w:rPr>
      </w:r>
    </w:p>
    <w:p>
      <w:pPr>
        <w:pStyle w:val="Titre1"/>
        <w:numPr>
          <w:ilvl w:val="0"/>
          <w:numId w:val="2"/>
        </w:numPr>
        <w:rPr>
          <w:sz w:val="24"/>
          <w:szCs w:val="24"/>
        </w:rPr>
      </w:pPr>
      <w:bookmarkStart w:id="0" w:name="OrgXref.org022bde8"/>
      <w:bookmarkStart w:id="1" w:name="org022bde8"/>
      <w:bookmarkEnd w:id="0"/>
      <w:bookmarkEnd w:id="1"/>
      <w:r>
        <w:rPr>
          <w:sz w:val="24"/>
          <w:szCs w:val="24"/>
        </w:rPr>
        <w:t xml:space="preserve">Motivation </w:t>
      </w:r>
    </w:p>
    <w:p>
      <w:pPr>
        <w:pStyle w:val="Corpsdetexte"/>
        <w:rPr/>
      </w:pPr>
      <w:r>
        <w:rPr>
          <w:sz w:val="24"/>
          <w:szCs w:val="24"/>
        </w:rPr>
        <w:t xml:space="preserve">Write a paper for </w:t>
      </w:r>
      <w:r>
        <w:rPr>
          <w:rStyle w:val="Accentuation"/>
          <w:sz w:val="24"/>
          <w:szCs w:val="24"/>
        </w:rPr>
        <w:t>Frontiers in Veterinary Sciences</w:t>
      </w:r>
      <w:r>
        <w:rPr>
          <w:sz w:val="24"/>
          <w:szCs w:val="24"/>
        </w:rPr>
        <w:t xml:space="preserve"> Special Issue: Quantifying and Addressing Bias Associated with Imperfect Observation Processes in Epidemiological Studies. </w:t>
      </w:r>
    </w:p>
    <w:p>
      <w:pPr>
        <w:pStyle w:val="Titre1"/>
        <w:numPr>
          <w:ilvl w:val="0"/>
          <w:numId w:val="2"/>
        </w:numPr>
        <w:rPr>
          <w:sz w:val="24"/>
          <w:szCs w:val="24"/>
        </w:rPr>
      </w:pPr>
      <w:bookmarkStart w:id="2" w:name="OrgXref.org76bb64e"/>
      <w:bookmarkStart w:id="3" w:name="org76bb64e"/>
      <w:bookmarkEnd w:id="2"/>
      <w:bookmarkEnd w:id="3"/>
      <w:r>
        <w:rPr>
          <w:sz w:val="24"/>
          <w:szCs w:val="24"/>
        </w:rPr>
        <w:t xml:space="preserve">Proposal </w:t>
      </w:r>
    </w:p>
    <w:p>
      <w:pPr>
        <w:pStyle w:val="Corpsdetexte"/>
        <w:numPr>
          <w:ilvl w:val="0"/>
          <w:numId w:val="3"/>
        </w:numPr>
        <w:tabs>
          <w:tab w:val="left" w:pos="0" w:leader="none"/>
        </w:tabs>
        <w:ind w:left="720" w:hanging="360"/>
        <w:rPr/>
      </w:pPr>
      <w:r>
        <w:rPr>
          <w:sz w:val="24"/>
          <w:szCs w:val="24"/>
        </w:rPr>
        <w:t xml:space="preserve">Stable population over the follow-up of time </w:t>
      </w:r>
      <w:r>
        <w:rPr>
          <w:rStyle w:val="Accentuation"/>
          <w:sz w:val="24"/>
          <w:szCs w:val="24"/>
        </w:rPr>
        <w:t>t</w:t>
      </w:r>
      <w:r>
        <w:rPr>
          <w:sz w:val="24"/>
          <w:szCs w:val="24"/>
        </w:rPr>
        <w:t xml:space="preserve">, no elimination of disease; </w:t>
      </w:r>
    </w:p>
    <w:p>
      <w:pPr>
        <w:pStyle w:val="Corpsdetexte"/>
        <w:numPr>
          <w:ilvl w:val="0"/>
          <w:numId w:val="3"/>
        </w:numPr>
        <w:tabs>
          <w:tab w:val="left" w:pos="0" w:leader="none"/>
        </w:tabs>
        <w:ind w:left="720" w:hanging="360"/>
        <w:rPr>
          <w:sz w:val="24"/>
          <w:szCs w:val="24"/>
        </w:rPr>
      </w:pPr>
      <w:r>
        <w:rPr>
          <w:sz w:val="24"/>
          <w:szCs w:val="24"/>
        </w:rPr>
        <w:t xml:space="preserve">No clustering (single-level model); </w:t>
      </w:r>
    </w:p>
    <w:p>
      <w:pPr>
        <w:pStyle w:val="Corpsdetexte"/>
        <w:numPr>
          <w:ilvl w:val="0"/>
          <w:numId w:val="3"/>
        </w:numPr>
        <w:tabs>
          <w:tab w:val="left" w:pos="0" w:leader="none"/>
        </w:tabs>
        <w:ind w:left="720" w:hanging="360"/>
        <w:rPr>
          <w:sz w:val="24"/>
          <w:szCs w:val="24"/>
        </w:rPr>
      </w:pPr>
      <w:r>
        <w:rPr>
          <w:sz w:val="24"/>
          <w:szCs w:val="24"/>
        </w:rPr>
        <w:t xml:space="preserve">Compute disease incidence; </w:t>
      </w:r>
    </w:p>
    <w:p>
      <w:pPr>
        <w:pStyle w:val="Corpsdetexte"/>
        <w:numPr>
          <w:ilvl w:val="0"/>
          <w:numId w:val="3"/>
        </w:numPr>
        <w:tabs>
          <w:tab w:val="left" w:pos="0" w:leader="none"/>
        </w:tabs>
        <w:ind w:left="720" w:hanging="360"/>
        <w:rPr>
          <w:sz w:val="24"/>
          <w:szCs w:val="24"/>
        </w:rPr>
      </w:pPr>
      <w:r>
        <w:rPr>
          <w:sz w:val="24"/>
          <w:szCs w:val="24"/>
        </w:rPr>
        <w:t xml:space="preserve">For the following test characteristics: </w:t>
      </w:r>
    </w:p>
    <w:p>
      <w:pPr>
        <w:pStyle w:val="Corpsdetexte"/>
        <w:numPr>
          <w:ilvl w:val="1"/>
          <w:numId w:val="3"/>
        </w:numPr>
        <w:tabs>
          <w:tab w:val="left" w:pos="0" w:leader="none"/>
        </w:tabs>
        <w:ind w:left="1080" w:hanging="360"/>
        <w:rPr>
          <w:sz w:val="24"/>
          <w:szCs w:val="24"/>
        </w:rPr>
      </w:pPr>
      <w:r>
        <w:rPr>
          <w:sz w:val="24"/>
          <w:szCs w:val="24"/>
        </w:rPr>
        <w:t xml:space="preserve">Se from 0.6 to 1.0, increasing by 0.05, </w:t>
      </w:r>
    </w:p>
    <w:p>
      <w:pPr>
        <w:pStyle w:val="Corpsdetexte"/>
        <w:numPr>
          <w:ilvl w:val="1"/>
          <w:numId w:val="3"/>
        </w:numPr>
        <w:tabs>
          <w:tab w:val="left" w:pos="0" w:leader="none"/>
        </w:tabs>
        <w:ind w:left="1080" w:hanging="360"/>
        <w:rPr>
          <w:sz w:val="24"/>
          <w:szCs w:val="24"/>
        </w:rPr>
      </w:pPr>
      <w:r>
        <w:rPr>
          <w:sz w:val="24"/>
          <w:szCs w:val="24"/>
        </w:rPr>
        <w:t xml:space="preserve">Sp from 0.6 to 1.0, increasing by 0.05; </w:t>
      </w:r>
    </w:p>
    <w:p>
      <w:pPr>
        <w:pStyle w:val="Corpsdetexte"/>
        <w:numPr>
          <w:ilvl w:val="0"/>
          <w:numId w:val="3"/>
        </w:numPr>
        <w:tabs>
          <w:tab w:val="left" w:pos="0" w:leader="none"/>
        </w:tabs>
        <w:ind w:left="720" w:hanging="360"/>
        <w:rPr>
          <w:sz w:val="24"/>
          <w:szCs w:val="24"/>
        </w:rPr>
      </w:pPr>
      <w:r>
        <w:rPr>
          <w:sz w:val="24"/>
          <w:szCs w:val="24"/>
        </w:rPr>
        <w:t xml:space="preserve">For the following disease characteristics: </w:t>
      </w:r>
    </w:p>
    <w:p>
      <w:pPr>
        <w:pStyle w:val="Corpsdetexte"/>
        <w:numPr>
          <w:ilvl w:val="1"/>
          <w:numId w:val="3"/>
        </w:numPr>
        <w:tabs>
          <w:tab w:val="left" w:pos="0" w:leader="none"/>
        </w:tabs>
        <w:ind w:left="1080" w:hanging="360"/>
        <w:rPr>
          <w:sz w:val="24"/>
          <w:szCs w:val="24"/>
        </w:rPr>
      </w:pPr>
      <w:r>
        <w:rPr>
          <w:sz w:val="24"/>
          <w:szCs w:val="24"/>
        </w:rPr>
        <w:t xml:space="preserve">prevalence of 5, 15, 25, and 50%, </w:t>
      </w:r>
    </w:p>
    <w:p>
      <w:pPr>
        <w:pStyle w:val="Corpsdetexte"/>
        <w:numPr>
          <w:ilvl w:val="1"/>
          <w:numId w:val="3"/>
        </w:numPr>
        <w:tabs>
          <w:tab w:val="left" w:pos="0" w:leader="none"/>
        </w:tabs>
        <w:ind w:left="1080" w:hanging="360"/>
        <w:rPr/>
      </w:pPr>
      <w:r>
        <w:rPr>
          <w:sz w:val="24"/>
          <w:szCs w:val="24"/>
        </w:rPr>
        <w:t xml:space="preserve">incidence of 0.01, 0.05 and 0.1/animal-time </w:t>
      </w:r>
      <w:r>
        <w:rPr>
          <w:rStyle w:val="Accentuation"/>
          <w:sz w:val="24"/>
          <w:szCs w:val="24"/>
        </w:rPr>
        <w:t>t</w:t>
      </w:r>
      <w:r>
        <w:rPr>
          <w:sz w:val="24"/>
          <w:szCs w:val="24"/>
        </w:rPr>
        <w:t xml:space="preserve">, </w:t>
      </w:r>
    </w:p>
    <w:p>
      <w:pPr>
        <w:pStyle w:val="Corpsdetexte"/>
        <w:numPr>
          <w:ilvl w:val="1"/>
          <w:numId w:val="3"/>
        </w:numPr>
        <w:tabs>
          <w:tab w:val="left" w:pos="0" w:leader="none"/>
        </w:tabs>
        <w:ind w:left="1080" w:hanging="360"/>
        <w:rPr>
          <w:sz w:val="24"/>
          <w:szCs w:val="24"/>
        </w:rPr>
      </w:pPr>
      <w:r>
        <w:rPr>
          <w:sz w:val="24"/>
          <w:szCs w:val="24"/>
        </w:rPr>
        <w:t xml:space="preserve">i.e. 12 different contexts according to prevalence and incidence of disease; </w:t>
      </w:r>
    </w:p>
    <w:p>
      <w:pPr>
        <w:pStyle w:val="Corpsdetexte"/>
        <w:numPr>
          <w:ilvl w:val="0"/>
          <w:numId w:val="3"/>
        </w:numPr>
        <w:tabs>
          <w:tab w:val="left" w:pos="0" w:leader="none"/>
        </w:tabs>
        <w:ind w:left="720" w:hanging="360"/>
        <w:rPr>
          <w:sz w:val="24"/>
          <w:szCs w:val="24"/>
        </w:rPr>
      </w:pPr>
      <w:r>
        <w:rPr>
          <w:sz w:val="24"/>
          <w:szCs w:val="24"/>
        </w:rPr>
        <w:t xml:space="preserve">For each of these 12 contexts, simulate 1,000 cohort studies, of 1,000 observations each; </w:t>
      </w:r>
    </w:p>
    <w:p>
      <w:pPr>
        <w:pStyle w:val="Corpsdetexte"/>
        <w:numPr>
          <w:ilvl w:val="0"/>
          <w:numId w:val="3"/>
        </w:numPr>
        <w:tabs>
          <w:tab w:val="left" w:pos="0" w:leader="none"/>
        </w:tabs>
        <w:ind w:left="720" w:hanging="360"/>
        <w:rPr>
          <w:sz w:val="24"/>
          <w:szCs w:val="24"/>
        </w:rPr>
      </w:pPr>
      <w:r>
        <w:rPr>
          <w:sz w:val="24"/>
          <w:szCs w:val="24"/>
        </w:rPr>
        <w:t xml:space="preserve">The same test is used to identify observations at risk at beginning of the cohort, and to identify cases at the end of the cohort (although we could test the effect of using different tests at beginning and end of the cohort according to computation and time constraints). </w:t>
      </w:r>
    </w:p>
    <w:p>
      <w:pPr>
        <w:pStyle w:val="Corpsdetexte"/>
        <w:spacing w:before="0" w:after="120"/>
        <w:rPr/>
      </w:pPr>
      <w:r>
        <w:rPr>
          <w:sz w:val="24"/>
          <w:szCs w:val="24"/>
        </w:rPr>
        <w:t>For each cohort, the true disease status is known at beginning (</w:t>
      </w:r>
      <w:r>
        <w:rPr>
          <w:rStyle w:val="Accentuation"/>
          <w:sz w:val="24"/>
          <w:szCs w:val="24"/>
        </w:rPr>
        <w:t>S</w:t>
      </w:r>
      <w:r>
        <w:rPr>
          <w:rStyle w:val="OrgSubscript"/>
          <w:sz w:val="24"/>
          <w:szCs w:val="24"/>
        </w:rPr>
        <w:t>1</w:t>
      </w:r>
      <w:r>
        <w:rPr>
          <w:sz w:val="24"/>
          <w:szCs w:val="24"/>
        </w:rPr>
        <w:t>) and end (</w:t>
      </w:r>
      <w:r>
        <w:rPr>
          <w:rStyle w:val="Accentuation"/>
          <w:sz w:val="24"/>
          <w:szCs w:val="24"/>
        </w:rPr>
        <w:t>S</w:t>
      </w:r>
      <w:r>
        <w:rPr>
          <w:rStyle w:val="OrgSubscript"/>
          <w:sz w:val="24"/>
          <w:szCs w:val="24"/>
        </w:rPr>
        <w:t>2</w:t>
      </w:r>
      <w:r>
        <w:rPr>
          <w:sz w:val="24"/>
          <w:szCs w:val="24"/>
        </w:rPr>
        <w:t xml:space="preserve">) of the follow-up. True </w:t>
      </w:r>
      <w:r>
        <w:rPr>
          <w:rStyle w:val="Accentuation"/>
          <w:sz w:val="24"/>
          <w:szCs w:val="24"/>
        </w:rPr>
        <w:t>S</w:t>
      </w:r>
      <w:r>
        <w:rPr>
          <w:rStyle w:val="OrgSubscript"/>
          <w:sz w:val="24"/>
          <w:szCs w:val="24"/>
        </w:rPr>
        <w:t>1</w:t>
      </w:r>
      <w:r>
        <w:rPr>
          <w:sz w:val="24"/>
          <w:szCs w:val="24"/>
        </w:rPr>
        <w:t xml:space="preserve"> status is used to identify observations at risk at beginning of the cohort; true </w:t>
      </w:r>
      <w:r>
        <w:rPr>
          <w:rStyle w:val="Accentuation"/>
          <w:sz w:val="24"/>
          <w:szCs w:val="24"/>
        </w:rPr>
        <w:t>S</w:t>
      </w:r>
      <w:r>
        <w:rPr>
          <w:rStyle w:val="OrgSubscript"/>
          <w:sz w:val="24"/>
          <w:szCs w:val="24"/>
        </w:rPr>
        <w:t>2</w:t>
      </w:r>
      <w:r>
        <w:rPr>
          <w:sz w:val="24"/>
          <w:szCs w:val="24"/>
        </w:rPr>
        <w:t xml:space="preserve"> is used to identify the true outcome. On each dataset, new </w:t>
      </w:r>
      <w:r>
        <w:rPr>
          <w:rStyle w:val="Accentuation"/>
          <w:sz w:val="24"/>
          <w:szCs w:val="24"/>
        </w:rPr>
        <w:t>S</w:t>
      </w:r>
      <w:r>
        <w:rPr>
          <w:rStyle w:val="OrgSubscript"/>
          <w:sz w:val="24"/>
          <w:szCs w:val="24"/>
        </w:rPr>
        <w:t>1</w:t>
      </w:r>
      <w:r>
        <w:rPr>
          <w:rStyle w:val="Accentuation"/>
          <w:sz w:val="24"/>
          <w:szCs w:val="24"/>
        </w:rPr>
        <w:t>'</w:t>
      </w:r>
      <w:r>
        <w:rPr>
          <w:sz w:val="24"/>
          <w:szCs w:val="24"/>
        </w:rPr>
        <w:t xml:space="preserve"> and </w:t>
      </w:r>
      <w:r>
        <w:rPr>
          <w:rStyle w:val="Accentuation"/>
          <w:sz w:val="24"/>
          <w:szCs w:val="24"/>
        </w:rPr>
        <w:t>S</w:t>
      </w:r>
      <w:r>
        <w:rPr>
          <w:rStyle w:val="OrgSubscript"/>
          <w:sz w:val="24"/>
          <w:szCs w:val="24"/>
        </w:rPr>
        <w:t>2</w:t>
      </w:r>
      <w:r>
        <w:rPr>
          <w:rStyle w:val="Accentuation"/>
          <w:sz w:val="24"/>
          <w:szCs w:val="24"/>
        </w:rPr>
        <w:t>'</w:t>
      </w:r>
      <w:r>
        <w:rPr>
          <w:sz w:val="24"/>
          <w:szCs w:val="24"/>
        </w:rPr>
        <w:t xml:space="preserve"> are generated by applying the misclassification resulting from the test characteristics to the </w:t>
      </w:r>
      <w:r>
        <w:rPr>
          <w:rStyle w:val="Accentuation"/>
          <w:sz w:val="24"/>
          <w:szCs w:val="24"/>
        </w:rPr>
        <w:t>S</w:t>
      </w:r>
      <w:r>
        <w:rPr>
          <w:rStyle w:val="OrgSubscript"/>
          <w:sz w:val="24"/>
          <w:szCs w:val="24"/>
        </w:rPr>
        <w:t>1</w:t>
      </w:r>
      <w:r>
        <w:rPr>
          <w:sz w:val="24"/>
          <w:szCs w:val="24"/>
        </w:rPr>
        <w:t xml:space="preserve"> and </w:t>
      </w:r>
      <w:r>
        <w:rPr>
          <w:rStyle w:val="Accentuation"/>
          <w:sz w:val="24"/>
          <w:szCs w:val="24"/>
        </w:rPr>
        <w:t>S</w:t>
      </w:r>
      <w:r>
        <w:rPr>
          <w:rStyle w:val="OrgSubscript"/>
          <w:sz w:val="24"/>
          <w:szCs w:val="24"/>
        </w:rPr>
        <w:t>2</w:t>
      </w:r>
      <w:r>
        <w:rPr>
          <w:sz w:val="24"/>
          <w:szCs w:val="24"/>
        </w:rPr>
        <w:t xml:space="preserve"> samples. Incidence is computed by using </w:t>
      </w:r>
      <w:r>
        <w:rPr>
          <w:rStyle w:val="Accentuation"/>
          <w:sz w:val="24"/>
          <w:szCs w:val="24"/>
        </w:rPr>
        <w:t>S</w:t>
      </w:r>
      <w:r>
        <w:rPr>
          <w:rStyle w:val="OrgSubscript"/>
          <w:sz w:val="24"/>
          <w:szCs w:val="24"/>
        </w:rPr>
        <w:t>1</w:t>
      </w:r>
      <w:r>
        <w:rPr>
          <w:rStyle w:val="Accentuation"/>
          <w:sz w:val="24"/>
          <w:szCs w:val="24"/>
        </w:rPr>
        <w:t>'</w:t>
      </w:r>
      <w:r>
        <w:rPr>
          <w:sz w:val="24"/>
          <w:szCs w:val="24"/>
        </w:rPr>
        <w:t xml:space="preserve"> and </w:t>
      </w:r>
      <w:r>
        <w:rPr>
          <w:rStyle w:val="Accentuation"/>
          <w:sz w:val="24"/>
          <w:szCs w:val="24"/>
        </w:rPr>
        <w:t>S</w:t>
      </w:r>
      <w:r>
        <w:rPr>
          <w:rStyle w:val="OrgSubscript"/>
          <w:sz w:val="24"/>
          <w:szCs w:val="24"/>
        </w:rPr>
        <w:t>2</w:t>
      </w:r>
      <w:r>
        <w:rPr>
          <w:sz w:val="24"/>
          <w:szCs w:val="24"/>
        </w:rPr>
        <w:t xml:space="preserve"> (selection bias), </w:t>
      </w:r>
      <w:r>
        <w:rPr>
          <w:rStyle w:val="Accentuation"/>
          <w:sz w:val="24"/>
          <w:szCs w:val="24"/>
        </w:rPr>
        <w:t>S</w:t>
      </w:r>
      <w:r>
        <w:rPr>
          <w:rStyle w:val="OrgSubscript"/>
          <w:sz w:val="24"/>
          <w:szCs w:val="24"/>
        </w:rPr>
        <w:t>1</w:t>
      </w:r>
      <w:r>
        <w:rPr>
          <w:sz w:val="24"/>
          <w:szCs w:val="24"/>
        </w:rPr>
        <w:t xml:space="preserve"> and </w:t>
      </w:r>
      <w:r>
        <w:rPr>
          <w:rStyle w:val="Accentuation"/>
          <w:sz w:val="24"/>
          <w:szCs w:val="24"/>
        </w:rPr>
        <w:t>S</w:t>
      </w:r>
      <w:r>
        <w:rPr>
          <w:rStyle w:val="OrgSubscript"/>
          <w:sz w:val="24"/>
          <w:szCs w:val="24"/>
        </w:rPr>
        <w:t>2</w:t>
      </w:r>
      <w:r>
        <w:rPr>
          <w:rStyle w:val="Accentuation"/>
          <w:sz w:val="24"/>
          <w:szCs w:val="24"/>
        </w:rPr>
        <w:t>'</w:t>
      </w:r>
      <w:r>
        <w:rPr>
          <w:sz w:val="24"/>
          <w:szCs w:val="24"/>
        </w:rPr>
        <w:t xml:space="preserve"> (misclassification bias), and </w:t>
      </w:r>
      <w:r>
        <w:rPr>
          <w:rStyle w:val="Accentuation"/>
          <w:sz w:val="24"/>
          <w:szCs w:val="24"/>
        </w:rPr>
        <w:t>S</w:t>
      </w:r>
      <w:r>
        <w:rPr>
          <w:rStyle w:val="OrgSubscript"/>
          <w:sz w:val="24"/>
          <w:szCs w:val="24"/>
        </w:rPr>
        <w:t>1</w:t>
      </w:r>
      <w:r>
        <w:rPr>
          <w:rStyle w:val="Accentuation"/>
          <w:sz w:val="24"/>
          <w:szCs w:val="24"/>
        </w:rPr>
        <w:t>'</w:t>
      </w:r>
      <w:r>
        <w:rPr>
          <w:sz w:val="24"/>
          <w:szCs w:val="24"/>
        </w:rPr>
        <w:t xml:space="preserve"> and </w:t>
      </w:r>
      <w:r>
        <w:rPr>
          <w:rStyle w:val="Accentuation"/>
          <w:sz w:val="24"/>
          <w:szCs w:val="24"/>
        </w:rPr>
        <w:t>S</w:t>
      </w:r>
      <w:r>
        <w:rPr>
          <w:rStyle w:val="OrgSubscript"/>
          <w:sz w:val="24"/>
          <w:szCs w:val="24"/>
        </w:rPr>
        <w:t>2</w:t>
      </w:r>
      <w:r>
        <w:rPr>
          <w:rStyle w:val="Accentuation"/>
          <w:sz w:val="24"/>
          <w:szCs w:val="24"/>
        </w:rPr>
        <w:t>'</w:t>
      </w:r>
      <w:r>
        <w:rPr>
          <w:sz w:val="24"/>
          <w:szCs w:val="24"/>
        </w:rPr>
        <w:t xml:space="preserve"> (total bias). </w:t>
      </w:r>
    </w:p>
    <w:sectPr>
      <w:footerReference w:type="default" r:id="rId2"/>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suff w:val="nothing"/>
      <w:lvlText w:val="%1. "/>
      <w:lvlJc w:val="left"/>
      <w:pPr>
        <w:ind w:left="432" w:hanging="432"/>
      </w:pPr>
    </w:lvl>
    <w:lvl w:ilvl="1">
      <w:start w:val="1"/>
      <w:pStyle w:val="Titre2"/>
      <w:numFmt w:val="decimal"/>
      <w:suff w:val="nothing"/>
      <w:lvlText w:val="%1.%2. "/>
      <w:lvlJc w:val="left"/>
      <w:pPr>
        <w:ind w:left="576" w:hanging="576"/>
      </w:pPr>
    </w:lvl>
    <w:lvl w:ilvl="2">
      <w:start w:val="1"/>
      <w:pStyle w:val="Titre3"/>
      <w:numFmt w:val="decimal"/>
      <w:suff w:val="nothing"/>
      <w:lvlText w:val="%1.%2.%3. "/>
      <w:lvlJc w:val="left"/>
      <w:pPr>
        <w:ind w:left="720" w:hanging="720"/>
      </w:pPr>
    </w:lvl>
    <w:lvl w:ilvl="3">
      <w:start w:val="1"/>
      <w:pStyle w:val="Titre4"/>
      <w:numFmt w:val="decimal"/>
      <w:suff w:val="nothing"/>
      <w:lvlText w:val="%1.%2.%3.%4. "/>
      <w:lvlJc w:val="left"/>
      <w:pPr>
        <w:ind w:left="864" w:hanging="864"/>
      </w:pPr>
    </w:lvl>
    <w:lvl w:ilvl="4">
      <w:start w:val="1"/>
      <w:pStyle w:val="Titre5"/>
      <w:numFmt w:val="decimal"/>
      <w:suff w:val="nothing"/>
      <w:lvlText w:val="%1.%2.%3.%4.%5. "/>
      <w:lvlJc w:val="left"/>
      <w:pPr>
        <w:ind w:left="1008" w:hanging="1008"/>
      </w:pPr>
    </w:lvl>
    <w:lvl w:ilvl="5">
      <w:start w:val="1"/>
      <w:pStyle w:val="Titre6"/>
      <w:numFmt w:val="decimal"/>
      <w:suff w:val="nothing"/>
      <w:lvlText w:val="%1.%2.%3.%4.%5.%6. "/>
      <w:lvlJc w:val="left"/>
      <w:pPr>
        <w:ind w:left="1152" w:hanging="1152"/>
      </w:pPr>
    </w:lvl>
    <w:lvl w:ilvl="6">
      <w:start w:val="1"/>
      <w:pStyle w:val="Titre7"/>
      <w:numFmt w:val="decimal"/>
      <w:suff w:val="nothing"/>
      <w:lvlText w:val="%1.%2.%3.%4.%5.%6.%7. "/>
      <w:lvlJc w:val="left"/>
      <w:pPr>
        <w:ind w:left="1296" w:hanging="1296"/>
      </w:pPr>
    </w:lvl>
    <w:lvl w:ilvl="7">
      <w:start w:val="1"/>
      <w:pStyle w:val="Titre8"/>
      <w:numFmt w:val="decimal"/>
      <w:suff w:val="nothing"/>
      <w:lvlText w:val="%1.%2.%3.%4.%5.%6.%7.%8. "/>
      <w:lvlJc w:val="left"/>
      <w:pPr>
        <w:ind w:left="1440" w:hanging="1440"/>
      </w:pPr>
    </w:lvl>
    <w:lvl w:ilvl="8">
      <w:start w:val="1"/>
      <w:pStyle w:val="Titre9"/>
      <w:numFmt w:val="decimal"/>
      <w:suff w:val="nothing"/>
      <w:lvlText w:val="%1.%2.%3.%4.%5.%6.%7.%8.%9. "/>
      <w:lvlJc w:val="left"/>
      <w:pPr>
        <w:ind w:left="1584" w:hanging="1584"/>
      </w:pPr>
    </w:lvl>
  </w:abstractNum>
  <w:abstractNum w:abstractNumId="2">
    <w:lvl w:ilvl="0">
      <w:start w:val="1"/>
      <w:numFmt w:val="decimal"/>
      <w:suff w:val="nothing"/>
      <w:lvlText w:val="%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suff w:val="nothing"/>
      <w:lvlText w:val="%1.%2.%3.%4. "/>
      <w:lvlJc w:val="left"/>
      <w:pPr>
        <w:ind w:left="864" w:hanging="864"/>
      </w:pPr>
    </w:lvl>
    <w:lvl w:ilvl="4">
      <w:start w:val="1"/>
      <w:numFmt w:val="decimal"/>
      <w:suff w:val="nothing"/>
      <w:lvlText w:val="%1.%2.%3.%4.%5. "/>
      <w:lvlJc w:val="left"/>
      <w:pPr>
        <w:ind w:left="1008" w:hanging="1008"/>
      </w:pPr>
    </w:lvl>
    <w:lvl w:ilvl="5">
      <w:start w:val="1"/>
      <w:numFmt w:val="decimal"/>
      <w:suff w:val="nothing"/>
      <w:lvlText w:val="%1.%2.%3.%4.%5.%6. "/>
      <w:lvlJc w:val="left"/>
      <w:pPr>
        <w:ind w:left="1152" w:hanging="1152"/>
      </w:pPr>
    </w:lvl>
    <w:lvl w:ilvl="6">
      <w:start w:val="1"/>
      <w:numFmt w:val="decimal"/>
      <w:suff w:val="nothing"/>
      <w:lvlText w:val="%1.%2.%3.%4.%5.%6.%7. "/>
      <w:lvlJc w:val="left"/>
      <w:pPr>
        <w:ind w:left="1296" w:hanging="1296"/>
      </w:pPr>
    </w:lvl>
    <w:lvl w:ilvl="7">
      <w:start w:val="1"/>
      <w:numFmt w:val="decimal"/>
      <w:suff w:val="nothing"/>
      <w:lvlText w:val="%1.%2.%3.%4.%5.%6.%7.%8. "/>
      <w:lvlJc w:val="left"/>
      <w:pPr>
        <w:ind w:left="1440" w:hanging="1440"/>
      </w:pPr>
    </w:lvl>
    <w:lvl w:ilvl="8">
      <w:start w:val="1"/>
      <w:numFmt w:val="decimal"/>
      <w:suff w:val="nothing"/>
      <w:lvlText w:val="%1.%2.%3.%4.%5.%6.%7.%8.%9. "/>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Symbol" w:hAnsi="Symbol" w:cs="Symbol" w:hint="default"/>
        <w:sz w:val="24"/>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6"/>
  <w:mirrorMargi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szCs w:val="24"/>
        <w:lang w:val="en-GB" w:eastAsia="zh-CN" w:bidi="hi-IN"/>
      </w:rPr>
    </w:rPrDefault>
    <w:pPrDefault>
      <w:pPr/>
    </w:pPrDefault>
  </w:docDefaults>
  <w:style w:type="paragraph" w:styleId="Normal">
    <w:name w:val="Normal"/>
    <w:qFormat/>
    <w:pPr>
      <w:widowControl w:val="false"/>
      <w:overflowPunct w:val="false"/>
      <w:bidi w:val="0"/>
      <w:jc w:val="left"/>
    </w:pPr>
    <w:rPr>
      <w:rFonts w:ascii="Times New Roman" w:hAnsi="Times New Roman" w:eastAsia="SimSun" w:cs="Tahoma"/>
      <w:color w:val="00000A"/>
      <w:sz w:val="24"/>
      <w:szCs w:val="24"/>
      <w:lang w:val="en-GB" w:eastAsia="zh-CN" w:bidi="hi-IN"/>
    </w:rPr>
  </w:style>
  <w:style w:type="paragraph" w:styleId="Titre1">
    <w:name w:val="Heading 1"/>
    <w:basedOn w:val="Titre"/>
    <w:qFormat/>
    <w:pPr>
      <w:numPr>
        <w:ilvl w:val="0"/>
        <w:numId w:val="1"/>
      </w:numPr>
      <w:outlineLvl w:val="0"/>
      <w:outlineLvl w:val="0"/>
    </w:pPr>
    <w:rPr>
      <w:b/>
      <w:bCs/>
      <w:sz w:val="32"/>
      <w:szCs w:val="32"/>
    </w:rPr>
  </w:style>
  <w:style w:type="paragraph" w:styleId="Titre2">
    <w:name w:val="Heading 2"/>
    <w:basedOn w:val="Titre"/>
    <w:qFormat/>
    <w:pPr>
      <w:numPr>
        <w:ilvl w:val="1"/>
        <w:numId w:val="1"/>
      </w:numPr>
      <w:outlineLvl w:val="1"/>
      <w:outlineLvl w:val="1"/>
    </w:pPr>
    <w:rPr>
      <w:b/>
      <w:bCs/>
      <w:i/>
      <w:iCs/>
      <w:sz w:val="28"/>
      <w:szCs w:val="28"/>
    </w:rPr>
  </w:style>
  <w:style w:type="paragraph" w:styleId="Titre3">
    <w:name w:val="Heading 3"/>
    <w:basedOn w:val="Titre"/>
    <w:qFormat/>
    <w:pPr>
      <w:numPr>
        <w:ilvl w:val="2"/>
        <w:numId w:val="1"/>
      </w:numPr>
      <w:outlineLvl w:val="2"/>
      <w:outlineLvl w:val="2"/>
    </w:pPr>
    <w:rPr>
      <w:b/>
      <w:bCs/>
      <w:sz w:val="28"/>
      <w:szCs w:val="28"/>
    </w:rPr>
  </w:style>
  <w:style w:type="paragraph" w:styleId="Titre4">
    <w:name w:val="Heading 4"/>
    <w:basedOn w:val="Titre"/>
    <w:qFormat/>
    <w:pPr>
      <w:numPr>
        <w:ilvl w:val="3"/>
        <w:numId w:val="1"/>
      </w:numPr>
      <w:outlineLvl w:val="3"/>
      <w:outlineLvl w:val="3"/>
    </w:pPr>
    <w:rPr>
      <w:b/>
      <w:bCs/>
      <w:i/>
      <w:iCs/>
      <w:sz w:val="24"/>
      <w:szCs w:val="24"/>
    </w:rPr>
  </w:style>
  <w:style w:type="paragraph" w:styleId="Titre5">
    <w:name w:val="Heading 5"/>
    <w:basedOn w:val="Titre"/>
    <w:qFormat/>
    <w:pPr>
      <w:numPr>
        <w:ilvl w:val="4"/>
        <w:numId w:val="1"/>
      </w:numPr>
      <w:outlineLvl w:val="4"/>
      <w:outlineLvl w:val="4"/>
    </w:pPr>
    <w:rPr>
      <w:b/>
      <w:bCs/>
      <w:sz w:val="24"/>
      <w:szCs w:val="24"/>
    </w:rPr>
  </w:style>
  <w:style w:type="paragraph" w:styleId="Titre6">
    <w:name w:val="Heading 6"/>
    <w:basedOn w:val="Titre"/>
    <w:qFormat/>
    <w:pPr>
      <w:numPr>
        <w:ilvl w:val="5"/>
        <w:numId w:val="1"/>
      </w:numPr>
      <w:outlineLvl w:val="5"/>
      <w:outlineLvl w:val="5"/>
    </w:pPr>
    <w:rPr>
      <w:b/>
      <w:bCs/>
      <w:sz w:val="21"/>
      <w:szCs w:val="21"/>
    </w:rPr>
  </w:style>
  <w:style w:type="paragraph" w:styleId="Titre7">
    <w:name w:val="Heading 7"/>
    <w:basedOn w:val="Titre"/>
    <w:qFormat/>
    <w:pPr>
      <w:numPr>
        <w:ilvl w:val="6"/>
        <w:numId w:val="1"/>
      </w:numPr>
      <w:outlineLvl w:val="6"/>
      <w:outlineLvl w:val="6"/>
    </w:pPr>
    <w:rPr>
      <w:b/>
      <w:bCs/>
      <w:sz w:val="21"/>
      <w:szCs w:val="21"/>
    </w:rPr>
  </w:style>
  <w:style w:type="paragraph" w:styleId="Titre8">
    <w:name w:val="Heading 8"/>
    <w:basedOn w:val="Titre"/>
    <w:qFormat/>
    <w:pPr>
      <w:numPr>
        <w:ilvl w:val="7"/>
        <w:numId w:val="1"/>
      </w:numPr>
      <w:outlineLvl w:val="7"/>
      <w:outlineLvl w:val="7"/>
    </w:pPr>
    <w:rPr>
      <w:b/>
      <w:bCs/>
      <w:sz w:val="21"/>
      <w:szCs w:val="21"/>
    </w:rPr>
  </w:style>
  <w:style w:type="paragraph" w:styleId="Titre9">
    <w:name w:val="Heading 9"/>
    <w:basedOn w:val="Titre"/>
    <w:qFormat/>
    <w:pPr>
      <w:numPr>
        <w:ilvl w:val="8"/>
        <w:numId w:val="1"/>
      </w:numPr>
      <w:outlineLvl w:val="8"/>
      <w:outlineLvl w:val="8"/>
    </w:pPr>
    <w:rPr>
      <w:b/>
      <w:bCs/>
      <w:sz w:val="21"/>
      <w:szCs w:val="21"/>
    </w:rPr>
  </w:style>
  <w:style w:type="character" w:styleId="Accentuation">
    <w:name w:val="Accentuation"/>
    <w:qFormat/>
    <w:rPr>
      <w:i/>
      <w:iCs/>
    </w:rPr>
  </w:style>
  <w:style w:type="character" w:styleId="Underline">
    <w:name w:val="Underline"/>
    <w:qFormat/>
    <w:rPr>
      <w:u w:val="single"/>
    </w:rPr>
  </w:style>
  <w:style w:type="character" w:styleId="Strikethrough">
    <w:name w:val="Strikethrough"/>
    <w:qFormat/>
    <w:rPr>
      <w:strike/>
    </w:rPr>
  </w:style>
  <w:style w:type="character" w:styleId="Textesource">
    <w:name w:val="Texte source"/>
    <w:qFormat/>
    <w:rPr>
      <w:rFonts w:ascii="Courier New" w:hAnsi="Courier New" w:eastAsia="NSimSun" w:cs="Courier New"/>
    </w:rPr>
  </w:style>
  <w:style w:type="character" w:styleId="Citation">
    <w:name w:val="Citation"/>
    <w:qFormat/>
    <w:rPr>
      <w:i/>
      <w:iCs/>
    </w:rPr>
  </w:style>
  <w:style w:type="character" w:styleId="Exemple">
    <w:name w:val="Exemple"/>
    <w:qFormat/>
    <w:rPr>
      <w:rFonts w:ascii="Courier New" w:hAnsi="Courier New" w:eastAsia="NSimSun" w:cs="Courier New"/>
    </w:rPr>
  </w:style>
  <w:style w:type="character" w:styleId="OrgCode">
    <w:name w:val="OrgCode"/>
    <w:basedOn w:val="Textesource"/>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00000A"/>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Caractresdenumrotation">
    <w:name w:val="Caractères de numérotation"/>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LienInternet">
    <w:name w:val="Lien Internet"/>
    <w:rPr>
      <w:color w:val="000080"/>
      <w:u w:val="single"/>
      <w:lang w:val="zxx" w:eastAsia="zxx" w:bidi="zxx"/>
    </w:rPr>
  </w:style>
  <w:style w:type="character" w:styleId="Bullet20Symbols">
    <w:name w:val="Bullet_20_Symbol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sz w:val="24"/>
    </w:rPr>
  </w:style>
  <w:style w:type="character" w:styleId="ListLabel11">
    <w:name w:val="ListLabel 11"/>
    <w:qFormat/>
    <w:rPr>
      <w:rFonts w:cs="Symbol"/>
      <w:sz w:val="24"/>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paragraph" w:styleId="Titre">
    <w:name w:val="Titre"/>
    <w:basedOn w:val="Normal"/>
    <w:next w:val="Corpsdetexte"/>
    <w:qFormat/>
    <w:pPr>
      <w:keepNext/>
      <w:tabs>
        <w:tab w:val="right" w:pos="9638" w:leader="none"/>
      </w:tabs>
      <w:spacing w:before="240" w:after="120"/>
    </w:pPr>
    <w:rPr>
      <w:rFonts w:ascii="Arial" w:hAnsi="Arial" w:eastAsia="SimSun" w:cs="Tahoma"/>
      <w:sz w:val="28"/>
      <w:szCs w:val="28"/>
    </w:rPr>
  </w:style>
  <w:style w:type="paragraph" w:styleId="Corpsdetexte">
    <w:name w:val="Body Text"/>
    <w:basedOn w:val="Normal"/>
    <w:pPr>
      <w:spacing w:before="0" w:after="120"/>
    </w:pPr>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Titre1"/>
    <w:qFormat/>
    <w:pPr>
      <w:numPr>
        <w:ilvl w:val="0"/>
        <w:numId w:val="0"/>
      </w:numPr>
    </w:pPr>
    <w:rPr/>
  </w:style>
  <w:style w:type="paragraph" w:styleId="Heading202unnumbered">
    <w:name w:val="Heading_20_2_unnumbered"/>
    <w:basedOn w:val="Titre2"/>
    <w:qFormat/>
    <w:pPr>
      <w:numPr>
        <w:ilvl w:val="0"/>
        <w:numId w:val="0"/>
      </w:numPr>
    </w:pPr>
    <w:rPr/>
  </w:style>
  <w:style w:type="paragraph" w:styleId="Heading203unnumbered">
    <w:name w:val="Heading_20_3_unnumbered"/>
    <w:basedOn w:val="Titre3"/>
    <w:qFormat/>
    <w:pPr>
      <w:numPr>
        <w:ilvl w:val="0"/>
        <w:numId w:val="0"/>
      </w:numPr>
    </w:pPr>
    <w:rPr/>
  </w:style>
  <w:style w:type="paragraph" w:styleId="Heading204unnumbered">
    <w:name w:val="Heading_20_4_unnumbered"/>
    <w:basedOn w:val="Titre4"/>
    <w:qFormat/>
    <w:pPr>
      <w:numPr>
        <w:ilvl w:val="0"/>
        <w:numId w:val="0"/>
      </w:numPr>
    </w:pPr>
    <w:rPr/>
  </w:style>
  <w:style w:type="paragraph" w:styleId="Heading205unnumbered">
    <w:name w:val="Heading_20_5_unnumbered"/>
    <w:basedOn w:val="Titre5"/>
    <w:qFormat/>
    <w:pPr>
      <w:numPr>
        <w:ilvl w:val="0"/>
        <w:numId w:val="0"/>
      </w:numPr>
    </w:pPr>
    <w:rPr/>
  </w:style>
  <w:style w:type="paragraph" w:styleId="Heading206unnumbered">
    <w:name w:val="Heading_20_6_unnumbered"/>
    <w:basedOn w:val="Titre6"/>
    <w:qFormat/>
    <w:pPr>
      <w:numPr>
        <w:ilvl w:val="0"/>
        <w:numId w:val="0"/>
      </w:numPr>
    </w:pPr>
    <w:rPr/>
  </w:style>
  <w:style w:type="paragraph" w:styleId="Heading207unnumbered">
    <w:name w:val="Heading_20_7_unnumbered"/>
    <w:basedOn w:val="Titre7"/>
    <w:qFormat/>
    <w:pPr>
      <w:numPr>
        <w:ilvl w:val="0"/>
        <w:numId w:val="0"/>
      </w:numPr>
    </w:pPr>
    <w:rPr/>
  </w:style>
  <w:style w:type="paragraph" w:styleId="Heading208unnumbered">
    <w:name w:val="Heading_20_8_unnumbered"/>
    <w:basedOn w:val="Titre8"/>
    <w:qFormat/>
    <w:pPr>
      <w:numPr>
        <w:ilvl w:val="0"/>
        <w:numId w:val="0"/>
      </w:numPr>
    </w:pPr>
    <w:rPr/>
  </w:style>
  <w:style w:type="paragraph" w:styleId="Heading209unnumbered">
    <w:name w:val="Heading_20_9_unnumbered"/>
    <w:basedOn w:val="Titre9"/>
    <w:qFormat/>
    <w:pPr>
      <w:numPr>
        <w:ilvl w:val="0"/>
        <w:numId w:val="0"/>
      </w:numPr>
    </w:pPr>
    <w:rPr/>
  </w:style>
  <w:style w:type="paragraph" w:styleId="Titre10">
    <w:name w:val="Titre 10"/>
    <w:basedOn w:val="Titre"/>
    <w:qFormat/>
    <w:pPr>
      <w:outlineLvl w:val="8"/>
    </w:pPr>
    <w:rPr>
      <w:b/>
      <w:bCs/>
      <w:sz w:val="21"/>
      <w:szCs w:val="21"/>
    </w:rPr>
  </w:style>
  <w:style w:type="paragraph" w:styleId="Heading2010unnumbered">
    <w:name w:val="Heading_20_10_unnumbered"/>
    <w:basedOn w:val="Titre10"/>
    <w:qFormat/>
    <w:pPr/>
    <w:rPr/>
  </w:style>
  <w:style w:type="paragraph" w:styleId="Heading1title">
    <w:name w:val="Heading 1.title"/>
    <w:basedOn w:val="Titre1"/>
    <w:qFormat/>
    <w:pPr>
      <w:numPr>
        <w:ilvl w:val="0"/>
        <w:numId w:val="0"/>
      </w:numPr>
      <w:jc w:val="center"/>
    </w:pPr>
    <w:rPr/>
  </w:style>
  <w:style w:type="paragraph" w:styleId="Titreprincipal">
    <w:name w:val="Title"/>
    <w:basedOn w:val="Titre"/>
    <w:qFormat/>
    <w:pPr>
      <w:jc w:val="center"/>
    </w:pPr>
    <w:rPr>
      <w:b/>
      <w:bCs/>
      <w:sz w:val="36"/>
      <w:szCs w:val="36"/>
    </w:rPr>
  </w:style>
  <w:style w:type="paragraph" w:styleId="OrgTitle">
    <w:name w:val="OrgTitle"/>
    <w:basedOn w:val="Titreprincipal"/>
    <w:qFormat/>
    <w:pPr>
      <w:spacing w:before="0" w:after="0"/>
    </w:pPr>
    <w:rPr>
      <w:sz w:val="48"/>
    </w:rPr>
  </w:style>
  <w:style w:type="paragraph" w:styleId="Soustitre">
    <w:name w:val="Subtitle"/>
    <w:basedOn w:val="Titre"/>
    <w:qFormat/>
    <w:pPr>
      <w:jc w:val="center"/>
    </w:pPr>
    <w:rPr>
      <w:i/>
      <w:iCs/>
      <w:sz w:val="28"/>
      <w:szCs w:val="28"/>
    </w:rPr>
  </w:style>
  <w:style w:type="paragraph" w:styleId="OrgSubtitle">
    <w:name w:val="OrgSubtitle"/>
    <w:basedOn w:val="Soustitre"/>
    <w:qFormat/>
    <w:pPr>
      <w:spacing w:before="0" w:after="0"/>
    </w:pPr>
    <w:rPr>
      <w:sz w:val="40"/>
    </w:rPr>
  </w:style>
  <w:style w:type="paragraph" w:styleId="Retraitdecorpsdetexte">
    <w:name w:val="Body Text Indent"/>
    <w:basedOn w:val="Corpsdetexte"/>
    <w:pPr>
      <w:ind w:left="283" w:right="0" w:hanging="0"/>
    </w:pPr>
    <w:rPr/>
  </w:style>
  <w:style w:type="paragraph" w:styleId="Retraitdeliste">
    <w:name w:val="Retrait de liste"/>
    <w:basedOn w:val="Corpsdetexte"/>
    <w:qFormat/>
    <w:pPr>
      <w:tabs>
        <w:tab w:val="left" w:pos="0" w:leader="none"/>
      </w:tabs>
      <w:ind w:left="2835" w:right="0" w:hanging="2551"/>
    </w:pPr>
    <w:rPr/>
  </w:style>
  <w:style w:type="paragraph" w:styleId="BodyTextIndent">
    <w:name w:val="Body Text Indent"/>
    <w:basedOn w:val="Corpsdetexte"/>
    <w:qFormat/>
    <w:pPr>
      <w:ind w:left="0" w:right="0" w:firstLine="283"/>
    </w:pPr>
    <w:rPr/>
  </w:style>
  <w:style w:type="paragraph" w:styleId="Alinangatif">
    <w:name w:val="Alinéa négatif"/>
    <w:basedOn w:val="Corpsdetexte"/>
    <w:qFormat/>
    <w:pPr>
      <w:tabs>
        <w:tab w:val="left" w:pos="0" w:leader="none"/>
      </w:tabs>
      <w:ind w:left="567" w:right="0" w:hanging="283"/>
    </w:pPr>
    <w:rPr/>
  </w:style>
  <w:style w:type="paragraph" w:styleId="Formulefinale">
    <w:name w:val="Salutation"/>
    <w:basedOn w:val="Normal"/>
    <w:pPr>
      <w:suppressLineNumbers/>
    </w:pPr>
    <w:rPr/>
  </w:style>
  <w:style w:type="paragraph" w:styleId="TOAHeading">
    <w:name w:val="TOA Heading"/>
    <w:basedOn w:val="Titre"/>
    <w:qFormat/>
    <w:pPr>
      <w:suppressLineNumbers/>
      <w:ind w:left="0" w:right="0" w:hanging="0"/>
    </w:pPr>
    <w:rPr>
      <w:b/>
      <w:bCs/>
      <w:sz w:val="32"/>
      <w:szCs w:val="32"/>
    </w:rPr>
  </w:style>
  <w:style w:type="paragraph" w:styleId="Tabledesmatiresniveau1">
    <w:name w:val="TOC 1"/>
    <w:basedOn w:val="Index"/>
    <w:pPr>
      <w:tabs>
        <w:tab w:val="right" w:pos="9638" w:leader="dot"/>
      </w:tabs>
      <w:ind w:left="0" w:right="0" w:hanging="0"/>
    </w:pPr>
    <w:rPr/>
  </w:style>
  <w:style w:type="paragraph" w:styleId="Tabledesmatiresniveau2">
    <w:name w:val="TOC 2"/>
    <w:basedOn w:val="Index"/>
    <w:pPr>
      <w:tabs>
        <w:tab w:val="right" w:pos="9355" w:leader="dot"/>
      </w:tabs>
      <w:ind w:left="283" w:right="0" w:hanging="0"/>
    </w:pPr>
    <w:rPr/>
  </w:style>
  <w:style w:type="paragraph" w:styleId="Tabledesmatiresniveau3">
    <w:name w:val="TOC 3"/>
    <w:basedOn w:val="Index"/>
    <w:pPr>
      <w:tabs>
        <w:tab w:val="right" w:pos="9072" w:leader="dot"/>
      </w:tabs>
      <w:ind w:left="566" w:right="0" w:hanging="0"/>
    </w:pPr>
    <w:rPr/>
  </w:style>
  <w:style w:type="paragraph" w:styleId="Tabledesmatiresniveau4">
    <w:name w:val="TOC 4"/>
    <w:basedOn w:val="Index"/>
    <w:pPr>
      <w:tabs>
        <w:tab w:val="right" w:pos="8789" w:leader="dot"/>
      </w:tabs>
      <w:ind w:left="849" w:right="0" w:hanging="0"/>
    </w:pPr>
    <w:rPr/>
  </w:style>
  <w:style w:type="paragraph" w:styleId="Tabledesmatiresniveau5">
    <w:name w:val="TOC 5"/>
    <w:basedOn w:val="Index"/>
    <w:pPr>
      <w:tabs>
        <w:tab w:val="right" w:pos="8506" w:leader="dot"/>
      </w:tabs>
      <w:ind w:left="1132" w:right="0" w:hanging="0"/>
    </w:pPr>
    <w:rPr/>
  </w:style>
  <w:style w:type="paragraph" w:styleId="Tabledesmatiresniveau6">
    <w:name w:val="TOC 6"/>
    <w:basedOn w:val="Index"/>
    <w:pPr>
      <w:tabs>
        <w:tab w:val="right" w:pos="8223" w:leader="dot"/>
      </w:tabs>
      <w:ind w:left="1415" w:right="0" w:hanging="0"/>
    </w:pPr>
    <w:rPr/>
  </w:style>
  <w:style w:type="paragraph" w:styleId="Tabledesmatiresniveau7">
    <w:name w:val="TOC 7"/>
    <w:basedOn w:val="Index"/>
    <w:pPr>
      <w:tabs>
        <w:tab w:val="right" w:pos="7940" w:leader="dot"/>
      </w:tabs>
      <w:ind w:left="1698" w:right="0" w:hanging="0"/>
    </w:pPr>
    <w:rPr/>
  </w:style>
  <w:style w:type="paragraph" w:styleId="Tabledesmatiresniveau8">
    <w:name w:val="TOC 8"/>
    <w:basedOn w:val="Index"/>
    <w:pPr>
      <w:tabs>
        <w:tab w:val="right" w:pos="7657" w:leader="dot"/>
      </w:tabs>
      <w:ind w:left="1981" w:right="0" w:hanging="0"/>
    </w:pPr>
    <w:rPr/>
  </w:style>
  <w:style w:type="paragraph" w:styleId="Tabledesmatiresniveau9">
    <w:name w:val="TOC 9"/>
    <w:basedOn w:val="Index"/>
    <w:pPr>
      <w:tabs>
        <w:tab w:val="right" w:pos="7374" w:leader="dot"/>
      </w:tabs>
      <w:ind w:left="2264" w:right="0" w:hanging="0"/>
    </w:pPr>
    <w:rPr/>
  </w:style>
  <w:style w:type="paragraph" w:styleId="Tabledesmatiresniveau10">
    <w:name w:val="Table des matières niveau 10"/>
    <w:basedOn w:val="Index"/>
    <w:qFormat/>
    <w:pPr>
      <w:tabs>
        <w:tab w:val="right" w:pos="7091"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Notedebasdepage"/>
    <w:qFormat/>
    <w:pPr>
      <w:spacing w:before="0" w:after="283"/>
      <w:ind w:left="567" w:right="567" w:hanging="0"/>
    </w:pPr>
    <w:rPr/>
  </w:style>
  <w:style w:type="paragraph" w:styleId="Notedebasdepage">
    <w:name w:val="Footnote Text"/>
    <w:basedOn w:val="Normal"/>
    <w:pPr>
      <w:suppressLineNumbers/>
      <w:ind w:left="283" w:right="0" w:hanging="283"/>
    </w:pPr>
    <w:rPr>
      <w:sz w:val="20"/>
      <w:szCs w:val="20"/>
    </w:rPr>
  </w:style>
  <w:style w:type="paragraph" w:styleId="Texteprformat">
    <w:name w:val="Texte préformaté"/>
    <w:basedOn w:val="Normal"/>
    <w:qFormat/>
    <w:pPr>
      <w:spacing w:before="0" w:after="0"/>
    </w:pPr>
    <w:rPr>
      <w:rFonts w:ascii="Courier New" w:hAnsi="Courier New" w:eastAsia="NSimSun" w:cs="Courier New"/>
      <w:sz w:val="20"/>
      <w:szCs w:val="20"/>
    </w:rPr>
  </w:style>
  <w:style w:type="paragraph" w:styleId="OrgVerse">
    <w:name w:val="OrgVerse"/>
    <w:basedOn w:val="Texteprformat"/>
    <w:qFormat/>
    <w:pPr/>
    <w:rPr/>
  </w:style>
  <w:style w:type="paragraph" w:styleId="OrgClock">
    <w:name w:val="OrgClock"/>
    <w:basedOn w:val="Corpsdetexte"/>
    <w:qFormat/>
    <w:pPr>
      <w:spacing w:before="0" w:after="0"/>
    </w:pPr>
    <w:rPr/>
  </w:style>
  <w:style w:type="paragraph" w:styleId="OrgClockLastLine">
    <w:name w:val="OrgClockLastLine"/>
    <w:basedOn w:val="OrgClock"/>
    <w:qFormat/>
    <w:pPr/>
    <w:rPr/>
  </w:style>
  <w:style w:type="paragraph" w:styleId="OrgPlanning">
    <w:name w:val="OrgPlanning"/>
    <w:basedOn w:val="Corpsdetexte"/>
    <w:qFormat/>
    <w:pPr/>
    <w:rPr/>
  </w:style>
  <w:style w:type="paragraph" w:styleId="OrgFixedWidthBlock">
    <w:name w:val="OrgFixedWidthBlock"/>
    <w:basedOn w:val="Texteprformat"/>
    <w:qFormat/>
    <w:pPr>
      <w:pBdr>
        <w:top w:val="single" w:sz="2" w:space="1" w:color="000001"/>
        <w:left w:val="single" w:sz="2" w:space="1" w:color="000001"/>
        <w:bottom w:val="single" w:sz="2" w:space="1" w:color="000001"/>
        <w:right w:val="single" w:sz="2" w:space="1" w:color="000001"/>
      </w:pBdr>
      <w:shd w:val="clear" w:fill="C0C0C0"/>
    </w:pPr>
    <w:rPr/>
  </w:style>
  <w:style w:type="paragraph" w:styleId="OrgFixedWidthBlockLastLine">
    <w:name w:val="OrgFixedWidthBlockLastLine"/>
    <w:basedOn w:val="OrgFixedWidthBlock"/>
    <w:qFormat/>
    <w:pPr>
      <w:shd w:val="clear" w:fill="C0C0C0"/>
      <w:spacing w:before="0" w:after="119"/>
    </w:pPr>
    <w:rPr/>
  </w:style>
  <w:style w:type="paragraph" w:styleId="OrgFormula">
    <w:name w:val="OrgFormula"/>
    <w:basedOn w:val="Corpsdetexte"/>
    <w:qFormat/>
    <w:pPr>
      <w:tabs>
        <w:tab w:val="right" w:pos="9638" w:leader="none"/>
      </w:tabs>
    </w:pPr>
    <w:rPr/>
  </w:style>
  <w:style w:type="paragraph" w:styleId="OrgSrcBlockLastLine">
    <w:name w:val="OrgSrcBlockLastLine"/>
    <w:qFormat/>
    <w:pPr>
      <w:widowControl w:val="false"/>
      <w:overflowPunct w:val="false"/>
      <w:bidi w:val="0"/>
      <w:spacing w:before="0" w:after="119"/>
      <w:jc w:val="left"/>
    </w:pPr>
    <w:rPr>
      <w:rFonts w:ascii="Times New Roman" w:hAnsi="Times New Roman" w:eastAsia="SimSun" w:cs="Tahoma"/>
      <w:color w:val="00000A"/>
      <w:sz w:val="24"/>
      <w:szCs w:val="24"/>
      <w:lang w:val="en-GB" w:eastAsia="zh-CN" w:bidi="hi-IN"/>
    </w:rPr>
  </w:style>
  <w:style w:type="paragraph" w:styleId="OrgCenter">
    <w:name w:val="OrgCenter"/>
    <w:basedOn w:val="Corpsdetexte"/>
    <w:qFormat/>
    <w:pPr>
      <w:jc w:val="center"/>
    </w:pPr>
    <w:rPr/>
  </w:style>
  <w:style w:type="paragraph" w:styleId="OrgFootnoteCenter">
    <w:name w:val="OrgFootnoteCenter"/>
    <w:basedOn w:val="Notedebasdepage"/>
    <w:qFormat/>
    <w:pPr>
      <w:jc w:val="center"/>
    </w:pPr>
    <w:rPr/>
  </w:style>
  <w:style w:type="paragraph" w:styleId="OrgTableContents">
    <w:name w:val="OrgTableContents"/>
    <w:basedOn w:val="Corpsdetexte"/>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Corpsdetexte"/>
    <w:qFormat/>
    <w:pPr/>
    <w:rPr>
      <w:b/>
    </w:rPr>
  </w:style>
  <w:style w:type="paragraph" w:styleId="Figure">
    <w:name w:val="Figure"/>
    <w:basedOn w:val="Lgende"/>
    <w:qFormat/>
    <w:pPr/>
    <w:rPr/>
  </w:style>
  <w:style w:type="paragraph" w:styleId="Titredelindexdesillustrations">
    <w:name w:val="Titre de l'index des illustrations"/>
    <w:basedOn w:val="Titre"/>
    <w:qFormat/>
    <w:pPr>
      <w:suppressLineNumbers/>
      <w:ind w:left="0" w:right="0" w:hanging="0"/>
    </w:pPr>
    <w:rPr>
      <w:b/>
      <w:bCs/>
      <w:sz w:val="32"/>
      <w:szCs w:val="32"/>
    </w:rPr>
  </w:style>
  <w:style w:type="paragraph" w:styleId="Tableau">
    <w:name w:val="Tableau"/>
    <w:basedOn w:val="Lgende"/>
    <w:qFormat/>
    <w:pPr>
      <w:jc w:val="center"/>
    </w:pPr>
    <w:rPr/>
  </w:style>
  <w:style w:type="paragraph" w:styleId="Listing">
    <w:name w:val="Listing"/>
    <w:basedOn w:val="Lgende"/>
    <w:qFormat/>
    <w:pPr>
      <w:keepNext/>
      <w:ind w:left="0" w:right="0" w:hanging="0"/>
    </w:pPr>
    <w:rPr/>
  </w:style>
  <w:style w:type="paragraph" w:styleId="Lignehorizontale">
    <w:name w:val="Ligne horizontale"/>
    <w:basedOn w:val="Normal"/>
    <w:qFormat/>
    <w:pPr>
      <w:suppressLineNumbers/>
      <w:pBdr>
        <w:bottom w:val="single" w:sz="2" w:space="0" w:color="000001"/>
      </w:pBdr>
      <w:spacing w:before="0" w:after="119"/>
    </w:pPr>
    <w:rPr>
      <w:sz w:val="12"/>
      <w:szCs w:val="12"/>
    </w:rPr>
  </w:style>
  <w:style w:type="paragraph" w:styleId="OrgInlineTaskHeading">
    <w:name w:val="OrgInlineTaskHeading"/>
    <w:basedOn w:val="Lgende"/>
    <w:qFormat/>
    <w:pPr/>
    <w:rPr>
      <w:b/>
      <w:i w:val="false"/>
    </w:rPr>
  </w:style>
  <w:style w:type="paragraph" w:styleId="Pieddepage">
    <w:name w:val="Footer"/>
    <w:basedOn w:val="Normal"/>
    <w:pPr>
      <w:suppressLineNumbers/>
      <w:tabs>
        <w:tab w:val="center" w:pos="5553" w:leader="none"/>
        <w:tab w:val="right" w:pos="11106" w:leader="none"/>
      </w:tabs>
    </w:pPr>
    <w:rPr/>
  </w:style>
  <w:style w:type="numbering" w:styleId="Numrotation1">
    <w:name w:val="Numérotation 1"/>
    <w:qFormat/>
  </w:style>
  <w:style w:type="numbering" w:styleId="Puce1">
    <w:name w:val="Puce 1"/>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LibreOffice/5.3.1.2$Linux_X86_64 LibreOffice_project/30m0$Build-2</Application>
  <Pages>1</Pages>
  <Words>269</Words>
  <Characters>1355</Characters>
  <CharactersWithSpaces>1609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2017-07-28T15:52:51Z</dcterms:created>
  <dc:creator>Denis Haine, Ian Dohoo, Simon Dufour</dc:creator>
  <dc:description/>
  <dc:language>en-CA</dc:language>
  <cp:lastModifiedBy>Denis Haine</cp:lastModifiedBy>
  <dcterms:modified xsi:type="dcterms:W3CDTF">2017-07-28T15:56:41Z</dcterms:modified>
  <cp:revision>2</cp:revision>
  <dc:subject/>
  <dc:title>Bias in Longitudinal Cohort Studies</dc:title>
</cp:coreProperties>
</file>