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Kennedy</w:t>
      </w:r>
      <w:r>
        <w:t xml:space="preserve"> </w:t>
      </w:r>
      <w:r>
        <w:t xml:space="preserve">Mwai</w:t>
      </w:r>
    </w:p>
    <w:bookmarkStart w:id="21" w:name="statistical-inference-assignment"/>
    <w:p>
      <w:pPr>
        <w:pStyle w:val="Heading1"/>
      </w:pPr>
      <w:r>
        <w:t xml:space="preserve">"Statistical Inference Assignment"</w:t>
      </w:r>
    </w:p>
    <w:bookmarkEnd w:id="21"/>
    <w:bookmarkStart w:id="22" w:name="the-effect-of-vitamin-c-on-tooth-growth-in-guinea-pigs"/>
    <w:p>
      <w:pPr>
        <w:pStyle w:val="Heading2"/>
      </w:pPr>
      <w:r>
        <w:t xml:space="preserve">The Effect of Vitamin C on Tooth Growth in Guinea Pigs</w:t>
      </w:r>
    </w:p>
    <w:bookmarkEnd w:id="22"/>
    <w:bookmarkStart w:id="23" w:name="synopsis"/>
    <w:p>
      <w:pPr>
        <w:pStyle w:val="Heading2"/>
      </w:pPr>
      <w:r>
        <w:t xml:space="preserve">Synopsis</w:t>
      </w:r>
    </w:p>
    <w:bookmarkEnd w:id="23"/>
    <w:p>
      <w:r>
        <w:t xml:space="preserve">In this report we aimto show the effect of vitamin C on tooth growth in guine pigs.The report checks on the difference in means of different dosages and supplements given to the guinea pigs. A ttest is used to show whether there is a difference between the two groups. A p-value and the confidence interval of each test is reported. We observed a significance difference in the two supplements</w:t>
      </w:r>
      <w:r>
        <w:t xml:space="preserve"> </w:t>
      </w:r>
      <w:r>
        <w:rPr>
          <w:b/>
        </w:rPr>
        <w:t xml:space="preserve">orange juice</w:t>
      </w:r>
      <w:r>
        <w:t xml:space="preserve"> </w:t>
      </w:r>
      <w:r>
        <w:t xml:space="preserve">and</w:t>
      </w:r>
      <w:r>
        <w:t xml:space="preserve"> </w:t>
      </w:r>
      <w:r>
        <w:rPr>
          <w:b/>
        </w:rPr>
        <w:t xml:space="preserve">ascorbic acid</w:t>
      </w:r>
      <w:r>
        <w:t xml:space="preserve"> </w:t>
      </w:r>
      <w:r>
        <w:t xml:space="preserve">for dosage of</w:t>
      </w:r>
      <w:r>
        <w:t xml:space="preserve"> </w:t>
      </w:r>
      <w:r>
        <w:rPr>
          <w:b/>
        </w:rPr>
        <w:t xml:space="preserve">0.5mg</w:t>
      </w:r>
      <w:r>
        <w:t xml:space="preserve"> </w:t>
      </w:r>
      <w:r>
        <w:t xml:space="preserve">and</w:t>
      </w:r>
      <w:r>
        <w:t xml:space="preserve"> </w:t>
      </w:r>
      <w:r>
        <w:rPr>
          <w:b/>
        </w:rPr>
        <w:t xml:space="preserve">1.0mg</w:t>
      </w:r>
      <w:r>
        <w:t xml:space="preserve">. The</w:t>
      </w:r>
      <w:r>
        <w:t xml:space="preserve"> </w:t>
      </w:r>
      <w:r>
        <w:rPr>
          <w:b/>
        </w:rPr>
        <w:t xml:space="preserve">2.0mg</w:t>
      </w:r>
      <w:r>
        <w:t xml:space="preserve"> </w:t>
      </w:r>
      <w:r>
        <w:t xml:space="preserve">dosage didnt have a significant difference.</w:t>
      </w:r>
    </w:p>
    <w:bookmarkStart w:id="24" w:name="data"/>
    <w:p>
      <w:pPr>
        <w:pStyle w:val="Heading2"/>
      </w:pPr>
      <w:r>
        <w:t xml:space="preserve">Data</w:t>
      </w:r>
    </w:p>
    <w:bookmarkEnd w:id="24"/>
    <w:p>
      <w:r>
        <w:t xml:space="preserve">This assignment makes use of toooth growth data from a the library datasets. The data shows the effect of Vitamin C on Tooth growth in guinea pigs. The response is the length of odontoblasts (teeth) in each of 10 guinea pigs at each of three dose levels of Vitamin C (0.5, 1, and 2 mg) with each of two delivery methods OJ and VC (orange juice or ascorbic acid). The data has 60 observations on the three variables.</w:t>
      </w:r>
    </w:p>
    <w:bookmarkStart w:id="25" w:name="loading-and-summary-of-the-data"/>
    <w:p>
      <w:pPr>
        <w:pStyle w:val="Heading2"/>
      </w:pPr>
      <w:r>
        <w:t xml:space="preserve">Loading and Summary of the Data</w:t>
      </w:r>
    </w:p>
    <w:bookmarkEnd w:id="25"/>
    <w:p>
      <w:r>
        <w:t xml:space="preserve">The table below shows the view of the top 10 values</w:t>
      </w:r>
    </w:p>
    <w:tbl>
      <w:tblPr>
        <w:tblStyle w:val="TableNormal"/>
      </w:tblPr>
      <w:tblGrid/>
      <w:tr>
        <w:tc>
          <w:tcPr>
            <w:tcBorders>
              <w:bottom w:val="single"/>
            </w:tcBorders>
            <w:vAlign w:val="bottom"/>
          </w:tcPr>
          <w:p>
            <w:pPr>
              <w:pStyle w:val="Compact"/>
              <w:jc w:val="right"/>
            </w:pPr>
            <w:r>
              <w:t xml:space="preserve">len</w:t>
            </w:r>
          </w:p>
        </w:tc>
        <w:tc>
          <w:tcPr>
            <w:tcBorders>
              <w:bottom w:val="single"/>
            </w:tcBorders>
            <w:vAlign w:val="bottom"/>
          </w:tcPr>
          <w:p>
            <w:pPr>
              <w:pStyle w:val="Compact"/>
              <w:jc w:val="left"/>
            </w:pPr>
            <w:r>
              <w:t xml:space="preserve">supp</w:t>
            </w:r>
          </w:p>
        </w:tc>
        <w:tc>
          <w:tcPr>
            <w:tcBorders>
              <w:bottom w:val="single"/>
            </w:tcBorders>
            <w:vAlign w:val="bottom"/>
          </w:tcPr>
          <w:p>
            <w:pPr>
              <w:pStyle w:val="Compact"/>
              <w:jc w:val="right"/>
            </w:pPr>
            <w:r>
              <w:t xml:space="preserve">dose</w:t>
            </w:r>
          </w:p>
        </w:tc>
      </w:tr>
      <w:tr>
        <w:tc>
          <w:p>
            <w:pPr>
              <w:pStyle w:val="Compact"/>
              <w:jc w:val="right"/>
            </w:pPr>
            <w:r>
              <w:t xml:space="preserve">4.2</w:t>
            </w:r>
          </w:p>
        </w:tc>
        <w:tc>
          <w:p>
            <w:pPr>
              <w:pStyle w:val="Compact"/>
              <w:jc w:val="left"/>
            </w:pPr>
            <w:r>
              <w:t xml:space="preserve">VC</w:t>
            </w:r>
          </w:p>
        </w:tc>
        <w:tc>
          <w:p>
            <w:pPr>
              <w:pStyle w:val="Compact"/>
              <w:jc w:val="right"/>
            </w:pPr>
            <w:r>
              <w:t xml:space="preserve">0.5</w:t>
            </w:r>
          </w:p>
        </w:tc>
      </w:tr>
      <w:tr>
        <w:tc>
          <w:p>
            <w:pPr>
              <w:pStyle w:val="Compact"/>
              <w:jc w:val="right"/>
            </w:pPr>
            <w:r>
              <w:t xml:space="preserve">11.5</w:t>
            </w:r>
          </w:p>
        </w:tc>
        <w:tc>
          <w:p>
            <w:pPr>
              <w:pStyle w:val="Compact"/>
              <w:jc w:val="left"/>
            </w:pPr>
            <w:r>
              <w:t xml:space="preserve">VC</w:t>
            </w:r>
          </w:p>
        </w:tc>
        <w:tc>
          <w:p>
            <w:pPr>
              <w:pStyle w:val="Compact"/>
              <w:jc w:val="right"/>
            </w:pPr>
            <w:r>
              <w:t xml:space="preserve">0.5</w:t>
            </w:r>
          </w:p>
        </w:tc>
      </w:tr>
      <w:tr>
        <w:tc>
          <w:p>
            <w:pPr>
              <w:pStyle w:val="Compact"/>
              <w:jc w:val="right"/>
            </w:pPr>
            <w:r>
              <w:t xml:space="preserve">7.3</w:t>
            </w:r>
          </w:p>
        </w:tc>
        <w:tc>
          <w:p>
            <w:pPr>
              <w:pStyle w:val="Compact"/>
              <w:jc w:val="left"/>
            </w:pPr>
            <w:r>
              <w:t xml:space="preserve">VC</w:t>
            </w:r>
          </w:p>
        </w:tc>
        <w:tc>
          <w:p>
            <w:pPr>
              <w:pStyle w:val="Compact"/>
              <w:jc w:val="right"/>
            </w:pPr>
            <w:r>
              <w:t xml:space="preserve">0.5</w:t>
            </w:r>
          </w:p>
        </w:tc>
      </w:tr>
      <w:tr>
        <w:tc>
          <w:p>
            <w:pPr>
              <w:pStyle w:val="Compact"/>
              <w:jc w:val="right"/>
            </w:pPr>
            <w:r>
              <w:t xml:space="preserve">5.8</w:t>
            </w:r>
          </w:p>
        </w:tc>
        <w:tc>
          <w:p>
            <w:pPr>
              <w:pStyle w:val="Compact"/>
              <w:jc w:val="left"/>
            </w:pPr>
            <w:r>
              <w:t xml:space="preserve">VC</w:t>
            </w:r>
          </w:p>
        </w:tc>
        <w:tc>
          <w:p>
            <w:pPr>
              <w:pStyle w:val="Compact"/>
              <w:jc w:val="right"/>
            </w:pPr>
            <w:r>
              <w:t xml:space="preserve">0.5</w:t>
            </w:r>
          </w:p>
        </w:tc>
      </w:tr>
      <w:tr>
        <w:tc>
          <w:p>
            <w:pPr>
              <w:pStyle w:val="Compact"/>
              <w:jc w:val="right"/>
            </w:pPr>
            <w:r>
              <w:t xml:space="preserve">6.4</w:t>
            </w:r>
          </w:p>
        </w:tc>
        <w:tc>
          <w:p>
            <w:pPr>
              <w:pStyle w:val="Compact"/>
              <w:jc w:val="left"/>
            </w:pPr>
            <w:r>
              <w:t xml:space="preserve">VC</w:t>
            </w:r>
          </w:p>
        </w:tc>
        <w:tc>
          <w:p>
            <w:pPr>
              <w:pStyle w:val="Compact"/>
              <w:jc w:val="right"/>
            </w:pPr>
            <w:r>
              <w:t xml:space="preserve">0.5</w:t>
            </w:r>
          </w:p>
        </w:tc>
      </w:tr>
      <w:tr>
        <w:tc>
          <w:p>
            <w:pPr>
              <w:pStyle w:val="Compact"/>
              <w:jc w:val="right"/>
            </w:pPr>
            <w:r>
              <w:t xml:space="preserve">10.0</w:t>
            </w:r>
          </w:p>
        </w:tc>
        <w:tc>
          <w:p>
            <w:pPr>
              <w:pStyle w:val="Compact"/>
              <w:jc w:val="left"/>
            </w:pPr>
            <w:r>
              <w:t xml:space="preserve">VC</w:t>
            </w:r>
          </w:p>
        </w:tc>
        <w:tc>
          <w:p>
            <w:pPr>
              <w:pStyle w:val="Compact"/>
              <w:jc w:val="right"/>
            </w:pPr>
            <w:r>
              <w:t xml:space="preserve">0.5</w:t>
            </w:r>
          </w:p>
        </w:tc>
      </w:tr>
      <w:tr>
        <w:tc>
          <w:p>
            <w:pPr>
              <w:pStyle w:val="Compact"/>
              <w:jc w:val="right"/>
            </w:pPr>
            <w:r>
              <w:t xml:space="preserve">11.2</w:t>
            </w:r>
          </w:p>
        </w:tc>
        <w:tc>
          <w:p>
            <w:pPr>
              <w:pStyle w:val="Compact"/>
              <w:jc w:val="left"/>
            </w:pPr>
            <w:r>
              <w:t xml:space="preserve">VC</w:t>
            </w:r>
          </w:p>
        </w:tc>
        <w:tc>
          <w:p>
            <w:pPr>
              <w:pStyle w:val="Compact"/>
              <w:jc w:val="right"/>
            </w:pPr>
            <w:r>
              <w:t xml:space="preserve">0.5</w:t>
            </w:r>
          </w:p>
        </w:tc>
      </w:tr>
      <w:tr>
        <w:tc>
          <w:p>
            <w:pPr>
              <w:pStyle w:val="Compact"/>
              <w:jc w:val="right"/>
            </w:pPr>
            <w:r>
              <w:t xml:space="preserve">11.2</w:t>
            </w:r>
          </w:p>
        </w:tc>
        <w:tc>
          <w:p>
            <w:pPr>
              <w:pStyle w:val="Compact"/>
              <w:jc w:val="left"/>
            </w:pPr>
            <w:r>
              <w:t xml:space="preserve">VC</w:t>
            </w:r>
          </w:p>
        </w:tc>
        <w:tc>
          <w:p>
            <w:pPr>
              <w:pStyle w:val="Compact"/>
              <w:jc w:val="right"/>
            </w:pPr>
            <w:r>
              <w:t xml:space="preserve">0.5</w:t>
            </w:r>
          </w:p>
        </w:tc>
      </w:tr>
      <w:tr>
        <w:tc>
          <w:p>
            <w:pPr>
              <w:pStyle w:val="Compact"/>
              <w:jc w:val="right"/>
            </w:pPr>
            <w:r>
              <w:t xml:space="preserve">5.2</w:t>
            </w:r>
          </w:p>
        </w:tc>
        <w:tc>
          <w:p>
            <w:pPr>
              <w:pStyle w:val="Compact"/>
              <w:jc w:val="left"/>
            </w:pPr>
            <w:r>
              <w:t xml:space="preserve">VC</w:t>
            </w:r>
          </w:p>
        </w:tc>
        <w:tc>
          <w:p>
            <w:pPr>
              <w:pStyle w:val="Compact"/>
              <w:jc w:val="right"/>
            </w:pPr>
            <w:r>
              <w:t xml:space="preserve">0.5</w:t>
            </w:r>
          </w:p>
        </w:tc>
      </w:tr>
      <w:tr>
        <w:tc>
          <w:p>
            <w:pPr>
              <w:pStyle w:val="Compact"/>
              <w:jc w:val="right"/>
            </w:pPr>
            <w:r>
              <w:t xml:space="preserve">7.0</w:t>
            </w:r>
          </w:p>
        </w:tc>
        <w:tc>
          <w:p>
            <w:pPr>
              <w:pStyle w:val="Compact"/>
              <w:jc w:val="left"/>
            </w:pPr>
            <w:r>
              <w:t xml:space="preserve">VC</w:t>
            </w:r>
          </w:p>
        </w:tc>
        <w:tc>
          <w:p>
            <w:pPr>
              <w:pStyle w:val="Compact"/>
              <w:jc w:val="right"/>
            </w:pPr>
            <w:r>
              <w:t xml:space="preserve">0.5</w:t>
            </w:r>
          </w:p>
        </w:tc>
      </w:tr>
    </w:tbl>
    <w:p>
      <w:r>
        <w:t xml:space="preserve">The table below shows a summary of the three variables: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supp</w:t>
            </w:r>
          </w:p>
        </w:tc>
        <w:tc>
          <w:tcPr>
            <w:tcBorders>
              <w:bottom w:val="single"/>
            </w:tcBorders>
            <w:vAlign w:val="bottom"/>
          </w:tcPr>
          <w:p>
            <w:pPr>
              <w:pStyle w:val="Compact"/>
              <w:jc w:val="left"/>
            </w:pPr>
            <w:r>
              <w:t xml:space="preserve">dose</w:t>
            </w:r>
          </w:p>
        </w:tc>
      </w:tr>
      <w:tr>
        <w:tc>
          <w:p/>
        </w:tc>
        <w:tc>
          <w:p>
            <w:pPr>
              <w:pStyle w:val="Compact"/>
              <w:jc w:val="left"/>
            </w:pPr>
            <w:r>
              <w:t xml:space="preserve">Min. : 4.2</w:t>
            </w:r>
          </w:p>
        </w:tc>
        <w:tc>
          <w:p>
            <w:pPr>
              <w:pStyle w:val="Compact"/>
              <w:jc w:val="left"/>
            </w:pPr>
            <w:r>
              <w:t xml:space="preserve">OJ:30</w:t>
            </w:r>
          </w:p>
        </w:tc>
        <w:tc>
          <w:p>
            <w:pPr>
              <w:pStyle w:val="Compact"/>
              <w:jc w:val="left"/>
            </w:pPr>
            <w:r>
              <w:t xml:space="preserve">Min. :0.50</w:t>
            </w:r>
          </w:p>
        </w:tc>
      </w:tr>
      <w:tr>
        <w:tc>
          <w:p/>
        </w:tc>
        <w:tc>
          <w:p>
            <w:pPr>
              <w:pStyle w:val="Compact"/>
              <w:jc w:val="left"/>
            </w:pPr>
            <w:r>
              <w:t xml:space="preserve">1st Qu.:13.1</w:t>
            </w:r>
          </w:p>
        </w:tc>
        <w:tc>
          <w:p>
            <w:pPr>
              <w:pStyle w:val="Compact"/>
              <w:jc w:val="left"/>
            </w:pPr>
            <w:r>
              <w:t xml:space="preserve">VC:30</w:t>
            </w:r>
          </w:p>
        </w:tc>
        <w:tc>
          <w:p>
            <w:pPr>
              <w:pStyle w:val="Compact"/>
              <w:jc w:val="left"/>
            </w:pPr>
            <w:r>
              <w:t xml:space="preserve">1st Qu.:0.50</w:t>
            </w:r>
          </w:p>
        </w:tc>
      </w:tr>
      <w:tr>
        <w:tc>
          <w:p/>
        </w:tc>
        <w:tc>
          <w:p>
            <w:pPr>
              <w:pStyle w:val="Compact"/>
              <w:jc w:val="left"/>
            </w:pPr>
            <w:r>
              <w:t xml:space="preserve">Median :19.2</w:t>
            </w:r>
          </w:p>
        </w:tc>
        <w:tc>
          <w:p>
            <w:pPr>
              <w:pStyle w:val="Compact"/>
              <w:jc w:val="left"/>
            </w:pPr>
            <w:r>
              <w:t xml:space="preserve">NA</w:t>
            </w:r>
          </w:p>
        </w:tc>
        <w:tc>
          <w:p>
            <w:pPr>
              <w:pStyle w:val="Compact"/>
              <w:jc w:val="left"/>
            </w:pPr>
            <w:r>
              <w:t xml:space="preserve">Median :1.00</w:t>
            </w:r>
          </w:p>
        </w:tc>
      </w:tr>
      <w:tr>
        <w:tc>
          <w:p/>
        </w:tc>
        <w:tc>
          <w:p>
            <w:pPr>
              <w:pStyle w:val="Compact"/>
              <w:jc w:val="left"/>
            </w:pPr>
            <w:r>
              <w:t xml:space="preserve">Mean :18.8</w:t>
            </w:r>
          </w:p>
        </w:tc>
        <w:tc>
          <w:p>
            <w:pPr>
              <w:pStyle w:val="Compact"/>
              <w:jc w:val="left"/>
            </w:pPr>
            <w:r>
              <w:t xml:space="preserve">NA</w:t>
            </w:r>
          </w:p>
        </w:tc>
        <w:tc>
          <w:p>
            <w:pPr>
              <w:pStyle w:val="Compact"/>
              <w:jc w:val="left"/>
            </w:pPr>
            <w:r>
              <w:t xml:space="preserve">Mean :1.17</w:t>
            </w:r>
          </w:p>
        </w:tc>
      </w:tr>
      <w:tr>
        <w:tc>
          <w:p/>
        </w:tc>
        <w:tc>
          <w:p>
            <w:pPr>
              <w:pStyle w:val="Compact"/>
              <w:jc w:val="left"/>
            </w:pPr>
            <w:r>
              <w:t xml:space="preserve">3rd Qu.:25.3</w:t>
            </w:r>
          </w:p>
        </w:tc>
        <w:tc>
          <w:p>
            <w:pPr>
              <w:pStyle w:val="Compact"/>
              <w:jc w:val="left"/>
            </w:pPr>
            <w:r>
              <w:t xml:space="preserve">NA</w:t>
            </w:r>
          </w:p>
        </w:tc>
        <w:tc>
          <w:p>
            <w:pPr>
              <w:pStyle w:val="Compact"/>
              <w:jc w:val="left"/>
            </w:pPr>
            <w:r>
              <w:t xml:space="preserve">3rd Qu.:2.00</w:t>
            </w:r>
          </w:p>
        </w:tc>
      </w:tr>
      <w:tr>
        <w:tc>
          <w:p/>
        </w:tc>
        <w:tc>
          <w:p>
            <w:pPr>
              <w:pStyle w:val="Compact"/>
              <w:jc w:val="left"/>
            </w:pPr>
            <w:r>
              <w:t xml:space="preserve">Max. :33.9</w:t>
            </w:r>
          </w:p>
        </w:tc>
        <w:tc>
          <w:p>
            <w:pPr>
              <w:pStyle w:val="Compact"/>
              <w:jc w:val="left"/>
            </w:pPr>
            <w:r>
              <w:t xml:space="preserve">NA</w:t>
            </w:r>
          </w:p>
        </w:tc>
        <w:tc>
          <w:p>
            <w:pPr>
              <w:pStyle w:val="Compact"/>
              <w:jc w:val="left"/>
            </w:pPr>
            <w:r>
              <w:t xml:space="preserve">Max. :2.00</w:t>
            </w:r>
          </w:p>
        </w:tc>
      </w:tr>
    </w:tbl>
    <w:p>
      <w:r>
        <w:t xml:space="preserve">The figure below shows a box plot of the length of tooth by supplement and dosage. We observe that the higher the dosage the longer the tooth was. As the graph shows the median of the 2mg dosage was similar for both supplements.</w:t>
      </w:r>
    </w:p>
    <w:p/>
    <w:bookmarkStart w:id="26" w:name="analysis-of-the-data"/>
    <w:p>
      <w:pPr>
        <w:pStyle w:val="Heading2"/>
      </w:pPr>
      <w:r>
        <w:t xml:space="preserve">Analysis of the data</w:t>
      </w:r>
    </w:p>
    <w:bookmarkEnd w:id="26"/>
    <w:p>
      <w:r>
        <w:t xml:space="preserve">Below we calculate the mean, SD and 95% CI /(confidence interval/) for each dosage per supplement. We calculate the CI for the t-distribution of the data.The table below shows the summary where</w:t>
      </w:r>
      <w:r>
        <w:t xml:space="preserve"> </w:t>
      </w:r>
      <w:r>
        <w:rPr>
          <w:i/>
        </w:rPr>
        <w:t xml:space="preserve">mean</w:t>
      </w:r>
      <w:r>
        <w:t xml:space="preserve">,</w:t>
      </w:r>
      <w:r>
        <w:t xml:space="preserve"> </w:t>
      </w:r>
      <w:r>
        <w:rPr>
          <w:i/>
        </w:rPr>
        <w:t xml:space="preserve">count</w:t>
      </w:r>
      <w:r>
        <w:t xml:space="preserve"> </w:t>
      </w:r>
      <w:r>
        <w:t xml:space="preserve">,</w:t>
      </w:r>
      <w:r>
        <w:t xml:space="preserve"> </w:t>
      </w:r>
      <w:r>
        <w:rPr>
          <w:i/>
        </w:rPr>
        <w:t xml:space="preserve">se</w:t>
      </w:r>
      <w:r>
        <w:t xml:space="preserve"> </w:t>
      </w:r>
      <w:r>
        <w:t xml:space="preserve">,</w:t>
      </w:r>
      <w:r>
        <w:t xml:space="preserve"> </w:t>
      </w:r>
      <w:r>
        <w:rPr>
          <w:i/>
        </w:rPr>
        <w:t xml:space="preserve">sd</w:t>
      </w:r>
      <w:r>
        <w:t xml:space="preserve"> </w:t>
      </w:r>
      <w:r>
        <w:t xml:space="preserve">and</w:t>
      </w:r>
      <w:r>
        <w:t xml:space="preserve"> </w:t>
      </w:r>
      <w:r>
        <w:rPr>
          <w:i/>
        </w:rPr>
        <w:t xml:space="preserve">ci</w:t>
      </w:r>
      <w:r>
        <w:t xml:space="preserve"> </w:t>
      </w:r>
      <w:r>
        <w:t xml:space="preserve">is the mean , count, standard error, standard deviation and the CI of tooth length respectively.</w:t>
      </w:r>
    </w:p>
    <w:tbl>
      <w:tblPr>
        <w:tblStyle w:val="TableNormal"/>
      </w:tblPr>
      <w:tblGrid/>
      <w:tr>
        <w:tc>
          <w:tcPr>
            <w:tcBorders>
              <w:bottom w:val="single"/>
            </w:tcBorders>
            <w:vAlign w:val="bottom"/>
          </w:tcPr>
          <w:p>
            <w:pPr>
              <w:pStyle w:val="Compact"/>
              <w:jc w:val="right"/>
            </w:pPr>
            <w:r>
              <w:t xml:space="preserve">dose</w:t>
            </w:r>
          </w:p>
        </w:tc>
        <w:tc>
          <w:tcPr>
            <w:tcBorders>
              <w:bottom w:val="single"/>
            </w:tcBorders>
            <w:vAlign w:val="bottom"/>
          </w:tcPr>
          <w:p>
            <w:pPr>
              <w:pStyle w:val="Compact"/>
              <w:jc w:val="left"/>
            </w:pPr>
            <w:r>
              <w:t xml:space="preserve">supp</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right"/>
            </w:pPr>
            <w:r>
              <w:t xml:space="preserve">0.5</w:t>
            </w:r>
          </w:p>
        </w:tc>
        <w:tc>
          <w:p>
            <w:pPr>
              <w:pStyle w:val="Compact"/>
              <w:jc w:val="left"/>
            </w:pPr>
            <w:r>
              <w:t xml:space="preserve">OJ</w:t>
            </w:r>
          </w:p>
        </w:tc>
        <w:tc>
          <w:p>
            <w:pPr>
              <w:pStyle w:val="Compact"/>
              <w:jc w:val="right"/>
            </w:pPr>
            <w:r>
              <w:t xml:space="preserve">10</w:t>
            </w:r>
          </w:p>
        </w:tc>
        <w:tc>
          <w:p>
            <w:pPr>
              <w:pStyle w:val="Compact"/>
              <w:jc w:val="right"/>
            </w:pPr>
            <w:r>
              <w:t xml:space="preserve">13.23</w:t>
            </w:r>
          </w:p>
        </w:tc>
        <w:tc>
          <w:p>
            <w:pPr>
              <w:pStyle w:val="Compact"/>
              <w:jc w:val="right"/>
            </w:pPr>
            <w:r>
              <w:t xml:space="preserve">4.460</w:t>
            </w:r>
          </w:p>
        </w:tc>
        <w:tc>
          <w:p>
            <w:pPr>
              <w:pStyle w:val="Compact"/>
              <w:jc w:val="right"/>
            </w:pPr>
            <w:r>
              <w:t xml:space="preserve">1.4103</w:t>
            </w:r>
          </w:p>
        </w:tc>
        <w:tc>
          <w:p>
            <w:pPr>
              <w:pStyle w:val="Compact"/>
              <w:jc w:val="right"/>
            </w:pPr>
            <w:r>
              <w:t xml:space="preserve">3.190</w:t>
            </w:r>
          </w:p>
        </w:tc>
      </w:tr>
      <w:tr>
        <w:tc>
          <w:p>
            <w:pPr>
              <w:pStyle w:val="Compact"/>
              <w:jc w:val="right"/>
            </w:pPr>
            <w:r>
              <w:t xml:space="preserve">0.5</w:t>
            </w:r>
          </w:p>
        </w:tc>
        <w:tc>
          <w:p>
            <w:pPr>
              <w:pStyle w:val="Compact"/>
              <w:jc w:val="left"/>
            </w:pPr>
            <w:r>
              <w:t xml:space="preserve">VC</w:t>
            </w:r>
          </w:p>
        </w:tc>
        <w:tc>
          <w:p>
            <w:pPr>
              <w:pStyle w:val="Compact"/>
              <w:jc w:val="right"/>
            </w:pPr>
            <w:r>
              <w:t xml:space="preserve">10</w:t>
            </w:r>
          </w:p>
        </w:tc>
        <w:tc>
          <w:p>
            <w:pPr>
              <w:pStyle w:val="Compact"/>
              <w:jc w:val="right"/>
            </w:pPr>
            <w:r>
              <w:t xml:space="preserve">7.98</w:t>
            </w:r>
          </w:p>
        </w:tc>
        <w:tc>
          <w:p>
            <w:pPr>
              <w:pStyle w:val="Compact"/>
              <w:jc w:val="right"/>
            </w:pPr>
            <w:r>
              <w:t xml:space="preserve">2.747</w:t>
            </w:r>
          </w:p>
        </w:tc>
        <w:tc>
          <w:p>
            <w:pPr>
              <w:pStyle w:val="Compact"/>
              <w:jc w:val="right"/>
            </w:pPr>
            <w:r>
              <w:t xml:space="preserve">0.8686</w:t>
            </w:r>
          </w:p>
        </w:tc>
        <w:tc>
          <w:p>
            <w:pPr>
              <w:pStyle w:val="Compact"/>
              <w:jc w:val="right"/>
            </w:pPr>
            <w:r>
              <w:t xml:space="preserve">1.965</w:t>
            </w:r>
          </w:p>
        </w:tc>
      </w:tr>
      <w:tr>
        <w:tc>
          <w:p>
            <w:pPr>
              <w:pStyle w:val="Compact"/>
              <w:jc w:val="right"/>
            </w:pPr>
            <w:r>
              <w:t xml:space="preserve">1.0</w:t>
            </w:r>
          </w:p>
        </w:tc>
        <w:tc>
          <w:p>
            <w:pPr>
              <w:pStyle w:val="Compact"/>
              <w:jc w:val="left"/>
            </w:pPr>
            <w:r>
              <w:t xml:space="preserve">OJ</w:t>
            </w:r>
          </w:p>
        </w:tc>
        <w:tc>
          <w:p>
            <w:pPr>
              <w:pStyle w:val="Compact"/>
              <w:jc w:val="right"/>
            </w:pPr>
            <w:r>
              <w:t xml:space="preserve">10</w:t>
            </w:r>
          </w:p>
        </w:tc>
        <w:tc>
          <w:p>
            <w:pPr>
              <w:pStyle w:val="Compact"/>
              <w:jc w:val="right"/>
            </w:pPr>
            <w:r>
              <w:t xml:space="preserve">22.70</w:t>
            </w:r>
          </w:p>
        </w:tc>
        <w:tc>
          <w:p>
            <w:pPr>
              <w:pStyle w:val="Compact"/>
              <w:jc w:val="right"/>
            </w:pPr>
            <w:r>
              <w:t xml:space="preserve">3.911</w:t>
            </w:r>
          </w:p>
        </w:tc>
        <w:tc>
          <w:p>
            <w:pPr>
              <w:pStyle w:val="Compact"/>
              <w:jc w:val="right"/>
            </w:pPr>
            <w:r>
              <w:t xml:space="preserve">1.2368</w:t>
            </w:r>
          </w:p>
        </w:tc>
        <w:tc>
          <w:p>
            <w:pPr>
              <w:pStyle w:val="Compact"/>
              <w:jc w:val="right"/>
            </w:pPr>
            <w:r>
              <w:t xml:space="preserve">2.798</w:t>
            </w:r>
          </w:p>
        </w:tc>
      </w:tr>
      <w:tr>
        <w:tc>
          <w:p>
            <w:pPr>
              <w:pStyle w:val="Compact"/>
              <w:jc w:val="right"/>
            </w:pPr>
            <w:r>
              <w:t xml:space="preserve">1.0</w:t>
            </w:r>
          </w:p>
        </w:tc>
        <w:tc>
          <w:p>
            <w:pPr>
              <w:pStyle w:val="Compact"/>
              <w:jc w:val="left"/>
            </w:pPr>
            <w:r>
              <w:t xml:space="preserve">VC</w:t>
            </w:r>
          </w:p>
        </w:tc>
        <w:tc>
          <w:p>
            <w:pPr>
              <w:pStyle w:val="Compact"/>
              <w:jc w:val="right"/>
            </w:pPr>
            <w:r>
              <w:t xml:space="preserve">10</w:t>
            </w:r>
          </w:p>
        </w:tc>
        <w:tc>
          <w:p>
            <w:pPr>
              <w:pStyle w:val="Compact"/>
              <w:jc w:val="right"/>
            </w:pPr>
            <w:r>
              <w:t xml:space="preserve">16.77</w:t>
            </w:r>
          </w:p>
        </w:tc>
        <w:tc>
          <w:p>
            <w:pPr>
              <w:pStyle w:val="Compact"/>
              <w:jc w:val="right"/>
            </w:pPr>
            <w:r>
              <w:t xml:space="preserve">2.515</w:t>
            </w:r>
          </w:p>
        </w:tc>
        <w:tc>
          <w:p>
            <w:pPr>
              <w:pStyle w:val="Compact"/>
              <w:jc w:val="right"/>
            </w:pPr>
            <w:r>
              <w:t xml:space="preserve">0.7954</w:t>
            </w:r>
          </w:p>
        </w:tc>
        <w:tc>
          <w:p>
            <w:pPr>
              <w:pStyle w:val="Compact"/>
              <w:jc w:val="right"/>
            </w:pPr>
            <w:r>
              <w:t xml:space="preserve">1.799</w:t>
            </w:r>
          </w:p>
        </w:tc>
      </w:tr>
      <w:tr>
        <w:tc>
          <w:p>
            <w:pPr>
              <w:pStyle w:val="Compact"/>
              <w:jc w:val="right"/>
            </w:pPr>
            <w:r>
              <w:t xml:space="preserve">2.0</w:t>
            </w:r>
          </w:p>
        </w:tc>
        <w:tc>
          <w:p>
            <w:pPr>
              <w:pStyle w:val="Compact"/>
              <w:jc w:val="left"/>
            </w:pPr>
            <w:r>
              <w:t xml:space="preserve">OJ</w:t>
            </w:r>
          </w:p>
        </w:tc>
        <w:tc>
          <w:p>
            <w:pPr>
              <w:pStyle w:val="Compact"/>
              <w:jc w:val="right"/>
            </w:pPr>
            <w:r>
              <w:t xml:space="preserve">10</w:t>
            </w:r>
          </w:p>
        </w:tc>
        <w:tc>
          <w:p>
            <w:pPr>
              <w:pStyle w:val="Compact"/>
              <w:jc w:val="right"/>
            </w:pPr>
            <w:r>
              <w:t xml:space="preserve">26.06</w:t>
            </w:r>
          </w:p>
        </w:tc>
        <w:tc>
          <w:p>
            <w:pPr>
              <w:pStyle w:val="Compact"/>
              <w:jc w:val="right"/>
            </w:pPr>
            <w:r>
              <w:t xml:space="preserve">2.655</w:t>
            </w:r>
          </w:p>
        </w:tc>
        <w:tc>
          <w:p>
            <w:pPr>
              <w:pStyle w:val="Compact"/>
              <w:jc w:val="right"/>
            </w:pPr>
            <w:r>
              <w:t xml:space="preserve">0.8396</w:t>
            </w:r>
          </w:p>
        </w:tc>
        <w:tc>
          <w:p>
            <w:pPr>
              <w:pStyle w:val="Compact"/>
              <w:jc w:val="right"/>
            </w:pPr>
            <w:r>
              <w:t xml:space="preserve">1.899</w:t>
            </w:r>
          </w:p>
        </w:tc>
      </w:tr>
      <w:tr>
        <w:tc>
          <w:p>
            <w:pPr>
              <w:pStyle w:val="Compact"/>
              <w:jc w:val="right"/>
            </w:pPr>
            <w:r>
              <w:t xml:space="preserve">2.0</w:t>
            </w:r>
          </w:p>
        </w:tc>
        <w:tc>
          <w:p>
            <w:pPr>
              <w:pStyle w:val="Compact"/>
              <w:jc w:val="left"/>
            </w:pPr>
            <w:r>
              <w:t xml:space="preserve">VC</w:t>
            </w:r>
          </w:p>
        </w:tc>
        <w:tc>
          <w:p>
            <w:pPr>
              <w:pStyle w:val="Compact"/>
              <w:jc w:val="right"/>
            </w:pPr>
            <w:r>
              <w:t xml:space="preserve">10</w:t>
            </w:r>
          </w:p>
        </w:tc>
        <w:tc>
          <w:p>
            <w:pPr>
              <w:pStyle w:val="Compact"/>
              <w:jc w:val="right"/>
            </w:pPr>
            <w:r>
              <w:t xml:space="preserve">26.14</w:t>
            </w:r>
          </w:p>
        </w:tc>
        <w:tc>
          <w:p>
            <w:pPr>
              <w:pStyle w:val="Compact"/>
              <w:jc w:val="right"/>
            </w:pPr>
            <w:r>
              <w:t xml:space="preserve">4.798</w:t>
            </w:r>
          </w:p>
        </w:tc>
        <w:tc>
          <w:p>
            <w:pPr>
              <w:pStyle w:val="Compact"/>
              <w:jc w:val="right"/>
            </w:pPr>
            <w:r>
              <w:t xml:space="preserve">1.5172</w:t>
            </w:r>
          </w:p>
        </w:tc>
        <w:tc>
          <w:p>
            <w:pPr>
              <w:pStyle w:val="Compact"/>
              <w:jc w:val="right"/>
            </w:pPr>
            <w:r>
              <w:t xml:space="preserve">3.432</w:t>
            </w:r>
          </w:p>
        </w:tc>
      </w:tr>
    </w:tbl>
    <w:p>
      <w:r>
        <w:t xml:space="preserve">The graph below shows the length with the error bars or CI included. The bar graph has the the standard error shown for range shown for each dosage per supplement. The line graph shows the CI for each supplement. We observe there is an overlap of the CI for 2mg dosage. The other shows a reduction in the mean of tooth length for VC supplement.</w:t>
      </w:r>
    </w:p>
    <w:p>
      <w:pPr>
        <w:pStyle w:val="SourceCode"/>
      </w:pPr>
      <w:r>
        <w:rPr>
          <w:rStyle w:val="VerbatimChar"/>
        </w:rPr>
        <w:t xml:space="preserve">## ymax not defined: adjusting position using y instead</w:t>
      </w:r>
      <w:r>
        <w:br w:type="textWrapping"/>
      </w:r>
      <w:r>
        <w:rPr>
          <w:rStyle w:val="VerbatimChar"/>
        </w:rPr>
        <w:t xml:space="preserve">## ymax not defined: adjusting position using y instead</w:t>
      </w:r>
    </w:p>
    <w:p/>
    <w:p>
      <w:pPr>
        <w:pStyle w:val="SourceCode"/>
      </w:pPr>
      <w:r>
        <w:rPr>
          <w:rStyle w:val="VerbatimChar"/>
        </w:rPr>
        <w:t xml:space="preserve">## NULL</w:t>
      </w:r>
    </w:p>
    <w:p>
      <w:r>
        <w:t xml:space="preserve">Finaly we do a ttest to confirm whether there is a significance difference between the means of VC and OJ supplement per dosage.</w:t>
      </w:r>
    </w:p>
    <w:p>
      <w:r>
        <w:t xml:space="preserve">The results of the test for showed that there was no significance difference in tooth length for</w:t>
      </w:r>
      <w:r>
        <w:t xml:space="preserve"> </w:t>
      </w:r>
      <w:r>
        <w:rPr>
          <w:b/>
        </w:rPr>
        <w:t xml:space="preserve">orange juice(OJ)</w:t>
      </w:r>
      <w:r>
        <w:t xml:space="preserve"> </w:t>
      </w:r>
      <w:r>
        <w:t xml:space="preserve">and</w:t>
      </w:r>
      <w:r>
        <w:t xml:space="preserve"> </w:t>
      </w:r>
      <w:r>
        <w:rPr>
          <w:b/>
        </w:rPr>
        <w:t xml:space="preserve">ascorbic acid(VC)</w:t>
      </w:r>
      <w:r>
        <w:t xml:space="preserve"> </w:t>
      </w:r>
      <w:r>
        <w:t xml:space="preserve">supplements without considering the dosage. The</w:t>
      </w:r>
      <w:r>
        <w:t xml:space="preserve"> </w:t>
      </w:r>
      <w:r>
        <w:rPr>
          <w:i/>
        </w:rPr>
        <w:t xml:space="preserve">pvalue</w:t>
      </w:r>
      <w:r>
        <w:t xml:space="preserve"> </w:t>
      </w:r>
      <w:r>
        <w:t xml:space="preserve">was 0.0604 and the</w:t>
      </w:r>
      <w:r>
        <w:t xml:space="preserve"> </w:t>
      </w:r>
      <w:r>
        <w:rPr>
          <w:i/>
        </w:rPr>
        <w:t xml:space="preserve">95% confidence interval</w:t>
      </w:r>
      <w:r>
        <w:t xml:space="preserve"> </w:t>
      </w:r>
      <w:r>
        <w:t xml:space="preserve">was -0.167, 7.567 . We decided to do a test per dosage between the groups</w:t>
      </w:r>
    </w:p>
    <w:bookmarkStart w:id="27" w:name="mg-dosage-test"/>
    <w:p>
      <w:pPr>
        <w:pStyle w:val="Heading3"/>
      </w:pPr>
      <w:r>
        <w:rPr>
          <w:b/>
        </w:rPr>
        <w:t xml:space="preserve">0.5mg Dosage Test</w:t>
      </w:r>
    </w:p>
    <w:bookmarkEnd w:id="27"/>
    <w:p>
      <w:r>
        <w:t xml:space="preserve">There was a significance differnce between the means of the 0.5mg</w:t>
      </w:r>
      <w:r>
        <w:t xml:space="preserve"> </w:t>
      </w:r>
      <w:r>
        <w:rPr>
          <w:b/>
        </w:rPr>
        <w:t xml:space="preserve">OJ</w:t>
      </w:r>
      <w:r>
        <w:t xml:space="preserve"> </w:t>
      </w:r>
      <w:r>
        <w:t xml:space="preserve">and</w:t>
      </w:r>
      <w:r>
        <w:t xml:space="preserve"> </w:t>
      </w:r>
      <w:r>
        <w:rPr>
          <w:b/>
        </w:rPr>
        <w:t xml:space="preserve">VC</w:t>
      </w:r>
      <w:r>
        <w:t xml:space="preserve">. The reported</w:t>
      </w:r>
      <w:r>
        <w:t xml:space="preserve"> </w:t>
      </w:r>
      <w:r>
        <w:rPr>
          <w:i/>
        </w:rPr>
        <w:t xml:space="preserve">pvalue</w:t>
      </w:r>
      <w:r>
        <w:t xml:space="preserve"> </w:t>
      </w:r>
      <w:r>
        <w:t xml:space="preserve">was 0.0053 and the</w:t>
      </w:r>
      <w:r>
        <w:t xml:space="preserve"> </w:t>
      </w:r>
      <w:r>
        <w:rPr>
          <w:i/>
        </w:rPr>
        <w:t xml:space="preserve">95% confidence interval</w:t>
      </w:r>
      <w:r>
        <w:t xml:space="preserve"> </w:t>
      </w:r>
      <w:r>
        <w:t xml:space="preserve">was 1.7703, 8.7297. The 0.5mg VC dosage had a mean of 7.98 which was lower than the OJ dosage mean. This concludes that Orange Juice had a higher effect on the tooth length for the 0.5mg dosage compared to ascorbic acid.</w:t>
      </w:r>
    </w:p>
    <w:bookmarkStart w:id="28" w:name="mg-dosage-test-1"/>
    <w:p>
      <w:pPr>
        <w:pStyle w:val="Heading3"/>
      </w:pPr>
      <w:r>
        <w:rPr>
          <w:b/>
        </w:rPr>
        <w:t xml:space="preserve">1mg Dosage Test</w:t>
      </w:r>
    </w:p>
    <w:bookmarkEnd w:id="28"/>
    <w:p>
      <w:r>
        <w:t xml:space="preserve">There was a significance differnce between the means of the 1mg</w:t>
      </w:r>
      <w:r>
        <w:t xml:space="preserve"> </w:t>
      </w:r>
      <w:r>
        <w:rPr>
          <w:b/>
        </w:rPr>
        <w:t xml:space="preserve">OJ</w:t>
      </w:r>
      <w:r>
        <w:t xml:space="preserve"> </w:t>
      </w:r>
      <w:r>
        <w:t xml:space="preserve">and</w:t>
      </w:r>
      <w:r>
        <w:t xml:space="preserve"> </w:t>
      </w:r>
      <w:r>
        <w:rPr>
          <w:b/>
        </w:rPr>
        <w:t xml:space="preserve">VC</w:t>
      </w:r>
      <w:r>
        <w:t xml:space="preserve">. The reported</w:t>
      </w:r>
      <w:r>
        <w:t xml:space="preserve"> </w:t>
      </w:r>
      <w:r>
        <w:rPr>
          <w:i/>
        </w:rPr>
        <w:t xml:space="preserve">pvalue</w:t>
      </w:r>
      <w:r>
        <w:t xml:space="preserve"> </w:t>
      </w:r>
      <w:r>
        <w:t xml:space="preserve">was 7.8073 × 10</w:t>
      </w:r>
      <w:r>
        <w:t xml:space="preserve">-4</w:t>
      </w:r>
      <w:r>
        <w:t xml:space="preserve"> </w:t>
      </w:r>
      <w:r>
        <w:t xml:space="preserve">and the</w:t>
      </w:r>
      <w:r>
        <w:t xml:space="preserve"> </w:t>
      </w:r>
      <w:r>
        <w:rPr>
          <w:i/>
        </w:rPr>
        <w:t xml:space="preserve">95% confidence interval</w:t>
      </w:r>
      <w:r>
        <w:t xml:space="preserve"> </w:t>
      </w:r>
      <w:r>
        <w:t xml:space="preserve">was 2.8407, 9.0193. The 1mg OJ dosage had a mean of 22.7 which was higher than the VC dosage mean. This concludes that Orange Juice had a higher effect on the tooth length for the 0.5mg dosage compared to ascorbic acid.</w:t>
      </w:r>
    </w:p>
    <w:bookmarkStart w:id="29" w:name="mg-dosage-test-2"/>
    <w:p>
      <w:pPr>
        <w:pStyle w:val="Heading3"/>
      </w:pPr>
      <w:r>
        <w:rPr>
          <w:b/>
        </w:rPr>
        <w:t xml:space="preserve">2mg Dosage Test</w:t>
      </w:r>
    </w:p>
    <w:bookmarkEnd w:id="29"/>
    <w:p>
      <w:r>
        <w:t xml:space="preserve">There was no significance differnce between the means of the 2mg</w:t>
      </w:r>
      <w:r>
        <w:t xml:space="preserve"> </w:t>
      </w:r>
      <w:r>
        <w:rPr>
          <w:b/>
        </w:rPr>
        <w:t xml:space="preserve">OJ</w:t>
      </w:r>
      <w:r>
        <w:t xml:space="preserve"> </w:t>
      </w:r>
      <w:r>
        <w:t xml:space="preserve">and</w:t>
      </w:r>
      <w:r>
        <w:t xml:space="preserve"> </w:t>
      </w:r>
      <w:r>
        <w:rPr>
          <w:b/>
        </w:rPr>
        <w:t xml:space="preserve">VC</w:t>
      </w:r>
      <w:r>
        <w:t xml:space="preserve">. The reported</w:t>
      </w:r>
      <w:r>
        <w:t xml:space="preserve"> </w:t>
      </w:r>
      <w:r>
        <w:rPr>
          <w:i/>
        </w:rPr>
        <w:t xml:space="preserve">pvalue</w:t>
      </w:r>
      <w:r>
        <w:t xml:space="preserve"> </w:t>
      </w:r>
      <w:r>
        <w:t xml:space="preserve">was 0.9637 and the</w:t>
      </w:r>
      <w:r>
        <w:t xml:space="preserve"> </w:t>
      </w:r>
      <w:r>
        <w:rPr>
          <w:i/>
        </w:rPr>
        <w:t xml:space="preserve">95% confidence interval</w:t>
      </w:r>
      <w:r>
        <w:t xml:space="preserve"> </w:t>
      </w:r>
      <w:r>
        <w:t xml:space="preserve">was -3.723, 3.563. The 1mg reported mean for both supplements were 22.7, 16.77. This concludes there was no significance effect difference between the two supplements.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17ea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Kennedy Mwai</dc:creator>
</cp:coreProperties>
</file>