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1D3" w:rsidRDefault="009371D3" w:rsidP="009371D3">
      <w:pPr>
        <w:pStyle w:val="Titre1"/>
      </w:pPr>
      <w:r>
        <w:t>L’</w:t>
      </w:r>
      <w:proofErr w:type="spellStart"/>
      <w:r>
        <w:t>integration</w:t>
      </w:r>
      <w:proofErr w:type="spellEnd"/>
      <w:r>
        <w:t xml:space="preserve"> Web</w:t>
      </w:r>
    </w:p>
    <w:p w:rsidR="00742E9E" w:rsidRDefault="001B7DC4" w:rsidP="001B7DC4">
      <w:pPr>
        <w:pStyle w:val="Titre1"/>
      </w:pPr>
      <w:r>
        <w:t>Le cloud</w:t>
      </w:r>
    </w:p>
    <w:p w:rsidR="001B7DC4" w:rsidRDefault="001B7DC4" w:rsidP="001B7DC4">
      <w:r>
        <w:t>Les 5 caractéristiques du cloud selon le NIST (=</w:t>
      </w:r>
      <w:r w:rsidRPr="001B7DC4">
        <w:t>National</w:t>
      </w:r>
      <w:r>
        <w:rPr>
          <w:rFonts w:ascii="Arial" w:hAnsi="Arial" w:cs="Arial"/>
          <w:sz w:val="36"/>
          <w:szCs w:val="36"/>
          <w:shd w:val="clear" w:color="auto" w:fill="FFFFFF"/>
        </w:rPr>
        <w:t xml:space="preserve"> </w:t>
      </w:r>
      <w:r w:rsidRPr="001B7DC4">
        <w:t xml:space="preserve">Institute of Standards and </w:t>
      </w:r>
      <w:proofErr w:type="spellStart"/>
      <w:r w:rsidRPr="001B7DC4">
        <w:t>Technology</w:t>
      </w:r>
      <w:proofErr w:type="spellEnd"/>
      <w:r>
        <w:rPr>
          <w:rFonts w:ascii="Arial" w:hAnsi="Arial" w:cs="Arial"/>
          <w:sz w:val="36"/>
          <w:szCs w:val="36"/>
          <w:shd w:val="clear" w:color="auto" w:fill="FFFFFF"/>
        </w:rPr>
        <w:t>)</w:t>
      </w:r>
    </w:p>
    <w:p w:rsidR="001B7DC4" w:rsidRDefault="00183564" w:rsidP="001B7DC4">
      <w:hyperlink r:id="rId5" w:history="1">
        <w:r w:rsidR="001B7DC4">
          <w:rPr>
            <w:rStyle w:val="Lienhypertexte"/>
          </w:rPr>
          <w:t>https://www.bestpractices-si.fr/publications/veille/les-cinq-caracteristiques-du-cloud-selon-le-nist</w:t>
        </w:r>
      </w:hyperlink>
    </w:p>
    <w:p w:rsidR="001B7DC4" w:rsidRDefault="001B7DC4" w:rsidP="001B7DC4"/>
    <w:p w:rsidR="001B7DC4" w:rsidRDefault="001B7DC4" w:rsidP="001B7DC4">
      <w:proofErr w:type="gramStart"/>
      <w:r>
        <w:t>Les trois type</w:t>
      </w:r>
      <w:proofErr w:type="gramEnd"/>
      <w:r>
        <w:t xml:space="preserve"> de service :</w:t>
      </w:r>
    </w:p>
    <w:p w:rsidR="001B7DC4" w:rsidRDefault="001B7DC4" w:rsidP="001B7DC4">
      <w:r w:rsidRPr="001B7DC4">
        <w:rPr>
          <w:u w:val="single"/>
        </w:rPr>
        <w:t>Logiciel en tant que service (</w:t>
      </w:r>
      <w:proofErr w:type="spellStart"/>
      <w:r w:rsidRPr="001B7DC4">
        <w:rPr>
          <w:u w:val="single"/>
        </w:rPr>
        <w:t>SaaS</w:t>
      </w:r>
      <w:proofErr w:type="spellEnd"/>
      <w:r w:rsidRPr="001B7DC4">
        <w:rPr>
          <w:u w:val="single"/>
        </w:rPr>
        <w:t>)</w:t>
      </w:r>
      <w:r>
        <w:t xml:space="preserve"> : la capacité offerte au consommateur consiste à utiliser les applications du fournisseur s’exécutant sur une infrastructure cloud. Les applications sont accessibles à partir de divers périphériques clients via une interface client légère telle qu’un navigateur Web (par exemple, un e-mail basé sur le Web). Le consommateur n’a pas à gérer ou maîtriser l’infrastructure de cloud sous-jacente comprenant les réseaux, les serveurs, les systèmes d’exploitation, le stockage ou même les capacités d’application individuelles, à l’exception peut-être des paramètres de configuration d’application spécifiques à l’utilisateur.</w:t>
      </w:r>
    </w:p>
    <w:p w:rsidR="001B7DC4" w:rsidRDefault="001B7DC4" w:rsidP="001B7DC4">
      <w:r w:rsidRPr="001B7DC4">
        <w:rPr>
          <w:u w:val="single"/>
        </w:rPr>
        <w:t>Plate-forme en tant que service (</w:t>
      </w:r>
      <w:proofErr w:type="spellStart"/>
      <w:r w:rsidRPr="001B7DC4">
        <w:rPr>
          <w:u w:val="single"/>
        </w:rPr>
        <w:t>PaaS</w:t>
      </w:r>
      <w:proofErr w:type="spellEnd"/>
      <w:r w:rsidRPr="001B7DC4">
        <w:rPr>
          <w:u w:val="single"/>
        </w:rPr>
        <w:t xml:space="preserve">) </w:t>
      </w:r>
      <w:r>
        <w:t>: la capacité offerte au consommateur est de déployer sur l’infrastructure du cloud des applications créées ou acquises par le consommateur, programmées avec des langages et outils pris en charge par le fournisseur. Le consommateur n’a pas à gérer ou maîtriser l’infrastructure de cloud sous-jacente comprenant le réseau, les serveurs, les systèmes d’exploitation ou le stockage. Par contre, il garde le contrôle des applications déployées et éventuellement des configurations d’environnement d’hébergement d’applications.</w:t>
      </w:r>
    </w:p>
    <w:p w:rsidR="001B7DC4" w:rsidRDefault="001B7DC4" w:rsidP="001B7DC4">
      <w:r w:rsidRPr="001B7DC4">
        <w:rPr>
          <w:u w:val="single"/>
        </w:rPr>
        <w:t>Infrastructure en tant que service (</w:t>
      </w:r>
      <w:proofErr w:type="spellStart"/>
      <w:r w:rsidRPr="001B7DC4">
        <w:rPr>
          <w:u w:val="single"/>
        </w:rPr>
        <w:t>IaaS</w:t>
      </w:r>
      <w:proofErr w:type="spellEnd"/>
      <w:r w:rsidRPr="001B7DC4">
        <w:rPr>
          <w:u w:val="single"/>
        </w:rPr>
        <w:t xml:space="preserve">) </w:t>
      </w:r>
      <w:r>
        <w:t>: la capacité offerte au consommateur consiste à fournir une puissance de traitement, un espace de stockage, des réseaux et d’autres ressources informatiques fondamentales, en permettant au consommateur de déployer et d’exécuter des logiciels de son choix, notamment des systèmes d’exploitation et des applications. Le consommateur n’a pas à gérer ou maîtriser l’infrastructure de cloud sous-jacente, mais garde le contrôle des systèmes d’exploitation, du stockage, des applications déployées et, éventuellement dans une certaine mesure, de certains composants réseau (par exemple, les pare-feu hôtes).</w:t>
      </w:r>
    </w:p>
    <w:p w:rsidR="001B7DC4" w:rsidRDefault="001B7DC4" w:rsidP="001B7DC4"/>
    <w:p w:rsidR="001B7DC4" w:rsidRDefault="001B7DC4" w:rsidP="001B7DC4">
      <w:r>
        <w:t xml:space="preserve">Utiliser les infrastructure étrangères : attention aux données ! </w:t>
      </w:r>
      <w:proofErr w:type="gramStart"/>
      <w:r>
        <w:t>( Amériques</w:t>
      </w:r>
      <w:proofErr w:type="gramEnd"/>
      <w:r>
        <w:t xml:space="preserve"> et Chine)</w:t>
      </w:r>
    </w:p>
    <w:p w:rsidR="001B7DC4" w:rsidRDefault="00F1622D" w:rsidP="001B7DC4">
      <w:proofErr w:type="spellStart"/>
      <w:r>
        <w:t>Scalabilités</w:t>
      </w:r>
      <w:proofErr w:type="spellEnd"/>
      <w:r>
        <w:t xml:space="preserve"> horizontales et verticale :</w:t>
      </w:r>
    </w:p>
    <w:p w:rsidR="001B7DC4" w:rsidRDefault="00F1622D" w:rsidP="001B7DC4">
      <w:r>
        <w:t xml:space="preserve">Horizontale : service de </w:t>
      </w:r>
      <w:proofErr w:type="spellStart"/>
      <w:r>
        <w:t>rapartition</w:t>
      </w:r>
      <w:proofErr w:type="spellEnd"/>
      <w:r>
        <w:t xml:space="preserve"> de charge </w:t>
      </w:r>
      <w:proofErr w:type="gramStart"/>
      <w:r>
        <w:t>( micro</w:t>
      </w:r>
      <w:proofErr w:type="gramEnd"/>
      <w:r>
        <w:t xml:space="preserve"> service ) avec modes </w:t>
      </w:r>
      <w:proofErr w:type="spellStart"/>
      <w:r>
        <w:t>degradé</w:t>
      </w:r>
      <w:proofErr w:type="spellEnd"/>
    </w:p>
    <w:p w:rsidR="00F1622D" w:rsidRDefault="00F1622D" w:rsidP="001B7DC4">
      <w:r>
        <w:t>Vertical : Puissance et ressource du serveur</w:t>
      </w:r>
    </w:p>
    <w:p w:rsidR="00F12D06" w:rsidRDefault="00F12D06" w:rsidP="001B7DC4"/>
    <w:p w:rsidR="00F12D06" w:rsidRDefault="00F12D06" w:rsidP="001B7DC4">
      <w:r>
        <w:t xml:space="preserve">Cloud Native Interactive </w:t>
      </w:r>
      <w:proofErr w:type="spellStart"/>
      <w:r>
        <w:t>Lanscape</w:t>
      </w:r>
      <w:proofErr w:type="spellEnd"/>
      <w:r>
        <w:t xml:space="preserve"> : de la </w:t>
      </w:r>
      <w:proofErr w:type="spellStart"/>
      <w:r>
        <w:t>Computing</w:t>
      </w:r>
      <w:proofErr w:type="spellEnd"/>
      <w:r>
        <w:t xml:space="preserve"> Native </w:t>
      </w:r>
      <w:proofErr w:type="spellStart"/>
      <w:r>
        <w:t>Computing</w:t>
      </w:r>
      <w:proofErr w:type="spellEnd"/>
      <w:r>
        <w:t xml:space="preserve"> Fondation (CNCF)</w:t>
      </w:r>
    </w:p>
    <w:p w:rsidR="00F12D06" w:rsidRDefault="00183564" w:rsidP="001B7DC4">
      <w:hyperlink r:id="rId6" w:history="1">
        <w:r w:rsidR="00F12D06">
          <w:rPr>
            <w:rStyle w:val="Lienhypertexte"/>
          </w:rPr>
          <w:t>https://landscape.cncf.io/</w:t>
        </w:r>
      </w:hyperlink>
      <w:r w:rsidR="00F12D06">
        <w:t xml:space="preserve"> </w:t>
      </w:r>
    </w:p>
    <w:p w:rsidR="00F12D06" w:rsidRDefault="00F12D06" w:rsidP="001B7DC4"/>
    <w:p w:rsidR="00F12D06" w:rsidRDefault="00F12D06" w:rsidP="001B7DC4">
      <w:proofErr w:type="spellStart"/>
      <w:r>
        <w:lastRenderedPageBreak/>
        <w:t>Terraform</w:t>
      </w:r>
      <w:proofErr w:type="spellEnd"/>
      <w:r>
        <w:t xml:space="preserve"> : déployer une archi </w:t>
      </w:r>
      <w:proofErr w:type="spellStart"/>
      <w:r>
        <w:t>complete</w:t>
      </w:r>
      <w:proofErr w:type="spellEnd"/>
      <w:r>
        <w:t xml:space="preserve"> simple avec un fichier </w:t>
      </w:r>
      <w:hyperlink r:id="rId7" w:history="1">
        <w:r>
          <w:rPr>
            <w:rStyle w:val="Lienhypertexte"/>
          </w:rPr>
          <w:t>https://landscape.cncf.io/category=automation-configuration&amp;grouping=category&amp;selected=terraform</w:t>
        </w:r>
      </w:hyperlink>
    </w:p>
    <w:p w:rsidR="001B57E9" w:rsidRDefault="001B57E9" w:rsidP="001B7DC4">
      <w:r>
        <w:t xml:space="preserve">Intégration continue : Jenkins, </w:t>
      </w:r>
      <w:proofErr w:type="spellStart"/>
      <w:r>
        <w:t>GitLab</w:t>
      </w:r>
      <w:proofErr w:type="spellEnd"/>
      <w:r>
        <w:t>…</w:t>
      </w:r>
    </w:p>
    <w:p w:rsidR="001B57E9" w:rsidRDefault="001B57E9" w:rsidP="001B7DC4"/>
    <w:p w:rsidR="003756F4" w:rsidRDefault="003756F4" w:rsidP="001B7DC4">
      <w:r>
        <w:t>Déploiement continues : ex java mettre la recette (.</w:t>
      </w:r>
      <w:proofErr w:type="spellStart"/>
      <w:r>
        <w:t>war</w:t>
      </w:r>
      <w:proofErr w:type="spellEnd"/>
      <w:r>
        <w:t xml:space="preserve">/jar) avec </w:t>
      </w:r>
      <w:proofErr w:type="spellStart"/>
      <w:r>
        <w:t>SonarCub</w:t>
      </w:r>
      <w:proofErr w:type="spellEnd"/>
      <w:r>
        <w:t xml:space="preserve"> qui sera un artefact sur une plateforme que les admin système iront chercher</w:t>
      </w:r>
    </w:p>
    <w:p w:rsidR="009371D3" w:rsidRDefault="009371D3" w:rsidP="001B7DC4"/>
    <w:p w:rsidR="009371D3" w:rsidRDefault="009371D3" w:rsidP="001B7DC4"/>
    <w:p w:rsidR="00F12D06" w:rsidRDefault="009371D3" w:rsidP="001B7DC4">
      <w:r>
        <w:t xml:space="preserve"> Lint : outils de </w:t>
      </w:r>
      <w:proofErr w:type="spellStart"/>
      <w:r>
        <w:t>verification</w:t>
      </w:r>
      <w:proofErr w:type="spellEnd"/>
      <w:r>
        <w:t xml:space="preserve"> syntaxique de fichiers de config</w:t>
      </w:r>
    </w:p>
    <w:p w:rsidR="009371D3" w:rsidRDefault="009371D3" w:rsidP="001B7DC4">
      <w:proofErr w:type="spellStart"/>
      <w:r>
        <w:t>Hadolint</w:t>
      </w:r>
      <w:proofErr w:type="spellEnd"/>
      <w:r>
        <w:t xml:space="preserve"> : Outil de </w:t>
      </w:r>
      <w:proofErr w:type="spellStart"/>
      <w:r>
        <w:t>verification</w:t>
      </w:r>
      <w:proofErr w:type="spellEnd"/>
      <w:r>
        <w:t xml:space="preserve"> syntaxique des docker files</w:t>
      </w:r>
    </w:p>
    <w:p w:rsidR="009371D3" w:rsidRDefault="009371D3" w:rsidP="001B7DC4">
      <w:proofErr w:type="spellStart"/>
      <w:r>
        <w:t>Trivy</w:t>
      </w:r>
      <w:proofErr w:type="spellEnd"/>
      <w:r>
        <w:t> : projet open source d’</w:t>
      </w:r>
      <w:proofErr w:type="spellStart"/>
      <w:r>
        <w:t>AquaSecurity</w:t>
      </w:r>
      <w:proofErr w:type="spellEnd"/>
      <w:r>
        <w:t xml:space="preserve"> qui scanne des </w:t>
      </w:r>
      <w:proofErr w:type="spellStart"/>
      <w:r>
        <w:t>contenaire</w:t>
      </w:r>
      <w:proofErr w:type="spellEnd"/>
      <w:r>
        <w:t xml:space="preserve"> </w:t>
      </w:r>
      <w:proofErr w:type="gramStart"/>
      <w:r>
        <w:t>( docker</w:t>
      </w:r>
      <w:proofErr w:type="gramEnd"/>
      <w:r>
        <w:t xml:space="preserve"> ou autre ) a la recherche de </w:t>
      </w:r>
      <w:proofErr w:type="spellStart"/>
      <w:r>
        <w:t>vulnerabilité</w:t>
      </w:r>
      <w:proofErr w:type="spellEnd"/>
    </w:p>
    <w:p w:rsidR="00351EC9" w:rsidRDefault="00351EC9" w:rsidP="00351EC9">
      <w:proofErr w:type="spellStart"/>
      <w:r>
        <w:t>Jib</w:t>
      </w:r>
      <w:proofErr w:type="spellEnd"/>
      <w:r>
        <w:t xml:space="preserve"> : simple configuration dans le pom.xml fait par </w:t>
      </w:r>
      <w:proofErr w:type="spellStart"/>
      <w:r>
        <w:t>google</w:t>
      </w:r>
      <w:proofErr w:type="spellEnd"/>
      <w:r>
        <w:t xml:space="preserve"> en </w:t>
      </w:r>
      <w:proofErr w:type="spellStart"/>
      <w:r>
        <w:t>opensource</w:t>
      </w:r>
      <w:proofErr w:type="spellEnd"/>
      <w:r>
        <w:t xml:space="preserve"> </w:t>
      </w:r>
      <w:proofErr w:type="spellStart"/>
      <w:r>
        <w:t>a</w:t>
      </w:r>
      <w:proofErr w:type="spellEnd"/>
      <w:r>
        <w:t xml:space="preserve"> </w:t>
      </w:r>
      <w:proofErr w:type="spellStart"/>
      <w:r>
        <w:t>checker</w:t>
      </w:r>
      <w:proofErr w:type="spellEnd"/>
    </w:p>
    <w:p w:rsidR="00351EC9" w:rsidRDefault="00351EC9" w:rsidP="00351EC9">
      <w:r>
        <w:rPr>
          <w:noProof/>
          <w:lang w:eastAsia="fr-FR"/>
        </w:rPr>
        <w:drawing>
          <wp:inline distT="0" distB="0" distL="0" distR="0" wp14:anchorId="2A049494" wp14:editId="0CC4AD1D">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rsidR="00351EC9" w:rsidRDefault="00351EC9" w:rsidP="00351EC9">
      <w:pPr>
        <w:pStyle w:val="Paragraphedeliste"/>
        <w:numPr>
          <w:ilvl w:val="0"/>
          <w:numId w:val="1"/>
        </w:numPr>
      </w:pPr>
      <w:r>
        <w:t xml:space="preserve">A l’action de package de </w:t>
      </w:r>
      <w:proofErr w:type="spellStart"/>
      <w:proofErr w:type="gramStart"/>
      <w:r>
        <w:t>maven</w:t>
      </w:r>
      <w:proofErr w:type="spellEnd"/>
      <w:r>
        <w:t> ,</w:t>
      </w:r>
      <w:proofErr w:type="gramEnd"/>
      <w:r>
        <w:t xml:space="preserve"> va non seulement générer le .jar/.</w:t>
      </w:r>
      <w:proofErr w:type="spellStart"/>
      <w:r>
        <w:t>war</w:t>
      </w:r>
      <w:proofErr w:type="spellEnd"/>
      <w:r>
        <w:t xml:space="preserve"> dans un dossier </w:t>
      </w:r>
      <w:proofErr w:type="spellStart"/>
      <w:r>
        <w:t>target</w:t>
      </w:r>
      <w:proofErr w:type="spellEnd"/>
      <w:r>
        <w:t xml:space="preserve"> mais aussi le tagger avec le nom souhaité et le </w:t>
      </w:r>
      <w:proofErr w:type="spellStart"/>
      <w:r>
        <w:t>dockerisé</w:t>
      </w:r>
      <w:proofErr w:type="spellEnd"/>
      <w:r>
        <w:t>, plus besoin de docker file .</w:t>
      </w:r>
    </w:p>
    <w:p w:rsidR="006A6688" w:rsidRDefault="006A6688" w:rsidP="001B7DC4"/>
    <w:p w:rsidR="006A6688" w:rsidRDefault="006A6688" w:rsidP="001B7DC4">
      <w:proofErr w:type="spellStart"/>
      <w:r>
        <w:t>HashiCorp</w:t>
      </w:r>
      <w:proofErr w:type="spellEnd"/>
      <w:r>
        <w:t xml:space="preserve"> : </w:t>
      </w:r>
      <w:proofErr w:type="spellStart"/>
      <w:r w:rsidR="005530DD">
        <w:t>Infrastucture</w:t>
      </w:r>
      <w:proofErr w:type="spellEnd"/>
      <w:r w:rsidR="005530DD">
        <w:t xml:space="preserve"> as code comme </w:t>
      </w:r>
      <w:proofErr w:type="spellStart"/>
      <w:r w:rsidR="005530DD">
        <w:t>TerraForm</w:t>
      </w:r>
      <w:proofErr w:type="spellEnd"/>
      <w:r w:rsidR="005530DD">
        <w:t xml:space="preserve"> par exemple : permet de coder une architecture système pour notre projet </w:t>
      </w:r>
    </w:p>
    <w:p w:rsidR="00B94D20" w:rsidRDefault="00B94D20" w:rsidP="001B7DC4"/>
    <w:p w:rsidR="00B94D20" w:rsidRDefault="004B00C2" w:rsidP="001B7DC4">
      <w:r>
        <w:rPr>
          <w:noProof/>
          <w:lang w:eastAsia="fr-FR"/>
        </w:rPr>
        <w:lastRenderedPageBreak/>
        <w:drawing>
          <wp:inline distT="0" distB="0" distL="0" distR="0" wp14:anchorId="04C239E3" wp14:editId="2FA9B084">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B94D20" w:rsidRDefault="00B94D20" w:rsidP="001B7DC4">
      <w:proofErr w:type="spellStart"/>
      <w:r>
        <w:t>TerraForm</w:t>
      </w:r>
      <w:proofErr w:type="spellEnd"/>
      <w:r>
        <w:t xml:space="preserve"> + </w:t>
      </w:r>
      <w:proofErr w:type="spellStart"/>
      <w:r>
        <w:t>Ansible</w:t>
      </w:r>
      <w:proofErr w:type="spellEnd"/>
      <w:r w:rsidR="00E54D2D">
        <w:t xml:space="preserve"> (avec un artefact</w:t>
      </w:r>
      <w:r>
        <w:t xml:space="preserve"> </w:t>
      </w:r>
      <w:r w:rsidR="00E54D2D">
        <w:t xml:space="preserve">ou </w:t>
      </w:r>
      <w:proofErr w:type="spellStart"/>
      <w:r w:rsidR="00E54D2D">
        <w:t>ssh</w:t>
      </w:r>
      <w:proofErr w:type="spellEnd"/>
      <w:r w:rsidR="00E54D2D">
        <w:t xml:space="preserve">) </w:t>
      </w:r>
      <w:r>
        <w:t xml:space="preserve">pour un </w:t>
      </w:r>
      <w:proofErr w:type="spellStart"/>
      <w:r>
        <w:t>deploiement</w:t>
      </w:r>
      <w:proofErr w:type="spellEnd"/>
      <w:r>
        <w:t xml:space="preserve"> </w:t>
      </w:r>
      <w:r w:rsidR="00E54D2D">
        <w:t xml:space="preserve">continue complet (les deux se </w:t>
      </w:r>
      <w:proofErr w:type="spellStart"/>
      <w:r w:rsidR="00E54D2D">
        <w:t>completent</w:t>
      </w:r>
      <w:proofErr w:type="spellEnd"/>
      <w:r w:rsidR="00E54D2D">
        <w:t xml:space="preserve">) </w:t>
      </w:r>
    </w:p>
    <w:p w:rsidR="00B94D20" w:rsidRDefault="00B94D20" w:rsidP="001B7DC4">
      <w:r>
        <w:t xml:space="preserve">Concurrent de </w:t>
      </w:r>
      <w:proofErr w:type="spellStart"/>
      <w:r>
        <w:t>TerraForm</w:t>
      </w:r>
      <w:proofErr w:type="spellEnd"/>
      <w:r>
        <w:t xml:space="preserve"> = </w:t>
      </w:r>
      <w:proofErr w:type="spellStart"/>
      <w:r>
        <w:t>Pulumi</w:t>
      </w:r>
      <w:proofErr w:type="spellEnd"/>
    </w:p>
    <w:p w:rsidR="00E54D2D" w:rsidRDefault="00E54D2D" w:rsidP="001B7DC4"/>
    <w:p w:rsidR="00B94D20" w:rsidRDefault="00B94D20" w:rsidP="001B7DC4">
      <w:proofErr w:type="spellStart"/>
      <w:r>
        <w:t>Rencher</w:t>
      </w:r>
      <w:proofErr w:type="spellEnd"/>
      <w:r>
        <w:t> : manager de poly</w:t>
      </w:r>
      <w:r w:rsidR="004B00C2">
        <w:t xml:space="preserve"> </w:t>
      </w:r>
      <w:r>
        <w:t>provider</w:t>
      </w:r>
      <w:r w:rsidR="004B00C2">
        <w:t>/</w:t>
      </w:r>
      <w:proofErr w:type="spellStart"/>
      <w:r w:rsidR="004B00C2">
        <w:t>Operator</w:t>
      </w:r>
      <w:proofErr w:type="spellEnd"/>
    </w:p>
    <w:p w:rsidR="00351EC9" w:rsidRDefault="00351EC9" w:rsidP="001B7DC4"/>
    <w:p w:rsidR="00351EC9" w:rsidRDefault="00351EC9" w:rsidP="001B7DC4">
      <w:bookmarkStart w:id="0" w:name="_GoBack"/>
      <w:bookmarkEnd w:id="0"/>
    </w:p>
    <w:p w:rsidR="004B00C2" w:rsidRDefault="004B00C2" w:rsidP="001B7DC4">
      <w:r>
        <w:t xml:space="preserve">CD : Continue </w:t>
      </w:r>
      <w:proofErr w:type="spellStart"/>
      <w:r>
        <w:t>Deploiment</w:t>
      </w:r>
      <w:proofErr w:type="spellEnd"/>
    </w:p>
    <w:p w:rsidR="004B00C2" w:rsidRDefault="004B00C2" w:rsidP="001B7DC4">
      <w:r>
        <w:t xml:space="preserve">CI : Continue </w:t>
      </w:r>
      <w:proofErr w:type="spellStart"/>
      <w:r>
        <w:t>Integration</w:t>
      </w:r>
      <w:proofErr w:type="spellEnd"/>
    </w:p>
    <w:p w:rsidR="004B00C2" w:rsidRPr="001B7DC4" w:rsidRDefault="004B00C2" w:rsidP="001B7DC4">
      <w:r>
        <w:t xml:space="preserve">AC : </w:t>
      </w:r>
      <w:proofErr w:type="spellStart"/>
      <w:r>
        <w:t>Amelioration</w:t>
      </w:r>
      <w:proofErr w:type="spellEnd"/>
      <w:r>
        <w:t xml:space="preserve"> continue</w:t>
      </w:r>
    </w:p>
    <w:sectPr w:rsidR="004B00C2" w:rsidRPr="001B7D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828E9"/>
    <w:multiLevelType w:val="hybridMultilevel"/>
    <w:tmpl w:val="6BD2BEA4"/>
    <w:lvl w:ilvl="0" w:tplc="428E8C56">
      <w:numFmt w:val="bullet"/>
      <w:lvlText w:val=""/>
      <w:lvlJc w:val="left"/>
      <w:pPr>
        <w:ind w:left="1068" w:hanging="360"/>
      </w:pPr>
      <w:rPr>
        <w:rFonts w:ascii="Wingdings" w:eastAsiaTheme="minorHAnsi"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C4"/>
    <w:rsid w:val="00183564"/>
    <w:rsid w:val="001B57E9"/>
    <w:rsid w:val="001B7DC4"/>
    <w:rsid w:val="00351EC9"/>
    <w:rsid w:val="003756F4"/>
    <w:rsid w:val="004B00C2"/>
    <w:rsid w:val="005530DD"/>
    <w:rsid w:val="00685E5E"/>
    <w:rsid w:val="006A6688"/>
    <w:rsid w:val="00740017"/>
    <w:rsid w:val="0086030E"/>
    <w:rsid w:val="009371D3"/>
    <w:rsid w:val="00B94D20"/>
    <w:rsid w:val="00E54D2D"/>
    <w:rsid w:val="00F12D06"/>
    <w:rsid w:val="00F16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2754B"/>
  <w15:chartTrackingRefBased/>
  <w15:docId w15:val="{8B6F4B4A-8B41-4B93-9D54-ED069BBB7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B7D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371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7DC4"/>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semiHidden/>
    <w:unhideWhenUsed/>
    <w:rsid w:val="001B7DC4"/>
    <w:rPr>
      <w:color w:val="0000FF"/>
      <w:u w:val="single"/>
    </w:rPr>
  </w:style>
  <w:style w:type="character" w:customStyle="1" w:styleId="Titre2Car">
    <w:name w:val="Titre 2 Car"/>
    <w:basedOn w:val="Policepardfaut"/>
    <w:link w:val="Titre2"/>
    <w:uiPriority w:val="9"/>
    <w:rsid w:val="009371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54D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00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landscape.cncf.io/category=automation-configuration&amp;grouping=category&amp;selected=terrafor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andscape.cncf.io/" TargetMode="External"/><Relationship Id="rId11" Type="http://schemas.openxmlformats.org/officeDocument/2006/relationships/theme" Target="theme/theme1.xml"/><Relationship Id="rId5" Type="http://schemas.openxmlformats.org/officeDocument/2006/relationships/hyperlink" Target="https://www.bestpractices-si.fr/publications/veille/les-cinq-caracteristiques-du-cloud-selon-le-ni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1105</TotalTime>
  <Pages>3</Pages>
  <Words>619</Words>
  <Characters>3407</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2</cp:revision>
  <dcterms:created xsi:type="dcterms:W3CDTF">2020-03-16T08:44:00Z</dcterms:created>
  <dcterms:modified xsi:type="dcterms:W3CDTF">2020-03-18T01:44:00Z</dcterms:modified>
</cp:coreProperties>
</file>