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31E1E6C0" w:rsidP="31E1E6C0" w:rsidRDefault="31E1E6C0" w14:paraId="3293E559" w14:textId="17212E99">
      <w:pPr>
        <w:pStyle w:val="a9"/>
        <w:rPr>
          <w:rFonts w:ascii="ＭＳ 明朝" w:hAnsi="ＭＳ 明朝" w:eastAsia="ＭＳ 明朝"/>
          <w:sz w:val="22"/>
          <w:szCs w:val="22"/>
        </w:rPr>
      </w:pPr>
      <w:proofErr w:type="gramStart"/>
      <w:r w:rsidRPr="31E1E6C0" w:rsidR="31E1E6C0">
        <w:rPr>
          <w:rFonts w:ascii="ＭＳ 明朝" w:hAnsi="ＭＳ 明朝" w:eastAsia="ＭＳ 明朝"/>
          <w:sz w:val="22"/>
          <w:szCs w:val="22"/>
        </w:rPr>
        <w:t>アカデミックライティング</w:t>
      </w:r>
      <w:proofErr w:type="gramEnd"/>
      <w:r w:rsidRPr="31E1E6C0" w:rsidR="31E1E6C0">
        <w:rPr>
          <w:rFonts w:ascii="ＭＳ 明朝" w:hAnsi="ＭＳ 明朝" w:eastAsia="ＭＳ 明朝"/>
          <w:sz w:val="22"/>
          <w:szCs w:val="22"/>
        </w:rPr>
        <w:t>調査</w:t>
      </w:r>
      <w:proofErr w:type="gramStart"/>
      <w:r w:rsidRPr="31E1E6C0" w:rsidR="31E1E6C0">
        <w:rPr>
          <w:rFonts w:ascii="ＭＳ 明朝" w:hAnsi="ＭＳ 明朝" w:eastAsia="ＭＳ 明朝"/>
          <w:sz w:val="22"/>
          <w:szCs w:val="22"/>
        </w:rPr>
        <w:t>レポート</w:t>
      </w:r>
      <w:proofErr w:type="gramEnd"/>
      <w:r w:rsidRPr="31E1E6C0" w:rsidR="31E1E6C0">
        <w:rPr>
          <w:rFonts w:ascii="ＭＳ 明朝" w:hAnsi="ＭＳ 明朝" w:eastAsia="ＭＳ 明朝"/>
          <w:sz w:val="22"/>
          <w:szCs w:val="22"/>
        </w:rPr>
        <w:t>「草稿」</w:t>
      </w:r>
    </w:p>
    <w:p w:rsidR="31E1E6C0" w:rsidP="31E1E6C0" w:rsidRDefault="31E1E6C0" w14:paraId="33C3F0D6" w14:textId="78BA2825">
      <w:pPr>
        <w:pStyle w:val="a"/>
      </w:pPr>
    </w:p>
    <w:p w:rsidR="31E1E6C0" w:rsidP="31E1E6C0" w:rsidRDefault="31E1E6C0" w14:paraId="3F4EE0AF" w14:textId="7C6CE58F">
      <w:pPr>
        <w:pStyle w:val="a"/>
        <w:jc w:val="center"/>
        <w:rPr>
          <w:rFonts w:ascii="ＭＳ 明朝" w:hAnsi="ＭＳ 明朝" w:eastAsia="ＭＳ 明朝"/>
          <w:b w:val="1"/>
          <w:bCs w:val="1"/>
          <w:sz w:val="28"/>
          <w:szCs w:val="28"/>
        </w:rPr>
      </w:pPr>
      <w:proofErr w:type="gramStart"/>
      <w:r w:rsidRPr="31E1E6C0" w:rsidR="31E1E6C0">
        <w:rPr>
          <w:rFonts w:ascii="ＭＳ 明朝" w:hAnsi="ＭＳ 明朝" w:eastAsia="ＭＳ 明朝"/>
          <w:b w:val="1"/>
          <w:bCs w:val="1"/>
          <w:sz w:val="28"/>
          <w:szCs w:val="28"/>
        </w:rPr>
        <w:t>タイトル</w:t>
      </w:r>
      <w:proofErr w:type="gramEnd"/>
    </w:p>
    <w:p w:rsidR="31E1E6C0" w:rsidP="31E1E6C0" w:rsidRDefault="31E1E6C0" w14:paraId="49124C66" w14:textId="74328E9F">
      <w:pPr>
        <w:pStyle w:val="a"/>
        <w:jc w:val="center"/>
      </w:pPr>
    </w:p>
    <w:p xmlns:wp14="http://schemas.microsoft.com/office/word/2010/wordml" w:rsidR="00E337C2" w:rsidP="00E337C2" w:rsidRDefault="0064457E" w14:paraId="0A99B0FE" wp14:textId="77777777">
      <w:pPr>
        <w:jc w:val="center"/>
        <w:rPr>
          <w:rFonts w:ascii="Century" w:hAnsi="Century" w:eastAsia="ＭＳ 明朝"/>
          <w:sz w:val="22"/>
        </w:rPr>
      </w:pPr>
      <w:r>
        <w:rPr>
          <w:rFonts w:ascii="Century" w:hAnsi="Century" w:eastAsia="ＭＳ 明朝"/>
          <w:sz w:val="22"/>
        </w:rPr>
        <w:t>2EP1-59</w:t>
      </w:r>
      <w:r>
        <w:rPr>
          <w:rFonts w:hint="eastAsia" w:ascii="Century" w:hAnsi="Century" w:eastAsia="ＭＳ 明朝"/>
          <w:sz w:val="22"/>
        </w:rPr>
        <w:t xml:space="preserve">　宮澤　瑛至</w:t>
      </w:r>
    </w:p>
    <w:p xmlns:wp14="http://schemas.microsoft.com/office/word/2010/wordml" w:rsidR="0064457E" w:rsidP="00E337C2" w:rsidRDefault="0064457E" w14:paraId="28AB3F7C" wp14:textId="77777777">
      <w:pPr>
        <w:jc w:val="center"/>
        <w:rPr>
          <w:rFonts w:ascii="Century" w:hAnsi="Century" w:eastAsia="ＭＳ 明朝"/>
          <w:sz w:val="22"/>
        </w:rPr>
      </w:pPr>
      <w:r>
        <w:rPr>
          <w:rFonts w:hint="eastAsia" w:ascii="Century" w:hAnsi="Century" w:eastAsia="ＭＳ 明朝"/>
          <w:sz w:val="22"/>
        </w:rPr>
        <w:t>平成</w:t>
      </w:r>
      <w:r>
        <w:rPr>
          <w:rFonts w:hint="eastAsia" w:ascii="Century" w:hAnsi="Century" w:eastAsia="ＭＳ 明朝"/>
          <w:sz w:val="22"/>
        </w:rPr>
        <w:t>31</w:t>
      </w:r>
      <w:r>
        <w:rPr>
          <w:rFonts w:hint="eastAsia" w:ascii="Century" w:hAnsi="Century" w:eastAsia="ＭＳ 明朝"/>
          <w:sz w:val="22"/>
        </w:rPr>
        <w:t>年</w:t>
      </w:r>
      <w:r>
        <w:rPr>
          <w:rFonts w:hint="eastAsia" w:ascii="Century" w:hAnsi="Century" w:eastAsia="ＭＳ 明朝"/>
          <w:sz w:val="22"/>
        </w:rPr>
        <w:t>5</w:t>
      </w:r>
      <w:r>
        <w:rPr>
          <w:rFonts w:hint="eastAsia" w:ascii="Century" w:hAnsi="Century" w:eastAsia="ＭＳ 明朝"/>
          <w:sz w:val="22"/>
        </w:rPr>
        <w:t>月</w:t>
      </w:r>
      <w:r>
        <w:rPr>
          <w:rFonts w:hint="eastAsia" w:ascii="Century" w:hAnsi="Century" w:eastAsia="ＭＳ 明朝"/>
          <w:sz w:val="22"/>
        </w:rPr>
        <w:t>14</w:t>
      </w:r>
      <w:r>
        <w:rPr>
          <w:rFonts w:hint="eastAsia" w:ascii="Century" w:hAnsi="Century" w:eastAsia="ＭＳ 明朝"/>
          <w:sz w:val="22"/>
        </w:rPr>
        <w:t>日提出</w:t>
      </w:r>
    </w:p>
    <w:p xmlns:wp14="http://schemas.microsoft.com/office/word/2010/wordml" w:rsidR="000E0B5A" w:rsidP="0064457E" w:rsidRDefault="000E0B5A" w14:paraId="0A37501D" wp14:textId="77777777">
      <w:pPr>
        <w:jc w:val="left"/>
        <w:rPr>
          <w:rFonts w:hint="eastAsia" w:ascii="Century" w:hAnsi="Century" w:eastAsia="ＭＳ 明朝"/>
          <w:szCs w:val="21"/>
        </w:rPr>
      </w:pPr>
    </w:p>
    <w:p xmlns:wp14="http://schemas.microsoft.com/office/word/2010/wordml" w:rsidR="0064457E" w:rsidP="0064457E" w:rsidRDefault="0064457E" w14:paraId="081F82F8" wp14:textId="77777777">
      <w:pPr>
        <w:jc w:val="left"/>
        <w:rPr>
          <w:rFonts w:ascii="Century" w:hAnsi="Century" w:eastAsia="ＭＳ 明朝"/>
          <w:b/>
          <w:szCs w:val="21"/>
        </w:rPr>
      </w:pPr>
      <w:r w:rsidRPr="000E0B5A">
        <w:rPr>
          <w:rFonts w:hint="eastAsia" w:ascii="ＭＳ ゴシック" w:hAnsi="ＭＳ ゴシック" w:eastAsia="ＭＳ ゴシック"/>
          <w:b/>
          <w:szCs w:val="21"/>
        </w:rPr>
        <w:t>あらまし</w:t>
      </w:r>
      <w:r>
        <w:rPr>
          <w:rFonts w:hint="eastAsia" w:ascii="Century" w:hAnsi="Century" w:eastAsia="ＭＳ 明朝"/>
          <w:b/>
          <w:szCs w:val="21"/>
        </w:rPr>
        <w:t>：</w:t>
      </w:r>
    </w:p>
    <w:p xmlns:wp14="http://schemas.microsoft.com/office/word/2010/wordml" w:rsidR="000E0B5A" w:rsidP="0064457E" w:rsidRDefault="000E0B5A" w14:paraId="5DAB6C7B" wp14:textId="77777777">
      <w:pPr>
        <w:jc w:val="left"/>
        <w:rPr>
          <w:rFonts w:hint="eastAsia" w:ascii="Century" w:hAnsi="Century" w:eastAsia="ＭＳ 明朝"/>
          <w:b/>
          <w:szCs w:val="21"/>
        </w:rPr>
      </w:pPr>
    </w:p>
    <w:p xmlns:wp14="http://schemas.microsoft.com/office/word/2010/wordml" w:rsidRPr="00F714E7" w:rsidR="00F714E7" w:rsidP="31E1E6C0" w:rsidRDefault="0064457E" w14:paraId="0727DAB0" wp14:textId="77777777">
      <w:pPr>
        <w:pStyle w:val="1"/>
        <w:numPr>
          <w:ilvl w:val="0"/>
          <w:numId w:val="1"/>
        </w:numPr>
        <w:rPr>
          <w:rFonts w:ascii="ＭＳ ゴシック" w:hAnsi="ＭＳ ゴシック" w:eastAsia="ＭＳ ゴシック"/>
          <w:b w:val="1"/>
          <w:bCs w:val="1"/>
        </w:rPr>
      </w:pPr>
      <w:r w:rsidRPr="31E1E6C0" w:rsidR="31E1E6C0">
        <w:rPr>
          <w:rFonts w:ascii="ＭＳ ゴシック" w:hAnsi="ＭＳ ゴシック" w:eastAsia="ＭＳ ゴシック"/>
          <w:b w:val="1"/>
          <w:bCs w:val="1"/>
        </w:rPr>
        <w:t>まえがき</w:t>
      </w:r>
    </w:p>
    <w:p w:rsidR="31E1E6C0" w:rsidP="31E1E6C0" w:rsidRDefault="31E1E6C0" w14:paraId="321A0A69" w14:textId="16284D7C">
      <w:pPr>
        <w:pStyle w:val="1"/>
        <w:numPr>
          <w:ilvl w:val="0"/>
          <w:numId w:val="1"/>
        </w:numPr>
        <w:rPr>
          <w:rFonts w:ascii="ＭＳ ゴシック" w:hAnsi="ＭＳ ゴシック" w:eastAsia="ＭＳ ゴシック"/>
          <w:b w:val="1"/>
          <w:bCs w:val="1"/>
        </w:rPr>
      </w:pPr>
      <w:r w:rsidRPr="31E1E6C0" w:rsidR="31E1E6C0">
        <w:rPr>
          <w:rFonts w:ascii="ＭＳ ゴシック" w:hAnsi="ＭＳ ゴシック" w:eastAsia="ＭＳ ゴシック"/>
          <w:b w:val="1"/>
          <w:bCs w:val="1"/>
        </w:rPr>
        <w:t>ゲーム</w:t>
      </w:r>
      <w:r w:rsidRPr="31E1E6C0" w:rsidR="31E1E6C0">
        <w:rPr>
          <w:rFonts w:ascii="ＭＳ ゴシック" w:hAnsi="ＭＳ ゴシック" w:eastAsia="ＭＳ ゴシック"/>
          <w:b w:val="1"/>
          <w:bCs w:val="1"/>
        </w:rPr>
        <w:t>AIにおいての人工知能</w:t>
      </w:r>
    </w:p>
    <w:p w:rsidR="31E1E6C0" w:rsidP="31E1E6C0" w:rsidRDefault="31E1E6C0" w14:paraId="43FB43FF" w14:textId="305E83DB">
      <w:pPr>
        <w:pStyle w:val="1"/>
        <w:numPr>
          <w:ilvl w:val="1"/>
          <w:numId w:val="1"/>
        </w:numPr>
        <w:rPr>
          <w:b w:val="1"/>
          <w:bCs w:val="1"/>
          <w:sz w:val="22"/>
          <w:szCs w:val="22"/>
        </w:rPr>
      </w:pPr>
      <w:proofErr w:type="spellStart"/>
      <w:r w:rsidRPr="31E1E6C0" w:rsidR="31E1E6C0">
        <w:rPr>
          <w:rFonts w:ascii="ＭＳ ゴシック" w:hAnsi="ＭＳ ゴシック" w:eastAsia="ＭＳ ゴシック"/>
          <w:b w:val="1"/>
          <w:bCs w:val="1"/>
          <w:sz w:val="22"/>
          <w:szCs w:val="22"/>
        </w:rPr>
        <w:t>人工知能とゲームAIの違い</w:t>
      </w:r>
      <w:proofErr w:type="spellEnd"/>
    </w:p>
    <w:p w:rsidR="31E1E6C0" w:rsidP="31E1E6C0" w:rsidRDefault="31E1E6C0" w14:paraId="176A3E98" w14:textId="3B064C66">
      <w:pPr>
        <w:pStyle w:val="a"/>
        <w:ind w:firstLine="0"/>
        <w:rPr>
          <w:rFonts w:ascii="MS Mincho" w:hAnsi="MS Mincho" w:eastAsia="MS Mincho" w:cs="MS Mincho"/>
        </w:rPr>
      </w:pPr>
      <w:r w:rsidRPr="31E1E6C0" w:rsidR="31E1E6C0">
        <w:rPr/>
        <w:t>　</w:t>
      </w:r>
      <w:proofErr w:type="spellStart"/>
      <w:r w:rsidRPr="31E1E6C0" w:rsidR="31E1E6C0">
        <w:rPr>
          <w:rFonts w:ascii="MS Mincho" w:hAnsi="MS Mincho" w:eastAsia="MS Mincho" w:cs="MS Mincho"/>
        </w:rPr>
        <w:t>ゲームにおける人工知能というのは,コンピュータの動かすキャラクターであるノンプレイヤーキャラクタ</w:t>
      </w:r>
      <w:proofErr w:type="spellEnd"/>
      <w:r w:rsidRPr="31E1E6C0" w:rsidR="31E1E6C0">
        <w:rPr>
          <w:rFonts w:ascii="MS Mincho" w:hAnsi="MS Mincho" w:eastAsia="MS Mincho" w:cs="MS Mincho"/>
        </w:rPr>
        <w:t>ー（以下,NPCと呼ぶ）が、知能を持って動いているように錯覚させるための動きのプログラムのことを指す.これを「ゲームAI」と呼ぶ.</w:t>
      </w:r>
      <w:proofErr w:type="spellStart"/>
      <w:r w:rsidRPr="31E1E6C0" w:rsidR="31E1E6C0">
        <w:rPr>
          <w:rFonts w:ascii="MS Mincho" w:hAnsi="MS Mincho" w:eastAsia="MS Mincho" w:cs="MS Mincho"/>
        </w:rPr>
        <w:t>プレイヤーの心地よさや,人間らしい動きを目指したものであるため</w:t>
      </w:r>
      <w:proofErr w:type="spellEnd"/>
      <w:r w:rsidRPr="31E1E6C0" w:rsidR="31E1E6C0">
        <w:rPr>
          <w:rFonts w:ascii="MS Mincho" w:hAnsi="MS Mincho" w:eastAsia="MS Mincho" w:cs="MS Mincho"/>
        </w:rPr>
        <w:t xml:space="preserve">, </w:t>
      </w:r>
      <w:proofErr w:type="spellStart"/>
      <w:r w:rsidRPr="31E1E6C0" w:rsidR="31E1E6C0">
        <w:rPr>
          <w:rFonts w:ascii="MS Mincho" w:hAnsi="MS Mincho" w:eastAsia="MS Mincho" w:cs="MS Mincho"/>
        </w:rPr>
        <w:t>実際の人工知能とは</w:t>
      </w:r>
      <w:r w:rsidRPr="31E1E6C0" w:rsidR="31E1E6C0">
        <w:rPr>
          <w:rFonts w:ascii="MS Mincho" w:hAnsi="MS Mincho" w:eastAsia="MS Mincho" w:cs="MS Mincho"/>
        </w:rPr>
        <w:t>異なる動きをする</w:t>
      </w:r>
      <w:proofErr w:type="spellEnd"/>
      <w:r w:rsidRPr="31E1E6C0" w:rsidR="31E1E6C0">
        <w:rPr>
          <w:rFonts w:ascii="MS Mincho" w:hAnsi="MS Mincho" w:eastAsia="MS Mincho" w:cs="MS Mincho"/>
        </w:rPr>
        <w:t>.</w:t>
      </w:r>
    </w:p>
    <w:p w:rsidR="31E1E6C0" w:rsidP="31E1E6C0" w:rsidRDefault="31E1E6C0" w14:paraId="5E382F0B" w14:textId="4C1E2BF1">
      <w:pPr>
        <w:pStyle w:val="a"/>
        <w:ind w:firstLine="0"/>
        <w:rPr>
          <w:rFonts w:ascii="MS Mincho" w:hAnsi="MS Mincho" w:eastAsia="MS Mincho" w:cs="MS Mincho"/>
        </w:rPr>
      </w:pPr>
      <w:r w:rsidRPr="31E1E6C0" w:rsidR="31E1E6C0">
        <w:rPr>
          <w:rFonts w:ascii="MS Mincho" w:hAnsi="MS Mincho" w:eastAsia="MS Mincho" w:cs="MS Mincho"/>
        </w:rPr>
        <w:t>　近年では、</w:t>
      </w:r>
    </w:p>
    <w:p w:rsidR="31E1E6C0" w:rsidP="31E1E6C0" w:rsidRDefault="31E1E6C0" w14:paraId="565E2DB2" w14:textId="753D7B44">
      <w:pPr>
        <w:pStyle w:val="1"/>
        <w:numPr>
          <w:ilvl w:val="1"/>
          <w:numId w:val="1"/>
        </w:numPr>
        <w:rPr>
          <w:b w:val="1"/>
          <w:bCs w:val="1"/>
          <w:sz w:val="22"/>
          <w:szCs w:val="22"/>
        </w:rPr>
      </w:pPr>
      <w:proofErr w:type="spellStart"/>
      <w:r w:rsidRPr="31E1E6C0" w:rsidR="31E1E6C0">
        <w:rPr>
          <w:rFonts w:ascii="ＭＳ ゴシック" w:hAnsi="ＭＳ ゴシック" w:eastAsia="ＭＳ ゴシック"/>
          <w:b w:val="1"/>
          <w:bCs w:val="1"/>
          <w:sz w:val="22"/>
          <w:szCs w:val="22"/>
        </w:rPr>
        <w:t>ゲーム内NPCの意思決定</w:t>
      </w:r>
      <w:proofErr w:type="spellEnd"/>
    </w:p>
    <w:p w:rsidR="31E1E6C0" w:rsidP="31E1E6C0" w:rsidRDefault="31E1E6C0" w14:paraId="2B314B69" w14:textId="0898827A">
      <w:pPr>
        <w:pStyle w:val="a"/>
      </w:pPr>
    </w:p>
    <w:p w:rsidR="31E1E6C0" w:rsidP="31E1E6C0" w:rsidRDefault="31E1E6C0" w14:paraId="04C8050B" w14:textId="0895AE24">
      <w:pPr>
        <w:pStyle w:val="1"/>
        <w:numPr>
          <w:ilvl w:val="0"/>
          <w:numId w:val="1"/>
        </w:numPr>
        <w:rPr>
          <w:rFonts w:ascii="ＭＳ ゴシック" w:hAnsi="ＭＳ ゴシック" w:eastAsia="ＭＳ ゴシック"/>
          <w:b w:val="1"/>
          <w:bCs w:val="1"/>
        </w:rPr>
      </w:pPr>
      <w:proofErr w:type="gramStart"/>
      <w:r w:rsidRPr="31E1E6C0" w:rsidR="31E1E6C0">
        <w:rPr>
          <w:rFonts w:ascii="ＭＳ ゴシック" w:hAnsi="ＭＳ ゴシック" w:eastAsia="ＭＳ ゴシック"/>
          <w:b w:val="1"/>
          <w:bCs w:val="1"/>
        </w:rPr>
        <w:t>ゲーム</w:t>
      </w:r>
      <w:proofErr w:type="gramEnd"/>
      <w:r w:rsidRPr="31E1E6C0" w:rsidR="31E1E6C0">
        <w:rPr>
          <w:rFonts w:ascii="ＭＳ ゴシック" w:hAnsi="ＭＳ ゴシック" w:eastAsia="ＭＳ ゴシック"/>
          <w:b w:val="1"/>
          <w:bCs w:val="1"/>
        </w:rPr>
        <w:t>内への機械学習の応用</w:t>
      </w:r>
    </w:p>
    <w:p w:rsidR="31E1E6C0" w:rsidP="31E1E6C0" w:rsidRDefault="31E1E6C0" w14:paraId="33D46A53" w14:textId="3F85EAFC">
      <w:pPr>
        <w:pStyle w:val="1"/>
        <w:numPr>
          <w:ilvl w:val="1"/>
          <w:numId w:val="1"/>
        </w:numPr>
        <w:rPr>
          <w:b w:val="1"/>
          <w:bCs w:val="1"/>
          <w:sz w:val="22"/>
          <w:szCs w:val="22"/>
        </w:rPr>
      </w:pPr>
      <w:r w:rsidRPr="31E1E6C0" w:rsidR="31E1E6C0">
        <w:rPr>
          <w:rFonts w:ascii="ＭＳ ゴシック" w:hAnsi="ＭＳ ゴシック" w:eastAsia="ＭＳ ゴシック"/>
          <w:b w:val="1"/>
          <w:bCs w:val="1"/>
          <w:sz w:val="22"/>
          <w:szCs w:val="22"/>
        </w:rPr>
        <w:t>機械学習の手法</w:t>
      </w:r>
    </w:p>
    <w:p w:rsidR="31E1E6C0" w:rsidP="31E1E6C0" w:rsidRDefault="31E1E6C0" w14:paraId="55ED4DDD" w14:textId="546A8AD8">
      <w:pPr>
        <w:pStyle w:val="1"/>
        <w:numPr>
          <w:ilvl w:val="1"/>
          <w:numId w:val="1"/>
        </w:numPr>
        <w:rPr>
          <w:b w:val="1"/>
          <w:bCs w:val="1"/>
          <w:sz w:val="22"/>
          <w:szCs w:val="22"/>
        </w:rPr>
      </w:pPr>
      <w:r w:rsidRPr="31E1E6C0" w:rsidR="31E1E6C0">
        <w:rPr>
          <w:rFonts w:ascii="ＭＳ ゴシック" w:hAnsi="ＭＳ ゴシック" w:eastAsia="ＭＳ ゴシック"/>
          <w:b w:val="1"/>
          <w:bCs w:val="1"/>
          <w:sz w:val="22"/>
          <w:szCs w:val="22"/>
        </w:rPr>
        <w:t>強化学習</w:t>
      </w:r>
    </w:p>
    <w:p w:rsidR="31E1E6C0" w:rsidP="31E1E6C0" w:rsidRDefault="31E1E6C0" w14:paraId="4F65D484" w14:textId="46725BAA">
      <w:pPr>
        <w:pStyle w:val="1"/>
        <w:numPr>
          <w:ilvl w:val="1"/>
          <w:numId w:val="1"/>
        </w:numPr>
        <w:rPr>
          <w:b w:val="1"/>
          <w:bCs w:val="1"/>
          <w:sz w:val="22"/>
          <w:szCs w:val="22"/>
        </w:rPr>
      </w:pPr>
      <w:proofErr w:type="spellStart"/>
      <w:r w:rsidRPr="31E1E6C0" w:rsidR="31E1E6C0">
        <w:rPr>
          <w:rFonts w:ascii="ＭＳ ゴシック" w:hAnsi="ＭＳ ゴシック" w:eastAsia="ＭＳ ゴシック"/>
          <w:b w:val="1"/>
          <w:bCs w:val="1"/>
          <w:sz w:val="22"/>
          <w:szCs w:val="22"/>
        </w:rPr>
        <w:t>学習でのメリット,デメリット</w:t>
      </w:r>
      <w:proofErr w:type="spellEnd"/>
    </w:p>
    <w:p w:rsidR="31E1E6C0" w:rsidP="31E1E6C0" w:rsidRDefault="31E1E6C0" w14:paraId="5FF06013" w14:textId="1A0D495F">
      <w:pPr>
        <w:pStyle w:val="a"/>
      </w:pPr>
    </w:p>
    <w:p w:rsidR="31E1E6C0" w:rsidP="31E1E6C0" w:rsidRDefault="31E1E6C0" w14:paraId="15F5633E" w14:textId="52E3BFC5">
      <w:pPr>
        <w:pStyle w:val="1"/>
        <w:numPr>
          <w:ilvl w:val="0"/>
          <w:numId w:val="1"/>
        </w:numPr>
        <w:rPr>
          <w:rFonts w:ascii="ＭＳ ゴシック" w:hAnsi="ＭＳ ゴシック" w:eastAsia="ＭＳ ゴシック"/>
          <w:b w:val="1"/>
          <w:bCs w:val="1"/>
        </w:rPr>
      </w:pPr>
      <w:r w:rsidRPr="31E1E6C0" w:rsidR="31E1E6C0">
        <w:rPr>
          <w:rFonts w:ascii="ＭＳ ゴシック" w:hAnsi="ＭＳ ゴシック" w:eastAsia="ＭＳ ゴシック"/>
          <w:b w:val="1"/>
          <w:bCs w:val="1"/>
        </w:rPr>
        <w:t>学習計算リソースに関する展開</w:t>
      </w:r>
    </w:p>
    <w:p w:rsidR="31E1E6C0" w:rsidP="31E1E6C0" w:rsidRDefault="31E1E6C0" w14:paraId="6FA39875" w14:textId="44D148C4">
      <w:pPr>
        <w:pStyle w:val="a"/>
      </w:pPr>
    </w:p>
    <w:p w:rsidR="31E1E6C0" w:rsidP="31E1E6C0" w:rsidRDefault="31E1E6C0" w14:paraId="378592F7" w14:textId="5B706A8E">
      <w:pPr>
        <w:pStyle w:val="1"/>
        <w:numPr>
          <w:ilvl w:val="0"/>
          <w:numId w:val="1"/>
        </w:numPr>
        <w:rPr>
          <w:b w:val="1"/>
          <w:bCs w:val="1"/>
        </w:rPr>
      </w:pPr>
      <w:r w:rsidRPr="31E1E6C0" w:rsidR="31E1E6C0">
        <w:rPr>
          <w:rFonts w:ascii="ＭＳ ゴシック" w:hAnsi="ＭＳ ゴシック" w:eastAsia="ＭＳ ゴシック"/>
          <w:b w:val="1"/>
          <w:bCs w:val="1"/>
        </w:rPr>
        <w:t>まとめ</w:t>
      </w:r>
    </w:p>
    <w:p w:rsidR="31E1E6C0" w:rsidP="31E1E6C0" w:rsidRDefault="31E1E6C0" w14:paraId="39364E9A" w14:textId="532F8FD0">
      <w:pPr>
        <w:pStyle w:val="a"/>
      </w:pPr>
    </w:p>
    <w:p xmlns:wp14="http://schemas.microsoft.com/office/word/2010/wordml" w:rsidRPr="00F714E7" w:rsidR="0064457E" w:rsidP="0064457E" w:rsidRDefault="00F714E7" w14:paraId="15E96AE8" wp14:textId="77777777">
      <w:pPr>
        <w:rPr>
          <w:rFonts w:hint="eastAsia" w:ascii="ＭＳ ゴシック" w:hAnsi="ＭＳ ゴシック" w:eastAsia="ＭＳ ゴシック"/>
          <w:b/>
          <w:sz w:val="22"/>
        </w:rPr>
      </w:pPr>
      <w:r w:rsidRPr="00F714E7">
        <w:rPr>
          <w:rFonts w:hint="eastAsia" w:ascii="ＭＳ ゴシック" w:hAnsi="ＭＳ ゴシック" w:eastAsia="ＭＳ ゴシック"/>
          <w:b/>
          <w:sz w:val="22"/>
        </w:rPr>
        <w:t>文献</w:t>
      </w:r>
    </w:p>
    <w:sectPr w:rsidRPr="00F714E7" w:rsidR="0064457E" w:rsidSect="00BC4538">
      <w:footerReference w:type="default" r:id="rId7"/>
      <w:pgSz w:w="11906" w:h="16838" w:orient="portrait" w:code="9"/>
      <w:pgMar w:top="1985" w:right="1701" w:bottom="1701" w:left="1701" w:header="851" w:footer="992" w:gutter="0"/>
      <w:cols w:space="425"/>
      <w:docGrid w:type="linesAndChars" w:linePitch="360"/>
      <w:headerReference w:type="default" r:id="Rcada03bfffc94cd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E455A" w:rsidP="00E337C2" w:rsidRDefault="00DE455A" w14:paraId="5A39BBE3" wp14:textId="77777777">
      <w:r>
        <w:separator/>
      </w:r>
    </w:p>
  </w:endnote>
  <w:endnote w:type="continuationSeparator" w:id="0">
    <w:p xmlns:wp14="http://schemas.microsoft.com/office/word/2010/wordml" w:rsidR="00DE455A" w:rsidP="00E337C2" w:rsidRDefault="00DE455A" w14:paraId="41C8F39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E337C2" w:rsidRDefault="00E337C2" w14:paraId="407CE2FB" wp14:textId="77777777">
    <w:pPr>
      <w:pStyle w:val="a5"/>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Pr="00E11F79" w:rsidR="00E11F79">
      <w:rPr>
        <w:caps/>
        <w:noProof/>
        <w:color w:val="5B9BD5" w:themeColor="accent1"/>
        <w:lang w:val="ja-JP"/>
      </w:rPr>
      <w:t>1</w:t>
    </w:r>
    <w:r>
      <w:rPr>
        <w:caps/>
        <w:color w:val="5B9BD5" w:themeColor="accent1"/>
      </w:rPr>
      <w:fldChar w:fldCharType="end"/>
    </w:r>
  </w:p>
  <w:p xmlns:wp14="http://schemas.microsoft.com/office/word/2010/wordml" w:rsidR="00E337C2" w:rsidRDefault="00E337C2" w14:paraId="6A05A809" wp14:textId="7777777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E455A" w:rsidP="00E337C2" w:rsidRDefault="00DE455A" w14:paraId="72A3D3EC" wp14:textId="77777777">
      <w:r>
        <w:separator/>
      </w:r>
    </w:p>
  </w:footnote>
  <w:footnote w:type="continuationSeparator" w:id="0">
    <w:p xmlns:wp14="http://schemas.microsoft.com/office/word/2010/wordml" w:rsidR="00DE455A" w:rsidP="00E337C2" w:rsidRDefault="00DE455A" w14:paraId="0D0B940D" wp14:textId="77777777">
      <w:r>
        <w:continuationSeparator/>
      </w:r>
    </w:p>
  </w:footnote>
</w:footnotes>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2835"/>
      <w:gridCol w:w="2835"/>
      <w:gridCol w:w="2835"/>
    </w:tblGrid>
    <w:tr w:rsidR="2CF7369F" w:rsidTr="2CF7369F" w14:paraId="79CCE30D">
      <w:tc>
        <w:tcPr>
          <w:tcW w:w="2835" w:type="dxa"/>
          <w:tcMar/>
        </w:tcPr>
        <w:p w:rsidR="2CF7369F" w:rsidP="2CF7369F" w:rsidRDefault="2CF7369F" w14:paraId="57F42748" w14:textId="34E9DD36">
          <w:pPr>
            <w:pStyle w:val="a3"/>
            <w:bidi w:val="0"/>
            <w:ind w:left="-115"/>
            <w:jc w:val="left"/>
          </w:pPr>
        </w:p>
      </w:tc>
      <w:tc>
        <w:tcPr>
          <w:tcW w:w="2835" w:type="dxa"/>
          <w:tcMar/>
        </w:tcPr>
        <w:p w:rsidR="2CF7369F" w:rsidP="2CF7369F" w:rsidRDefault="2CF7369F" w14:paraId="73D1B4A7" w14:textId="060252C3">
          <w:pPr>
            <w:pStyle w:val="a3"/>
            <w:bidi w:val="0"/>
            <w:jc w:val="center"/>
          </w:pPr>
        </w:p>
      </w:tc>
      <w:tc>
        <w:tcPr>
          <w:tcW w:w="2835" w:type="dxa"/>
          <w:tcMar/>
        </w:tcPr>
        <w:p w:rsidR="2CF7369F" w:rsidP="2CF7369F" w:rsidRDefault="2CF7369F" w14:paraId="2D175374" w14:textId="730CBD79">
          <w:pPr>
            <w:pStyle w:val="a3"/>
            <w:bidi w:val="0"/>
            <w:ind w:right="-115"/>
            <w:jc w:val="right"/>
          </w:pPr>
        </w:p>
      </w:tc>
    </w:tr>
  </w:tbl>
  <w:p w:rsidR="2CF7369F" w:rsidP="2CF7369F" w:rsidRDefault="2CF7369F" w14:paraId="127DFDAC" w14:textId="1DDC3F76">
    <w:pPr>
      <w:pStyle w:val="a3"/>
      <w:bidi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B2745"/>
    <w:multiLevelType w:val="multilevel"/>
    <w:tmpl w:val="8586D51E"/>
    <w:lvl w:ilvl="0">
      <w:start w:val="1"/>
      <w:numFmt w:val="decimal"/>
      <w:lvlText w:val="%1"/>
      <w:lvlJc w:val="left"/>
      <w:pPr>
        <w:ind w:left="425" w:hanging="425"/>
      </w:pPr>
      <w:rPr>
        <w:rFonts w:ascii="ＭＳ ゴシック" w:hAnsi="ＭＳ ゴシック" w:eastAsia="ＭＳ ゴシック"/>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AF323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4420C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60D228A"/>
    <w:multiLevelType w:val="multilevel"/>
    <w:tmpl w:val="8586D51E"/>
    <w:lvl w:ilvl="0">
      <w:start w:val="1"/>
      <w:numFmt w:val="decimal"/>
      <w:lvlText w:val="%1."/>
      <w:lvlJc w:val="left"/>
      <w:pPr>
        <w:ind w:left="425" w:hanging="425"/>
      </w:pPr>
      <w:rPr>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BB90B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538"/>
    <w:rsid w:val="000E0B5A"/>
    <w:rsid w:val="0064457E"/>
    <w:rsid w:val="00BC4538"/>
    <w:rsid w:val="00DE455A"/>
    <w:rsid w:val="00E015E6"/>
    <w:rsid w:val="00E11F79"/>
    <w:rsid w:val="00E337C2"/>
    <w:rsid w:val="00F714E7"/>
    <w:rsid w:val="00F77EF5"/>
    <w:rsid w:val="2CF7369F"/>
    <w:rsid w:val="31E1E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11B4F7"/>
  <w15:chartTrackingRefBased/>
  <w15:docId w15:val="{9384E1CE-023C-45F5-9FFF-86BF7BAD12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style>
  <w:style w:type="paragraph" w:styleId="1">
    <w:name w:val="heading 1"/>
    <w:basedOn w:val="a"/>
    <w:next w:val="a"/>
    <w:link w:val="10"/>
    <w:uiPriority w:val="9"/>
    <w:qFormat/>
    <w:rsid w:val="00E337C2"/>
    <w:pPr>
      <w:keepNext/>
      <w:outlineLvl w:val="0"/>
    </w:pPr>
    <w:rPr>
      <w:rFonts w:asciiTheme="majorHAnsi" w:hAnsiTheme="majorHAnsi" w:eastAsiaTheme="majorEastAsia" w:cstheme="majorBidi"/>
      <w:sz w:val="24"/>
      <w:szCs w:val="24"/>
    </w:rPr>
  </w:style>
  <w:style w:type="paragraph" w:styleId="2">
    <w:name w:val="heading 2"/>
    <w:basedOn w:val="a"/>
    <w:next w:val="a"/>
    <w:link w:val="20"/>
    <w:uiPriority w:val="9"/>
    <w:unhideWhenUsed/>
    <w:qFormat/>
    <w:rsid w:val="00F714E7"/>
    <w:pPr>
      <w:keepNext/>
      <w:outlineLvl w:val="1"/>
    </w:pPr>
    <w:rPr>
      <w:rFonts w:asciiTheme="majorHAnsi" w:hAnsiTheme="majorHAnsi" w:eastAsiaTheme="majorEastAsia" w:cstheme="majorBidi"/>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E337C2"/>
    <w:pPr>
      <w:tabs>
        <w:tab w:val="center" w:pos="4252"/>
        <w:tab w:val="right" w:pos="8504"/>
      </w:tabs>
      <w:snapToGrid w:val="0"/>
    </w:pPr>
  </w:style>
  <w:style w:type="character" w:styleId="a4" w:customStyle="1">
    <w:name w:val="ヘッダー (文字)"/>
    <w:basedOn w:val="a0"/>
    <w:link w:val="a3"/>
    <w:uiPriority w:val="99"/>
    <w:rsid w:val="00E337C2"/>
  </w:style>
  <w:style w:type="paragraph" w:styleId="a5">
    <w:name w:val="footer"/>
    <w:basedOn w:val="a"/>
    <w:link w:val="a6"/>
    <w:uiPriority w:val="99"/>
    <w:unhideWhenUsed/>
    <w:rsid w:val="00E337C2"/>
    <w:pPr>
      <w:tabs>
        <w:tab w:val="center" w:pos="4252"/>
        <w:tab w:val="right" w:pos="8504"/>
      </w:tabs>
      <w:snapToGrid w:val="0"/>
    </w:pPr>
  </w:style>
  <w:style w:type="character" w:styleId="a6" w:customStyle="1">
    <w:name w:val="フッター (文字)"/>
    <w:basedOn w:val="a0"/>
    <w:link w:val="a5"/>
    <w:uiPriority w:val="99"/>
    <w:rsid w:val="00E337C2"/>
  </w:style>
  <w:style w:type="character" w:styleId="10" w:customStyle="1">
    <w:name w:val="見出し 1 (文字)"/>
    <w:basedOn w:val="a0"/>
    <w:link w:val="1"/>
    <w:uiPriority w:val="9"/>
    <w:rsid w:val="00E337C2"/>
    <w:rPr>
      <w:rFonts w:asciiTheme="majorHAnsi" w:hAnsiTheme="majorHAnsi" w:eastAsiaTheme="majorEastAsia" w:cstheme="majorBidi"/>
      <w:sz w:val="24"/>
      <w:szCs w:val="24"/>
    </w:rPr>
  </w:style>
  <w:style w:type="paragraph" w:styleId="a7">
    <w:name w:val="Title"/>
    <w:basedOn w:val="a"/>
    <w:next w:val="a"/>
    <w:link w:val="a8"/>
    <w:uiPriority w:val="10"/>
    <w:qFormat/>
    <w:rsid w:val="00E337C2"/>
    <w:pPr>
      <w:spacing w:before="240" w:after="120"/>
      <w:jc w:val="center"/>
      <w:outlineLvl w:val="0"/>
    </w:pPr>
    <w:rPr>
      <w:rFonts w:asciiTheme="majorHAnsi" w:hAnsiTheme="majorHAnsi" w:eastAsiaTheme="majorEastAsia" w:cstheme="majorBidi"/>
      <w:sz w:val="32"/>
      <w:szCs w:val="32"/>
    </w:rPr>
  </w:style>
  <w:style w:type="character" w:styleId="a8" w:customStyle="1">
    <w:name w:val="表題 (文字)"/>
    <w:basedOn w:val="a0"/>
    <w:link w:val="a7"/>
    <w:uiPriority w:val="10"/>
    <w:rsid w:val="00E337C2"/>
    <w:rPr>
      <w:rFonts w:asciiTheme="majorHAnsi" w:hAnsiTheme="majorHAnsi" w:eastAsiaTheme="majorEastAsia" w:cstheme="majorBidi"/>
      <w:sz w:val="32"/>
      <w:szCs w:val="32"/>
    </w:rPr>
  </w:style>
  <w:style w:type="paragraph" w:styleId="a9">
    <w:name w:val="Subtitle"/>
    <w:basedOn w:val="a"/>
    <w:next w:val="a"/>
    <w:link w:val="aa"/>
    <w:uiPriority w:val="11"/>
    <w:qFormat/>
    <w:rsid w:val="00E337C2"/>
    <w:pPr>
      <w:jc w:val="center"/>
      <w:outlineLvl w:val="1"/>
    </w:pPr>
    <w:rPr>
      <w:sz w:val="24"/>
      <w:szCs w:val="24"/>
    </w:rPr>
  </w:style>
  <w:style w:type="character" w:styleId="aa" w:customStyle="1">
    <w:name w:val="副題 (文字)"/>
    <w:basedOn w:val="a0"/>
    <w:link w:val="a9"/>
    <w:uiPriority w:val="11"/>
    <w:rsid w:val="00E337C2"/>
    <w:rPr>
      <w:sz w:val="24"/>
      <w:szCs w:val="24"/>
    </w:rPr>
  </w:style>
  <w:style w:type="paragraph" w:styleId="ab">
    <w:name w:val="List Paragraph"/>
    <w:basedOn w:val="a"/>
    <w:uiPriority w:val="34"/>
    <w:qFormat/>
    <w:rsid w:val="0064457E"/>
    <w:pPr>
      <w:ind w:left="840" w:leftChars="400"/>
    </w:pPr>
  </w:style>
  <w:style w:type="character" w:styleId="20" w:customStyle="1">
    <w:name w:val="見出し 2 (文字)"/>
    <w:basedOn w:val="a0"/>
    <w:link w:val="2"/>
    <w:uiPriority w:val="9"/>
    <w:rsid w:val="00F714E7"/>
    <w:rPr>
      <w:rFonts w:asciiTheme="majorHAnsi" w:hAnsiTheme="majorHAnsi" w:eastAsiaTheme="majorEastAsia" w:cstheme="majorBidi"/>
    </w:rPr>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cada03bfffc94cd0"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miyazawa eiji</dc:creator>
  <keywords/>
  <dc:description/>
  <lastModifiedBy>eiji miyazawa</lastModifiedBy>
  <revision>4</revision>
  <dcterms:created xsi:type="dcterms:W3CDTF">2019-04-23T01:41:00.0000000Z</dcterms:created>
  <dcterms:modified xsi:type="dcterms:W3CDTF">2019-05-03T06:02:01.4830435Z</dcterms:modified>
</coreProperties>
</file>