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_rels/document.xml.rels" ContentType="application/vnd.openxmlformats-package.relationships+xml"/>
  <Override PartName="/word/media/image1.emf" ContentType="image/x-emf"/>
  <Override PartName="/word/media/image2.wmf" ContentType="image/x-wmf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Times New Roman"/>
          <w:b/>
          <w:bCs/>
          <w:szCs w:val="24"/>
          <w:u w:val="single"/>
        </w:rPr>
      </w:pPr>
      <w:r>
        <w:rPr>
          <w:rFonts w:cs="Times New Roman"/>
          <w:b/>
          <w:bCs/>
          <w:szCs w:val="24"/>
          <w:u w:val="single"/>
        </w:rPr>
        <w:t>CHAPTER TWO</w:t>
      </w:r>
    </w:p>
    <w:p>
      <w:pPr>
        <w:pStyle w:val="Normal"/>
        <w:rPr>
          <w:rFonts w:cs="Times New Roman"/>
          <w:b/>
          <w:bCs/>
          <w:i/>
          <w:i/>
          <w:iCs/>
          <w:szCs w:val="24"/>
        </w:rPr>
      </w:pPr>
      <w:r>
        <w:rPr>
          <w:rFonts w:cs="Times New Roman"/>
          <w:b/>
          <w:bCs/>
          <w:i/>
          <w:iCs/>
          <w:szCs w:val="24"/>
        </w:rPr>
        <w:t>2.2 Market Share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a startup, I will start small and therefore will be targeting a smaller market area. </w:t>
      </w:r>
    </w:p>
    <w:tbl>
      <w:tblPr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769"/>
        <w:gridCol w:w="1766"/>
        <w:gridCol w:w="2586"/>
        <w:gridCol w:w="1911"/>
      </w:tblGrid>
      <w:tr>
        <w:trPr/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COMPANY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GENERAL POPULATION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TARGET MARKET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CALCULATION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MARKET SHARE (%)</w:t>
            </w:r>
          </w:p>
        </w:tc>
      </w:tr>
      <w:tr>
        <w:trPr/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Yellow Hummingbird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5000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450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  <w:u w:val="single"/>
              </w:rPr>
            </w:pPr>
            <w:r>
              <w:rPr>
                <w:rFonts w:eastAsia="Calibri" w:cs="Times New Roman"/>
                <w:szCs w:val="24"/>
                <w:u w:val="single"/>
                <w:lang w:val="en-GB" w:eastAsia="en-GB" w:bidi="ar-SA"/>
              </w:rPr>
              <w:t>450*100</w:t>
            </w:r>
          </w:p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5000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9%</w:t>
            </w:r>
          </w:p>
        </w:tc>
      </w:tr>
      <w:tr>
        <w:trPr/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Pearls and Roses Events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5000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1950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  <w:u w:val="single"/>
              </w:rPr>
            </w:pPr>
            <w:r>
              <w:rPr>
                <w:rFonts w:eastAsia="Calibri" w:cs="Times New Roman"/>
                <w:szCs w:val="24"/>
                <w:u w:val="single"/>
                <w:lang w:val="en-GB" w:eastAsia="en-GB" w:bidi="ar-SA"/>
              </w:rPr>
              <w:t>1950*100</w:t>
            </w:r>
          </w:p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5000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39%</w:t>
            </w:r>
          </w:p>
        </w:tc>
      </w:tr>
      <w:tr>
        <w:trPr/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Event House Kenya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5000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2500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  <w:u w:val="single"/>
              </w:rPr>
            </w:pPr>
            <w:r>
              <w:rPr>
                <w:rFonts w:eastAsia="Calibri" w:cs="Times New Roman"/>
                <w:szCs w:val="24"/>
                <w:u w:val="single"/>
                <w:lang w:val="en-GB" w:eastAsia="en-GB" w:bidi="ar-SA"/>
              </w:rPr>
              <w:t>2500*100</w:t>
            </w:r>
          </w:p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5000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50%</w:t>
            </w:r>
          </w:p>
        </w:tc>
      </w:tr>
      <w:tr>
        <w:trPr/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Dreamscape Events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5000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100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  <w:u w:val="single"/>
              </w:rPr>
            </w:pPr>
            <w:r>
              <w:rPr>
                <w:rFonts w:eastAsia="Calibri" w:cs="Times New Roman"/>
                <w:szCs w:val="24"/>
                <w:u w:val="single"/>
                <w:lang w:val="en-GB" w:eastAsia="en-GB" w:bidi="ar-SA"/>
              </w:rPr>
              <w:t>100*100</w:t>
            </w:r>
          </w:p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5000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2%</w:t>
            </w:r>
          </w:p>
        </w:tc>
      </w:tr>
    </w:tbl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szCs w:val="24"/>
        </w:rPr>
      </w:pPr>
      <w:r>
        <w:rPr/>
        <w:drawing>
          <wp:inline distT="0" distB="0" distL="0" distR="0">
            <wp:extent cx="5079365" cy="3810000"/>
            <wp:effectExtent l="0" t="0" r="0" b="0"/>
            <wp:docPr id="1" name="Chart 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b/>
          <w:bCs/>
          <w:i/>
          <w:i/>
          <w:iCs/>
          <w:szCs w:val="24"/>
        </w:rPr>
      </w:pPr>
      <w:r>
        <w:rPr>
          <w:rFonts w:cs="Times New Roman"/>
          <w:b/>
          <w:bCs/>
          <w:i/>
          <w:iCs/>
          <w:szCs w:val="24"/>
        </w:rPr>
        <w:t>2.3 Competitors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Many Event companies also create concepts. What sets my company apart from the rest, is that they do both conceptualizing and planning and execution. This therefore means that I may have no direct competitors in my field. I however have indirect competitors.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tbl>
      <w:tblPr>
        <w:tblpPr w:vertAnchor="text" w:horzAnchor="page" w:leftFromText="180" w:rightFromText="180" w:tblpX="677" w:tblpY="211"/>
        <w:tblW w:w="1431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821"/>
        <w:gridCol w:w="2834"/>
        <w:gridCol w:w="3119"/>
        <w:gridCol w:w="3402"/>
      </w:tblGrid>
      <w:tr>
        <w:trPr/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Cs w:val="24"/>
              </w:rPr>
            </w:pPr>
            <w:r>
              <w:rPr>
                <w:rFonts w:eastAsia="Calibri" w:cs="Times New Roman"/>
                <w:b/>
                <w:bCs/>
                <w:szCs w:val="24"/>
                <w:lang w:val="en-GB" w:eastAsia="en-GB" w:bidi="ar-SA"/>
              </w:rPr>
              <w:t>COMPANY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b/>
                <w:bCs/>
                <w:szCs w:val="24"/>
              </w:rPr>
            </w:pPr>
            <w:r>
              <w:rPr>
                <w:rFonts w:eastAsia="Calibri" w:cs="Times New Roman"/>
                <w:b/>
                <w:bCs/>
                <w:szCs w:val="24"/>
                <w:lang w:val="en-GB" w:eastAsia="en-GB" w:bidi="ar-SA"/>
              </w:rPr>
              <w:t>STRENGTHS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b/>
                <w:bCs/>
                <w:szCs w:val="24"/>
              </w:rPr>
            </w:pPr>
            <w:r>
              <w:rPr>
                <w:rFonts w:eastAsia="Calibri" w:cs="Times New Roman"/>
                <w:b/>
                <w:bCs/>
                <w:szCs w:val="24"/>
                <w:lang w:val="en-GB" w:eastAsia="en-GB" w:bidi="ar-SA"/>
              </w:rPr>
              <w:t>WEAKNESSES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b/>
                <w:bCs/>
                <w:szCs w:val="24"/>
              </w:rPr>
            </w:pPr>
            <w:r>
              <w:rPr>
                <w:rFonts w:eastAsia="Calibri" w:cs="Times New Roman"/>
                <w:b/>
                <w:bCs/>
                <w:szCs w:val="24"/>
                <w:lang w:val="en-GB" w:eastAsia="en-GB" w:bidi="ar-SA"/>
              </w:rPr>
              <w:t>OPPORTUNITIES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b/>
                <w:bCs/>
                <w:szCs w:val="24"/>
              </w:rPr>
            </w:pPr>
            <w:r>
              <w:rPr>
                <w:rFonts w:eastAsia="Calibri" w:cs="Times New Roman"/>
                <w:b/>
                <w:bCs/>
                <w:szCs w:val="24"/>
                <w:lang w:val="en-GB" w:eastAsia="en-GB" w:bidi="ar-SA"/>
              </w:rPr>
              <w:t>THREATS</w:t>
            </w:r>
          </w:p>
        </w:tc>
      </w:tr>
      <w:tr>
        <w:trPr/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Yellow Hummingbird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Once of the best at idea generation.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Fine details specification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Concentrates more on conceptualization and ensuring execution.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Big on Indian Events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May not have a wide market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Growth in the Event Industry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Planners are now becoming a norm in the country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Growth in the upcoming number of Africans that do Indian events.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Change in Client’s tastes</w:t>
            </w:r>
          </w:p>
        </w:tc>
      </w:tr>
      <w:tr>
        <w:trPr/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Pearls and Roses Events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Has a large Market share with its greatest target market being Africans.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Takes note of fine details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Have a lot of off seasons.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Many Africans are going for planners. Therefore, continuous growth.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The economy of the country may make the industry be very expensive for the middle class and low class citizens.</w:t>
            </w:r>
          </w:p>
        </w:tc>
      </w:tr>
      <w:tr>
        <w:trPr/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Event House Kenya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Has quite the market as they have been there for a long time.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Specialized in Indian Events.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High costs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More Indians are choosing Kenya for an event destination and therefore will have more clients.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Growth in the upcoming number of Africans that do Indian events.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Change in Client’s tastes</w:t>
            </w:r>
          </w:p>
        </w:tc>
      </w:tr>
      <w:tr>
        <w:trPr/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Dreamscape Events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Purely an idea-generation company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Brings in a new concept to the industry.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Quite new to the market.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A chance to grow as other organizations may not take complete interest in the client but would want to charge them more as they want to make a profit from the items they have and may end up charging for unnecessary things that the client may not necessarily need.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People may want a one stop supplier.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Change in taste</w:t>
            </w:r>
          </w:p>
        </w:tc>
      </w:tr>
    </w:tbl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sectPr>
          <w:type w:val="nextPage"/>
          <w:pgSz w:orient="landscape" w:w="15840" w:h="122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 xml:space="preserve">CHAPTER THREE </w:t>
      </w:r>
    </w:p>
    <w:p>
      <w:pPr>
        <w:pStyle w:val="Normal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Organizational Structure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margin">
                  <wp:posOffset>970915</wp:posOffset>
                </wp:positionH>
                <wp:positionV relativeFrom="paragraph">
                  <wp:posOffset>387985</wp:posOffset>
                </wp:positionV>
                <wp:extent cx="4429125" cy="5438775"/>
                <wp:effectExtent l="0" t="0" r="0" b="0"/>
                <wp:wrapTopAndBottom/>
                <wp:docPr id="2" name="Diagram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080" cy="5438880"/>
                          <a:chOff x="0" y="0"/>
                          <a:chExt cx="4429080" cy="5438880"/>
                        </a:xfrm>
                      </wpg:grpSpPr>
                      <pic:pic xmlns:pic="http://schemas.openxmlformats.org/drawingml/2006/picture">
                        <pic:nvPicPr>
                          <pic:cNvPr id="3" name="RenderedShapes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4429080" cy="5438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iagram 2" style="position:absolute;margin-left:76.45pt;margin-top:30.55pt;width:348.75pt;height:428.25pt" coordorigin="1529,611" coordsize="6975,85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RenderedShapes" stroked="f" o:allowincell="f" style="position:absolute;left:1529;top:611;width:6974;height:8564;mso-wrap-style:none;v-text-anchor:middle;mso-position-horizontal-relative:margin" type="_x0000_t75">
                  <v:imagedata r:id="rId4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Cs/>
          <w:i/>
          <w:i/>
          <w:iCs/>
          <w:szCs w:val="24"/>
        </w:rPr>
      </w:pPr>
      <w:r>
        <w:rPr>
          <w:b/>
          <w:bCs/>
          <w:i/>
          <w:iCs/>
          <w:szCs w:val="24"/>
        </w:rPr>
        <w:t>3.5 Remuneration and Incentive</w:t>
      </w:r>
    </w:p>
    <w:p>
      <w:pPr>
        <w:pStyle w:val="Normal"/>
        <w:ind w:firstLine="720"/>
        <w:jc w:val="both"/>
        <w:rPr>
          <w:b/>
          <w:bCs/>
          <w:szCs w:val="24"/>
        </w:rPr>
      </w:pPr>
      <w:r>
        <w:rPr>
          <w:b/>
          <w:bCs/>
          <w:szCs w:val="24"/>
        </w:rPr>
        <w:t>3.5.1 Remuneration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  <w:t>Remuneration refers to the compensation or payment that an individual receives for their work or services.</w:t>
      </w:r>
    </w:p>
    <w:tbl>
      <w:tblPr>
        <w:tblW w:w="11499" w:type="dxa"/>
        <w:jc w:val="left"/>
        <w:tblInd w:w="-1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0"/>
        <w:gridCol w:w="1084"/>
        <w:gridCol w:w="1364"/>
        <w:gridCol w:w="1949"/>
        <w:gridCol w:w="2401"/>
        <w:gridCol w:w="1951"/>
      </w:tblGrid>
      <w:tr>
        <w:trPr>
          <w:trHeight w:val="1240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TITLE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NO.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AMOUNT (KSH.)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ALLOWANCES (KSH.)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DEDUCTIONS (KSH.) i.e Tax, NHIF &amp; NSSF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NET MONTHLY PAY (KSH.)</w:t>
            </w:r>
          </w:p>
        </w:tc>
      </w:tr>
      <w:tr>
        <w:trPr/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Business Manager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120,000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20,000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19,900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120,100</w:t>
            </w:r>
          </w:p>
        </w:tc>
      </w:tr>
      <w:tr>
        <w:trPr/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Assistant Manager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100,000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15,000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16,700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98,300</w:t>
            </w:r>
          </w:p>
        </w:tc>
      </w:tr>
      <w:tr>
        <w:trPr/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Finance Manager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95,000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12,000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15,900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91,100</w:t>
            </w:r>
          </w:p>
        </w:tc>
      </w:tr>
      <w:tr>
        <w:trPr/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Human Resource Manager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95,000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12,000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15,900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91,100</w:t>
            </w:r>
          </w:p>
        </w:tc>
      </w:tr>
      <w:tr>
        <w:trPr/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Sales Manager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92,000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10,000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15,420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86,580</w:t>
            </w:r>
          </w:p>
        </w:tc>
      </w:tr>
      <w:tr>
        <w:trPr/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Receptionist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60,000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5,000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10,300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54,700</w:t>
            </w:r>
          </w:p>
        </w:tc>
      </w:tr>
      <w:tr>
        <w:trPr/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Office Cleaner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40,000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3,000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7,100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35,900</w:t>
            </w:r>
          </w:p>
        </w:tc>
      </w:tr>
      <w:tr>
        <w:trPr/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Tea lady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40,000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3,000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7,100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35,900</w:t>
            </w:r>
          </w:p>
        </w:tc>
      </w:tr>
      <w:tr>
        <w:trPr/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b/>
                <w:bCs/>
                <w:szCs w:val="24"/>
              </w:rPr>
            </w:pPr>
            <w:r>
              <w:rPr>
                <w:rFonts w:eastAsia="Calibri" w:cs="Times New Roman"/>
                <w:b/>
                <w:bCs/>
                <w:szCs w:val="24"/>
                <w:lang w:val="en-GB" w:eastAsia="en-GB" w:bidi="ar-SA"/>
              </w:rPr>
              <w:t>TOTAL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8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642,000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80,000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108,320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b/>
                <w:bCs/>
                <w:szCs w:val="24"/>
              </w:rPr>
            </w:pPr>
            <w:r>
              <w:rPr>
                <w:rFonts w:eastAsia="Calibri" w:cs="Times New Roman"/>
                <w:b/>
                <w:bCs/>
                <w:szCs w:val="24"/>
                <w:lang w:val="en-GB" w:eastAsia="en-GB" w:bidi="ar-SA"/>
              </w:rPr>
              <w:t>613,680</w:t>
            </w:r>
          </w:p>
        </w:tc>
      </w:tr>
    </w:tbl>
    <w:p>
      <w:pPr>
        <w:pStyle w:val="Normal"/>
        <w:tabs>
          <w:tab w:val="clear" w:pos="720"/>
          <w:tab w:val="left" w:pos="2580" w:leader="none"/>
        </w:tabs>
        <w:rPr/>
      </w:pPr>
      <w:r>
        <w:rPr/>
        <w:tab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numPr>
          <w:ilvl w:val="0"/>
          <w:numId w:val="0"/>
        </w:numPr>
        <w:jc w:val="both"/>
        <w:outlineLvl w:val="0"/>
        <w:rPr>
          <w:b/>
        </w:rPr>
      </w:pPr>
      <w:bookmarkStart w:id="0" w:name="_Toc8121"/>
      <w:r>
        <w:rPr>
          <w:b/>
        </w:rPr>
        <w:t>CHAPTER 4: OPERATIONAL PLAN</w:t>
      </w:r>
      <w:bookmarkEnd w:id="0"/>
    </w:p>
    <w:p>
      <w:pPr>
        <w:pStyle w:val="Normal"/>
        <w:jc w:val="both"/>
        <w:rPr/>
      </w:pPr>
      <w:r>
        <w:rPr/>
        <w:t xml:space="preserve">This chapter talks about how the business will operate, strategy to be implemented, production process and the rules that will be upheld during production of our services.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  <w:t>4.1 Production Facilities and Capacities</w:t>
      </w:r>
    </w:p>
    <w:tbl>
      <w:tblPr>
        <w:tblW w:w="105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2136"/>
        <w:gridCol w:w="2265"/>
        <w:gridCol w:w="1816"/>
        <w:gridCol w:w="2522"/>
      </w:tblGrid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ITEM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CAPACITY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PRICE PER UNIT (KSH.)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TOTAL PRICE (KSH.)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SUPPLIER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Office Desks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5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24,520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122,600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TACC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Office chairs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5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18,900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94,500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TACC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Office Guest Chair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10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17,800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178,000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TACC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Laptops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5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82,000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410,000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Mombasa Computers LTD.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CCTV Cameras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5,850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23,400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HIKVISION LTD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Receptionist Desk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79,100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79,100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TACC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 xml:space="preserve">Waiting area seats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27,700 per 2-Seater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55,400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TACC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Water Dispenser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2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8,000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16,000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Hotpoint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Files storage space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3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15,440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46,320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TACC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Stationery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5 sets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1,000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5,000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Text Book Centre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Lighting Fixtures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10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3,700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37,000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TACC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 xml:space="preserve">Floor Carpet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97,920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97,920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TACC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Premise Layout</w:t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  <w:drawing>
          <wp:inline distT="0" distB="0" distL="0" distR="0">
            <wp:extent cx="3907790" cy="2399030"/>
            <wp:effectExtent l="0" t="0" r="0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 w:before="0" w:after="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emf"/><Relationship Id="rId4" Type="http://schemas.openxmlformats.org/officeDocument/2006/relationships/image" Target="media/image2.wmf"/><Relationship Id="rId5" Type="http://schemas.openxmlformats.org/officeDocument/2006/relationships/image" Target="media/image3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en-US" sz="1800" spc="-1" strike="noStrike">
                <a:solidFill>
                  <a:srgbClr val="404040"/>
                </a:solidFill>
                <a:latin typeface="Calibri"/>
              </a:defRPr>
            </a:pPr>
            <a:r>
              <a:rPr b="1" lang="en-US" sz="1800" spc="-1" strike="noStrike">
                <a:solidFill>
                  <a:srgbClr val="404040"/>
                </a:solidFill>
                <a:latin typeface="Calibri"/>
              </a:rPr>
              <a:t>Sales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0738535686441279"/>
          <c:y val="0.18444675422848"/>
          <c:w val="0.586788574668651"/>
          <c:h val="0.782292355664745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rgbClr val="4472c4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4472c4"/>
              </a:solidFill>
              <a:ln w="0">
                <a:noFill/>
              </a:ln>
            </c:spPr>
          </c:dPt>
          <c:dPt>
            <c:idx val="1"/>
            <c:spPr>
              <a:solidFill>
                <a:srgbClr val="ed7d31"/>
              </a:solidFill>
              <a:ln w="0">
                <a:noFill/>
              </a:ln>
            </c:spPr>
          </c:dPt>
          <c:dPt>
            <c:idx val="2"/>
            <c:spPr>
              <a:solidFill>
                <a:srgbClr val="a5a5a5"/>
              </a:solidFill>
              <a:ln w="0">
                <a:noFill/>
              </a:ln>
            </c:spPr>
          </c:dPt>
          <c:dPt>
            <c:idx val="3"/>
            <c:spPr>
              <a:solidFill>
                <a:srgbClr val="ffc000"/>
              </a:solidFill>
              <a:ln w="0">
                <a:noFill/>
              </a:ln>
            </c:spPr>
          </c:dPt>
          <c:dLbls>
            <c:dLbl>
              <c:idx val="0"/>
              <c:spPr>
                <a:solidFill>
                  <a:srgbClr val="595959"/>
                </a:solidFill>
              </c:spPr>
              <c:txPr>
                <a:bodyPr wrap="square"/>
                <a:lstStyle/>
                <a:p>
                  <a:pPr>
                    <a:defRPr b="1" lang="en-US" sz="1000" spc="-1" strike="noStrike">
                      <a:solidFill>
                        <a:srgbClr val="ffffff"/>
                      </a:solidFill>
                      <a:latin typeface="Calibri"/>
                    </a:defRPr>
                  </a:pPr>
                </a:p>
              </c:txPr>
              <c:tx>
                <c:rich>
                  <a:bodyPr/>
                  <a:p>
                    <a:r>
                      <a:rPr b="1" lang="en-US" sz="1000" spc="-1" strike="noStrike">
                        <a:solidFill>
                          <a:srgbClr val="ffffff"/>
                        </a:solidFill>
                        <a:latin typeface="Calibri"/>
                      </a:rPr>
                      <a:t>50%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eparator>
</c:separator>
            </c:dLbl>
            <c:dLbl>
              <c:idx val="1"/>
              <c:spPr>
                <a:solidFill>
                  <a:srgbClr val="595959"/>
                </a:solidFill>
              </c:spPr>
              <c:txPr>
                <a:bodyPr wrap="square"/>
                <a:lstStyle/>
                <a:p>
                  <a:pPr>
                    <a:defRPr b="1" lang="en-US" sz="1000" spc="-1" strike="noStrike">
                      <a:solidFill>
                        <a:srgbClr val="ffffff"/>
                      </a:solidFill>
                      <a:latin typeface="Calibri"/>
                    </a:defRPr>
                  </a:pPr>
                </a:p>
              </c:txPr>
              <c:tx>
                <c:rich>
                  <a:bodyPr/>
                  <a:p>
                    <a:r>
                      <a:rPr b="1" lang="en-US" sz="1000" spc="-1" strike="noStrike">
                        <a:solidFill>
                          <a:srgbClr val="ffffff"/>
                        </a:solidFill>
                        <a:latin typeface="Calibri"/>
                      </a:rPr>
                      <a:t>39%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eparator>
</c:separator>
            </c:dLbl>
            <c:dLbl>
              <c:idx val="2"/>
              <c:spPr>
                <a:solidFill>
                  <a:srgbClr val="595959"/>
                </a:solidFill>
              </c:spPr>
              <c:txPr>
                <a:bodyPr wrap="square"/>
                <a:lstStyle/>
                <a:p>
                  <a:pPr>
                    <a:defRPr b="1" lang="en-US" sz="1000" spc="-1" strike="noStrike">
                      <a:solidFill>
                        <a:srgbClr val="ffffff"/>
                      </a:solidFill>
                      <a:latin typeface="Calibri"/>
                    </a:defRPr>
                  </a:pPr>
                </a:p>
              </c:txPr>
              <c:tx>
                <c:rich>
                  <a:bodyPr/>
                  <a:p>
                    <a:r>
                      <a:rPr b="1" lang="en-US" sz="1000" spc="-1" strike="noStrike">
                        <a:solidFill>
                          <a:srgbClr val="ffffff"/>
                        </a:solidFill>
                        <a:latin typeface="Calibri"/>
                      </a:rPr>
                      <a:t>9%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eparator>
</c:separator>
            </c:dLbl>
            <c:dLbl>
              <c:idx val="3"/>
              <c:spPr>
                <a:solidFill>
                  <a:srgbClr val="595959"/>
                </a:solidFill>
              </c:spPr>
              <c:txPr>
                <a:bodyPr wrap="square"/>
                <a:lstStyle/>
                <a:p>
                  <a:pPr>
                    <a:defRPr b="1" lang="en-US" sz="1000" spc="-1" strike="noStrike">
                      <a:solidFill>
                        <a:srgbClr val="ffffff"/>
                      </a:solidFill>
                      <a:latin typeface="Calibri"/>
                    </a:defRPr>
                  </a:pPr>
                </a:p>
              </c:txPr>
              <c:tx>
                <c:rich>
                  <a:bodyPr/>
                  <a:p>
                    <a:r>
                      <a:rPr b="1" lang="en-US" sz="1000" spc="-1" strike="noStrike">
                        <a:solidFill>
                          <a:srgbClr val="ffffff"/>
                        </a:solidFill>
                        <a:latin typeface="Calibri"/>
                      </a:rPr>
                      <a:t>2%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eparator>
</c:separator>
            </c:dLbl>
            <c:spPr>
              <a:solidFill>
                <a:srgbClr val="595959"/>
              </a:solidFill>
            </c:spPr>
            <c:txPr>
              <a:bodyPr wrap="square"/>
              <a:lstStyle/>
              <a:p>
                <a:pPr>
                  <a:defRPr b="1" lang="en-US" sz="1000" spc="-1" strike="noStrike">
                    <a:solidFill>
                      <a:srgbClr val="ffffff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eparator>
</c:separator>
            <c:showLeaderLines val="1"/>
          </c:dLbls>
          <c:cat>
            <c:strRef>
              <c:f>categories</c:f>
              <c:strCache>
                <c:ptCount val="4"/>
                <c:pt idx="0">
                  <c:v>Event House Kenya</c:v>
                </c:pt>
                <c:pt idx="1">
                  <c:v>Pearls and Roses</c:v>
                </c:pt>
                <c:pt idx="2">
                  <c:v>Yellow Hummingbird</c:v>
                </c:pt>
                <c:pt idx="3">
                  <c:v>Dreamscape Events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0.5</c:v>
                </c:pt>
                <c:pt idx="1">
                  <c:v>0.39</c:v>
                </c:pt>
                <c:pt idx="2">
                  <c:v>0.09</c:v>
                </c:pt>
                <c:pt idx="3">
                  <c:v>0.02</c:v>
                </c:pt>
              </c:numCache>
            </c:numRef>
          </c:val>
        </c:ser>
        <c:firstSliceAng val="0"/>
      </c:pieChart>
      <c:spPr>
        <a:noFill/>
        <a:ln w="0">
          <a:noFill/>
        </a:ln>
      </c:spPr>
    </c:plotArea>
    <c:legend>
      <c:legendPos val="r"/>
      <c:overlay val="0"/>
      <c:spPr>
        <a:solidFill>
          <a:srgbClr val="f2f2f2">
            <a:alpha val="39000"/>
          </a:srgbClr>
        </a:solidFill>
        <a:ln w="0">
          <a:noFill/>
        </a:ln>
      </c:spPr>
      <c:txPr>
        <a:bodyPr/>
        <a:lstStyle/>
        <a:p>
          <a:pPr>
            <a:defRPr b="0" lang="en-US" sz="900" spc="-1" strike="noStrike">
              <a:solidFill>
                <a:srgbClr val="404040"/>
              </a:solidFill>
              <a:latin typeface="Calibri"/>
            </a:defRPr>
          </a:pPr>
        </a:p>
      </c:txPr>
    </c:legend>
    <c:plotVisOnly val="1"/>
    <c:dispBlanksAs val="gap"/>
  </c:chart>
  <c:spPr>
    <a:gradFill>
      <a:gsLst>
        <a:gs pos="0">
          <a:srgbClr val="ffffff"/>
        </a:gs>
        <a:gs pos="39000">
          <a:srgbClr val="ffffff"/>
        </a:gs>
        <a:gs pos="100000">
          <a:srgbClr val="bfbfbf"/>
        </a:gs>
      </a:gsLst>
      <a:path path="circle">
        <a:fillToRect l="50000" t="0" r="50000" b="100000"/>
      </a:path>
    </a:gradFill>
    <a:ln w="9360">
      <a:solidFill>
        <a:srgbClr val="bfbfbf"/>
      </a:solidFill>
      <a:round/>
    </a:ln>
  </c:spPr>
  <c:externalData r:id="rId1"/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Application>LibreOffice/24.2.7.2$Linux_X86_64 LibreOffice_project/420$Build-2</Application>
  <AppVersion>15.0000</AppVersion>
  <Pages>5</Pages>
  <Words>588</Words>
  <Characters>3062</Characters>
  <CharactersWithSpaces>3453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2024-01-25T19:17:00Z</dcterms:created>
  <dc:creator>Gladwell Kiwara</dc:creator>
  <dc:description/>
  <dc:language>en-US</dc:language>
  <cp:lastModifiedBy/>
  <dcterms:modified xsi:type="dcterms:W3CDTF">2025-05-09T14:45:47Z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