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rFonts w:ascii="Times New Roman" w:hAnsi="Times New Roman"/>
        </w:rPr>
      </w:pPr>
      <w:r>
        <w:rPr>
          <w:rFonts w:eastAsia="Times New Roman" w:ascii="Times New Roman" w:hAnsi="Times New Roman"/>
          <w:b w:val="false"/>
          <w:bCs w:val="false"/>
          <w:i w:val="false"/>
          <w:iCs w:val="false"/>
          <w:sz w:val="24"/>
          <w:szCs w:val="24"/>
          <w:u w:val="none"/>
          <w:lang w:val="en-GB"/>
        </w:rPr>
        <w:t>Bsc Information Science Year Three, 2025</w:t>
      </w:r>
    </w:p>
    <w:p>
      <w:pPr>
        <w:pStyle w:val="Normal"/>
        <w:bidi w:val="0"/>
        <w:spacing w:lineRule="auto" w:line="360"/>
        <w:jc w:val="start"/>
        <w:rPr>
          <w:rFonts w:ascii="Times New Roman" w:hAnsi="Times New Roman"/>
        </w:rPr>
      </w:pPr>
      <w:r>
        <w:rPr>
          <w:rFonts w:eastAsia="Times New Roman" w:ascii="Times New Roman" w:hAnsi="Times New Roman"/>
          <w:b w:val="false"/>
          <w:bCs w:val="false"/>
          <w:i w:val="false"/>
          <w:iCs w:val="false"/>
          <w:sz w:val="24"/>
          <w:szCs w:val="24"/>
          <w:u w:val="none"/>
          <w:lang w:val="en-GB"/>
        </w:rPr>
        <w:t xml:space="preserve">Name: Lewis Kariuki </w:t>
      </w:r>
    </w:p>
    <w:p>
      <w:pPr>
        <w:pStyle w:val="Normal"/>
        <w:bidi w:val="0"/>
        <w:spacing w:lineRule="auto" w:line="360"/>
        <w:jc w:val="start"/>
        <w:rPr>
          <w:rFonts w:ascii="Times New Roman" w:hAnsi="Times New Roman"/>
        </w:rPr>
      </w:pPr>
      <w:r>
        <w:rPr>
          <w:rFonts w:eastAsia="Times New Roman" w:ascii="Times New Roman" w:hAnsi="Times New Roman"/>
          <w:b w:val="false"/>
          <w:bCs w:val="false"/>
          <w:i w:val="false"/>
          <w:iCs w:val="false"/>
          <w:sz w:val="24"/>
          <w:szCs w:val="24"/>
          <w:u w:val="none"/>
          <w:lang w:val="en-GB"/>
        </w:rPr>
        <w:t>Admission: AIIM/00477/2021</w:t>
      </w:r>
    </w:p>
    <w:p>
      <w:pPr>
        <w:pStyle w:val="Normal"/>
        <w:bidi w:val="0"/>
        <w:spacing w:lineRule="auto" w:line="360"/>
        <w:jc w:val="start"/>
        <w:rPr/>
      </w:pPr>
      <w:r>
        <w:rPr>
          <w:rStyle w:val="Strong"/>
          <w:rFonts w:eastAsia="Times New Roman" w:ascii="Times New Roman" w:hAnsi="Times New Roman"/>
          <w:b w:val="false"/>
          <w:bCs w:val="false"/>
          <w:i w:val="false"/>
          <w:iCs w:val="false"/>
          <w:sz w:val="24"/>
          <w:szCs w:val="24"/>
          <w:u w:val="none"/>
          <w:lang w:val="en-GB"/>
        </w:rPr>
        <w:t xml:space="preserve">Course: Business plan </w:t>
      </w:r>
    </w:p>
    <w:p>
      <w:pPr>
        <w:pStyle w:val="Heading2"/>
        <w:bidi w:val="0"/>
        <w:spacing w:lineRule="auto" w:line="360" w:before="200" w:after="120"/>
        <w:ind w:hanging="0" w:start="0" w:end="0"/>
        <w:jc w:val="center"/>
        <w:rPr/>
      </w:pPr>
      <w:r>
        <w:rPr>
          <w:rStyle w:val="Strong"/>
          <w:rFonts w:eastAsia="Times New Roman" w:ascii="Times New Roman" w:hAnsi="Times New Roman"/>
          <w:b/>
          <w:bCs/>
          <w:sz w:val="24"/>
          <w:szCs w:val="24"/>
          <w:u w:val="single"/>
        </w:rPr>
        <w:t>5. Financial plan</w:t>
      </w:r>
    </w:p>
    <w:p>
      <w:pPr>
        <w:pStyle w:val="Heading2"/>
        <w:bidi w:val="0"/>
        <w:spacing w:lineRule="auto" w:line="360"/>
        <w:ind w:hanging="0" w:start="0" w:end="0"/>
        <w:jc w:val="start"/>
        <w:rPr/>
      </w:pPr>
      <w:r>
        <w:rPr>
          <w:rStyle w:val="Strong"/>
          <w:rFonts w:eastAsia="Times New Roman" w:ascii="Times New Roman" w:hAnsi="Times New Roman"/>
          <w:b/>
          <w:bCs/>
          <w:sz w:val="24"/>
          <w:szCs w:val="24"/>
        </w:rPr>
        <w:t xml:space="preserve"> </w:t>
      </w:r>
      <w:r>
        <w:rPr>
          <w:rStyle w:val="Strong"/>
          <w:rFonts w:eastAsia="Times New Roman" w:ascii="Times New Roman" w:hAnsi="Times New Roman"/>
          <w:b/>
          <w:bCs/>
          <w:sz w:val="24"/>
          <w:szCs w:val="24"/>
        </w:rPr>
        <w:t xml:space="preserve">Key Assumptions </w:t>
      </w:r>
    </w:p>
    <w:p>
      <w:pPr>
        <w:pStyle w:val="BodyText"/>
        <w:bidi w:val="0"/>
        <w:spacing w:lineRule="auto" w:line="360"/>
        <w:ind w:hanging="0" w:start="0" w:end="0"/>
        <w:jc w:val="start"/>
        <w:rPr/>
      </w:pPr>
      <w:r>
        <w:rPr>
          <w:rStyle w:val="Strong"/>
          <w:rFonts w:eastAsia="Times New Roman" w:ascii="Times New Roman" w:hAnsi="Times New Roman"/>
          <w:b w:val="false"/>
          <w:bCs w:val="false"/>
          <w:sz w:val="24"/>
          <w:szCs w:val="24"/>
        </w:rPr>
        <w:t xml:space="preserve">1. Tax Rate: Kenya’s 16% corporate tax applied to profits only (Year 2 onward).  </w:t>
      </w:r>
    </w:p>
    <w:p>
      <w:pPr>
        <w:pStyle w:val="BodyText"/>
        <w:bidi w:val="0"/>
        <w:spacing w:lineRule="auto" w:line="360"/>
        <w:ind w:hanging="0" w:start="0" w:end="0"/>
        <w:jc w:val="start"/>
        <w:rPr/>
      </w:pPr>
      <w:r>
        <w:rPr>
          <w:rStyle w:val="Strong"/>
          <w:rFonts w:eastAsia="Times New Roman" w:ascii="Times New Roman" w:hAnsi="Times New Roman"/>
          <w:b w:val="false"/>
          <w:bCs w:val="false"/>
          <w:sz w:val="24"/>
          <w:szCs w:val="24"/>
        </w:rPr>
        <w:t xml:space="preserve">2. Salaries: Reflect part-time staff and gig workers (example; Head of Web Dev: KES 80,000/month).  </w:t>
      </w:r>
    </w:p>
    <w:p>
      <w:pPr>
        <w:pStyle w:val="BodyText"/>
        <w:bidi w:val="0"/>
        <w:spacing w:lineRule="auto" w:line="360"/>
        <w:ind w:hanging="0" w:start="0" w:end="0"/>
        <w:jc w:val="start"/>
        <w:rPr/>
      </w:pPr>
      <w:r>
        <w:rPr>
          <w:rStyle w:val="Strong"/>
          <w:rFonts w:eastAsia="Times New Roman" w:ascii="Times New Roman" w:hAnsi="Times New Roman"/>
          <w:b w:val="false"/>
          <w:bCs w:val="false"/>
          <w:sz w:val="24"/>
          <w:szCs w:val="24"/>
        </w:rPr>
        <w:t xml:space="preserve">3. Client Growth: Year 1 (20 clients), Year 2 (50 clients), Year 3 (100 clients).  </w:t>
      </w:r>
    </w:p>
    <w:p>
      <w:pPr>
        <w:pStyle w:val="BodyText"/>
        <w:bidi w:val="0"/>
        <w:spacing w:lineRule="auto" w:line="360"/>
        <w:ind w:hanging="0" w:start="0" w:end="0"/>
        <w:jc w:val="start"/>
        <w:rPr/>
      </w:pPr>
      <w:r>
        <w:rPr>
          <w:rStyle w:val="Strong"/>
          <w:rFonts w:eastAsia="Times New Roman" w:ascii="Times New Roman" w:hAnsi="Times New Roman"/>
          <w:b w:val="false"/>
          <w:bCs w:val="false"/>
          <w:sz w:val="24"/>
          <w:szCs w:val="24"/>
        </w:rPr>
        <w:t xml:space="preserve">4. Pricing: Average KES 25,000/client/year.  </w:t>
      </w:r>
    </w:p>
    <w:p>
      <w:pPr>
        <w:pStyle w:val="Heading2"/>
        <w:bidi w:val="0"/>
        <w:spacing w:lineRule="auto" w:line="360"/>
        <w:ind w:hanging="0" w:start="0" w:end="0"/>
        <w:jc w:val="start"/>
        <w:rPr/>
      </w:pPr>
      <w:r>
        <w:rPr>
          <w:rStyle w:val="Strong"/>
          <w:rFonts w:eastAsia="Times New Roman" w:ascii="Times New Roman" w:hAnsi="Times New Roman"/>
          <w:b/>
          <w:bCs/>
          <w:sz w:val="24"/>
          <w:szCs w:val="24"/>
        </w:rPr>
        <w:t>5.1 Pre-Operational Costs</w:t>
      </w:r>
    </w:p>
    <w:tbl>
      <w:tblPr>
        <w:tblW w:w="5094" w:type="dxa"/>
        <w:jc w:val="start"/>
        <w:tblInd w:w="-30" w:type="dxa"/>
        <w:tblLayout w:type="fixed"/>
        <w:tblCellMar>
          <w:top w:w="0" w:type="dxa"/>
          <w:start w:w="7" w:type="dxa"/>
          <w:bottom w:w="0" w:type="dxa"/>
          <w:end w:w="0" w:type="dxa"/>
        </w:tblCellMar>
      </w:tblPr>
      <w:tblGrid>
        <w:gridCol w:w="3010"/>
        <w:gridCol w:w="2083"/>
      </w:tblGrid>
      <w:tr>
        <w:trPr>
          <w:trHeight w:val="300" w:hRule="atLeast"/>
        </w:trPr>
        <w:tc>
          <w:tcPr>
            <w:tcW w:w="3010" w:type="dxa"/>
            <w:tcBorders>
              <w:top w:val="single" w:sz="6" w:space="0" w:color="CE181E"/>
              <w:start w:val="single" w:sz="6" w:space="0" w:color="CE181E"/>
            </w:tcBorders>
            <w:shd w:fill="CE181E" w:val="clear"/>
            <w:vAlign w:val="bottom"/>
          </w:tcPr>
          <w:p>
            <w:pPr>
              <w:pStyle w:val="Normal"/>
              <w:tabs>
                <w:tab w:val="clear" w:pos="709"/>
              </w:tabs>
              <w:bidi w:val="0"/>
              <w:spacing w:lineRule="auto" w:line="360"/>
              <w:jc w:val="start"/>
              <w:rPr/>
            </w:pPr>
            <w:r>
              <w:rPr>
                <w:rStyle w:val="Strong"/>
                <w:rFonts w:eastAsia="Times New Roman" w:ascii="Times New Roman" w:hAnsi="Times New Roman"/>
                <w:b/>
                <w:i w:val="false"/>
                <w:iCs w:val="false"/>
                <w:strike w:val="false"/>
                <w:dstrike w:val="false"/>
                <w:outline w:val="false"/>
                <w:shadow w:val="false"/>
                <w:color w:val="FFFFFF"/>
                <w:sz w:val="24"/>
                <w:szCs w:val="24"/>
                <w:u w:val="none"/>
              </w:rPr>
              <w:t>Item</w:t>
            </w:r>
          </w:p>
        </w:tc>
        <w:tc>
          <w:tcPr>
            <w:tcW w:w="2083" w:type="dxa"/>
            <w:tcBorders>
              <w:top w:val="single" w:sz="6" w:space="0" w:color="CE181E"/>
              <w:end w:val="single" w:sz="6" w:space="0" w:color="CE181E"/>
            </w:tcBorders>
            <w:shd w:fill="CE181E"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FFFFFF"/>
                <w:sz w:val="24"/>
                <w:szCs w:val="24"/>
                <w:u w:val="none"/>
              </w:rPr>
              <w:t>Amount(Khs)</w:t>
            </w:r>
          </w:p>
        </w:tc>
      </w:tr>
      <w:tr>
        <w:trPr>
          <w:trHeight w:val="300"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Equipment (5 computers, software)</w:t>
            </w:r>
          </w:p>
        </w:tc>
        <w:tc>
          <w:tcPr>
            <w:tcW w:w="2083" w:type="dxa"/>
            <w:tcBorders>
              <w:end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KSh155,000.00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Trading License</w:t>
            </w:r>
          </w:p>
        </w:tc>
        <w:tc>
          <w:tcPr>
            <w:tcW w:w="2083" w:type="dxa"/>
            <w:tcBorders>
              <w:end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KSh20,000.00</w:t>
            </w:r>
          </w:p>
        </w:tc>
      </w:tr>
      <w:tr>
        <w:trPr>
          <w:trHeight w:val="300"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Electricity Deposit</w:t>
            </w:r>
          </w:p>
        </w:tc>
        <w:tc>
          <w:tcPr>
            <w:tcW w:w="2083" w:type="dxa"/>
            <w:tcBorders>
              <w:end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KSh2,000.00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Internet Deposit</w:t>
            </w:r>
          </w:p>
        </w:tc>
        <w:tc>
          <w:tcPr>
            <w:tcW w:w="2083" w:type="dxa"/>
            <w:tcBorders>
              <w:end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KSh3,000.00</w:t>
            </w:r>
          </w:p>
        </w:tc>
      </w:tr>
      <w:tr>
        <w:trPr>
          <w:trHeight w:val="432"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Professional Fees (Legal)</w:t>
            </w:r>
          </w:p>
        </w:tc>
        <w:tc>
          <w:tcPr>
            <w:tcW w:w="2083" w:type="dxa"/>
            <w:tcBorders>
              <w:end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Initial Advertising</w:t>
            </w:r>
          </w:p>
        </w:tc>
        <w:tc>
          <w:tcPr>
            <w:tcW w:w="2083" w:type="dxa"/>
            <w:tcBorders>
              <w:end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KSh20,000.00</w:t>
            </w:r>
          </w:p>
        </w:tc>
      </w:tr>
      <w:tr>
        <w:trPr>
          <w:trHeight w:val="300"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Miscellaneous</w:t>
            </w:r>
          </w:p>
        </w:tc>
        <w:tc>
          <w:tcPr>
            <w:tcW w:w="2083" w:type="dxa"/>
            <w:tcBorders>
              <w:end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KSh10,000.00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Total</w:t>
            </w:r>
          </w:p>
        </w:tc>
        <w:tc>
          <w:tcPr>
            <w:tcW w:w="2083" w:type="dxa"/>
            <w:tcBorders>
              <w:bottom w:val="single" w:sz="6" w:space="0" w:color="CE181E"/>
              <w:end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KSh220,000.00</w:t>
            </w:r>
          </w:p>
        </w:tc>
      </w:tr>
    </w:tbl>
    <w:p>
      <w:pPr>
        <w:pStyle w:val="Normal"/>
        <w:bidi w:val="0"/>
        <w:spacing w:lineRule="auto" w:line="360"/>
        <w:jc w:val="start"/>
        <w:rPr>
          <w:rFonts w:ascii="Times New Roman" w:hAnsi="Times New Roman" w:eastAsia="Times New Roman"/>
        </w:rPr>
      </w:pPr>
      <w:r>
        <w:rPr>
          <w:rFonts w:eastAsia="Times New Roman" w:ascii="Times New Roman" w:hAnsi="Times New Roman"/>
        </w:rPr>
      </w:r>
    </w:p>
    <w:p>
      <w:pPr>
        <w:pStyle w:val="Heading2"/>
        <w:bidi w:val="0"/>
        <w:spacing w:lineRule="auto" w:line="360"/>
        <w:jc w:val="start"/>
        <w:rPr/>
      </w:pPr>
      <w:r>
        <w:rPr>
          <w:rStyle w:val="Strong"/>
          <w:rFonts w:eastAsia="Times New Roman" w:ascii="Times New Roman" w:hAnsi="Times New Roman"/>
          <w:b/>
          <w:bCs/>
          <w:sz w:val="24"/>
          <w:szCs w:val="24"/>
        </w:rPr>
        <w:t xml:space="preserve"> </w:t>
      </w:r>
    </w:p>
    <w:p>
      <w:pPr>
        <w:pStyle w:val="Heading2"/>
        <w:bidi w:val="0"/>
        <w:spacing w:lineRule="auto" w:line="360"/>
        <w:jc w:val="start"/>
        <w:rPr>
          <w:rFonts w:ascii="Times New Roman" w:hAnsi="Times New Roman" w:eastAsia="Times New Roman"/>
          <w:b/>
          <w:bCs/>
          <w:sz w:val="24"/>
          <w:szCs w:val="24"/>
        </w:rPr>
      </w:pPr>
      <w:r>
        <w:rPr>
          <w:rFonts w:eastAsia="Times New Roman" w:ascii="Times New Roman" w:hAnsi="Times New Roman"/>
          <w:b/>
          <w:bCs/>
          <w:sz w:val="24"/>
          <w:szCs w:val="24"/>
        </w:rPr>
      </w:r>
      <w:r>
        <w:br w:type="page"/>
      </w:r>
    </w:p>
    <w:p>
      <w:pPr>
        <w:pStyle w:val="Heading2"/>
        <w:bidi w:val="0"/>
        <w:spacing w:lineRule="auto" w:line="360" w:before="0" w:after="120"/>
        <w:jc w:val="start"/>
        <w:rPr/>
      </w:pPr>
      <w:r>
        <w:rPr>
          <w:rStyle w:val="Strong"/>
          <w:rFonts w:eastAsia="Times New Roman" w:ascii="Times New Roman" w:hAnsi="Times New Roman"/>
          <w:b/>
          <w:bCs/>
          <w:sz w:val="24"/>
          <w:szCs w:val="24"/>
        </w:rPr>
        <w:t>5.2 Working Capital Requirement</w:t>
      </w:r>
    </w:p>
    <w:p>
      <w:pPr>
        <w:pStyle w:val="Heading2"/>
        <w:bidi w:val="0"/>
        <w:spacing w:lineRule="auto" w:line="360"/>
        <w:jc w:val="start"/>
        <w:rPr>
          <w:rFonts w:ascii="Times New Roman" w:hAnsi="Times New Roman" w:eastAsia="Times New Roman"/>
          <w:b w:val="false"/>
          <w:bCs w:val="false"/>
          <w:sz w:val="24"/>
          <w:szCs w:val="24"/>
        </w:rPr>
      </w:pPr>
      <w:r>
        <w:rPr>
          <w:rFonts w:eastAsia="Times New Roman" w:ascii="Times New Roman" w:hAnsi="Times New Roman"/>
          <w:b w:val="false"/>
          <w:bCs w:val="false"/>
          <w:sz w:val="24"/>
          <w:szCs w:val="24"/>
        </w:rPr>
      </w:r>
    </w:p>
    <w:tbl>
      <w:tblPr>
        <w:tblW w:w="9478" w:type="dxa"/>
        <w:jc w:val="start"/>
        <w:tblInd w:w="-30" w:type="dxa"/>
        <w:tblLayout w:type="fixed"/>
        <w:tblCellMar>
          <w:top w:w="0" w:type="dxa"/>
          <w:start w:w="7" w:type="dxa"/>
          <w:bottom w:w="0" w:type="dxa"/>
          <w:end w:w="0" w:type="dxa"/>
        </w:tblCellMar>
      </w:tblPr>
      <w:tblGrid>
        <w:gridCol w:w="3010"/>
        <w:gridCol w:w="2084"/>
        <w:gridCol w:w="2223"/>
        <w:gridCol w:w="2160"/>
      </w:tblGrid>
      <w:tr>
        <w:trPr>
          <w:trHeight w:val="537" w:hRule="atLeast"/>
        </w:trPr>
        <w:tc>
          <w:tcPr>
            <w:tcW w:w="3010" w:type="dxa"/>
            <w:tcBorders>
              <w:top w:val="single" w:sz="6" w:space="0" w:color="CE181E"/>
              <w:start w:val="single" w:sz="6" w:space="0" w:color="CE181E"/>
            </w:tcBorders>
            <w:shd w:fill="CE181E" w:val="clear"/>
            <w:vAlign w:val="bottom"/>
          </w:tcPr>
          <w:p>
            <w:pPr>
              <w:pStyle w:val="Normal"/>
              <w:tabs>
                <w:tab w:val="clear" w:pos="709"/>
              </w:tabs>
              <w:bidi w:val="0"/>
              <w:spacing w:lineRule="auto" w:line="360"/>
              <w:jc w:val="start"/>
              <w:rPr/>
            </w:pPr>
            <w:r>
              <w:rPr>
                <w:rStyle w:val="Strong"/>
                <w:rFonts w:eastAsia="Times New Roman" w:ascii="Times New Roman" w:hAnsi="Times New Roman"/>
                <w:b/>
                <w:i w:val="false"/>
                <w:iCs w:val="false"/>
                <w:strike w:val="false"/>
                <w:dstrike w:val="false"/>
                <w:outline w:val="false"/>
                <w:shadow w:val="false"/>
                <w:color w:val="FFFFFF"/>
                <w:sz w:val="24"/>
                <w:szCs w:val="24"/>
                <w:u w:val="none"/>
              </w:rPr>
              <w:t>Working capital</w:t>
            </w:r>
            <w:r>
              <w:rPr>
                <w:rFonts w:eastAsia="Times New Roman" w:ascii="Times New Roman" w:hAnsi="Times New Roman"/>
                <w:b/>
                <w:bCs/>
                <w:i w:val="false"/>
                <w:iCs w:val="false"/>
                <w:strike w:val="false"/>
                <w:dstrike w:val="false"/>
                <w:outline w:val="false"/>
                <w:shadow w:val="false"/>
                <w:color w:val="FFFFFF"/>
                <w:sz w:val="24"/>
                <w:szCs w:val="24"/>
                <w:u w:val="none"/>
              </w:rPr>
              <w:br/>
              <w:t>Item</w:t>
            </w:r>
          </w:p>
        </w:tc>
        <w:tc>
          <w:tcPr>
            <w:tcW w:w="2084" w:type="dxa"/>
            <w:tcBorders>
              <w:top w:val="single" w:sz="6" w:space="0" w:color="CE181E"/>
            </w:tcBorders>
            <w:shd w:fill="CE181E"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FFFFFF"/>
                <w:sz w:val="24"/>
                <w:szCs w:val="24"/>
                <w:u w:val="none"/>
              </w:rPr>
              <w:t>Year 1</w:t>
            </w:r>
          </w:p>
        </w:tc>
        <w:tc>
          <w:tcPr>
            <w:tcW w:w="2223" w:type="dxa"/>
            <w:tcBorders>
              <w:top w:val="single" w:sz="6" w:space="0" w:color="CE181E"/>
            </w:tcBorders>
            <w:shd w:fill="CE181E"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FFFFFF"/>
                <w:sz w:val="24"/>
                <w:szCs w:val="24"/>
                <w:u w:val="none"/>
              </w:rPr>
              <w:t>Year 2</w:t>
            </w:r>
          </w:p>
        </w:tc>
        <w:tc>
          <w:tcPr>
            <w:tcW w:w="2160" w:type="dxa"/>
            <w:tcBorders>
              <w:top w:val="single" w:sz="6" w:space="0" w:color="CE181E"/>
              <w:end w:val="single" w:sz="6" w:space="0" w:color="CE181E"/>
            </w:tcBorders>
            <w:shd w:fill="CE181E"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FFFFFF"/>
                <w:sz w:val="24"/>
                <w:szCs w:val="24"/>
                <w:u w:val="none"/>
              </w:rPr>
              <w:t>Year 3</w:t>
            </w:r>
          </w:p>
        </w:tc>
      </w:tr>
      <w:tr>
        <w:trPr>
          <w:trHeight w:val="300"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Cash Reserves</w:t>
            </w:r>
          </w:p>
        </w:tc>
        <w:tc>
          <w:tcPr>
            <w:tcW w:w="2084"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KSh300,000.00</w:t>
            </w:r>
          </w:p>
        </w:tc>
        <w:tc>
          <w:tcPr>
            <w:tcW w:w="2223"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KSh500,000.00</w:t>
            </w:r>
          </w:p>
        </w:tc>
        <w:tc>
          <w:tcPr>
            <w:tcW w:w="2160" w:type="dxa"/>
            <w:tcBorders>
              <w:end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KSh800,000.00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Debtors (30-day terms)</w:t>
            </w:r>
          </w:p>
        </w:tc>
        <w:tc>
          <w:tcPr>
            <w:tcW w:w="2084" w:type="dxa"/>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KSh50,000.00</w:t>
            </w:r>
          </w:p>
        </w:tc>
        <w:tc>
          <w:tcPr>
            <w:tcW w:w="2223" w:type="dxa"/>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KSh100,000.00</w:t>
            </w:r>
          </w:p>
        </w:tc>
        <w:tc>
          <w:tcPr>
            <w:tcW w:w="2160" w:type="dxa"/>
            <w:tcBorders>
              <w:end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KSh200,000.00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Total</w:t>
            </w:r>
          </w:p>
        </w:tc>
        <w:tc>
          <w:tcPr>
            <w:tcW w:w="2084" w:type="dxa"/>
            <w:tcBorders>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KSh350,000.00</w:t>
            </w:r>
          </w:p>
        </w:tc>
        <w:tc>
          <w:tcPr>
            <w:tcW w:w="2223" w:type="dxa"/>
            <w:tcBorders>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KSh600,000.00</w:t>
            </w:r>
          </w:p>
        </w:tc>
        <w:tc>
          <w:tcPr>
            <w:tcW w:w="2160" w:type="dxa"/>
            <w:tcBorders>
              <w:bottom w:val="single" w:sz="6" w:space="0" w:color="CE181E"/>
              <w:end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KSh1,000,000.00</w:t>
            </w:r>
          </w:p>
        </w:tc>
      </w:tr>
    </w:tbl>
    <w:p>
      <w:pPr>
        <w:pStyle w:val="Normal"/>
        <w:bidi w:val="0"/>
        <w:spacing w:lineRule="auto" w:line="360"/>
        <w:jc w:val="start"/>
        <w:rPr>
          <w:rFonts w:ascii="Times New Roman" w:hAnsi="Times New Roman" w:eastAsia="Times New Roman"/>
        </w:rPr>
      </w:pPr>
      <w:r>
        <w:rPr>
          <w:rFonts w:eastAsia="Times New Roman" w:ascii="Times New Roman" w:hAnsi="Times New Roman"/>
        </w:rPr>
      </w:r>
    </w:p>
    <w:p>
      <w:pPr>
        <w:pStyle w:val="Normal"/>
        <w:bidi w:val="0"/>
        <w:spacing w:lineRule="auto" w:line="360"/>
        <w:jc w:val="start"/>
        <w:rPr>
          <w:rFonts w:ascii="Times New Roman" w:hAnsi="Times New Roman" w:eastAsia="Times New Roman"/>
          <w:sz w:val="24"/>
          <w:szCs w:val="24"/>
        </w:rPr>
      </w:pPr>
      <w:r>
        <w:rPr>
          <w:rFonts w:eastAsia="Times New Roman" w:ascii="Times New Roman" w:hAnsi="Times New Roman"/>
          <w:sz w:val="24"/>
          <w:szCs w:val="24"/>
        </w:rPr>
      </w:r>
    </w:p>
    <w:p>
      <w:pPr>
        <w:pStyle w:val="Heading2"/>
        <w:bidi w:val="0"/>
        <w:spacing w:lineRule="auto" w:line="360" w:before="0" w:after="120"/>
        <w:jc w:val="start"/>
        <w:rPr/>
      </w:pPr>
      <w:r>
        <w:rPr>
          <w:rStyle w:val="Strong"/>
          <w:rFonts w:eastAsia="Times New Roman" w:ascii="Times New Roman" w:hAnsi="Times New Roman"/>
          <w:b/>
          <w:bCs/>
          <w:sz w:val="24"/>
          <w:szCs w:val="24"/>
        </w:rPr>
        <w:t>5.3 Pro-Forma Income Statement</w:t>
      </w:r>
    </w:p>
    <w:p>
      <w:pPr>
        <w:pStyle w:val="BodyText"/>
        <w:bidi w:val="0"/>
        <w:spacing w:lineRule="auto" w:line="360"/>
        <w:jc w:val="start"/>
        <w:rPr>
          <w:rFonts w:ascii="Times New Roman" w:hAnsi="Times New Roman" w:eastAsia="Times New Roman"/>
          <w:sz w:val="24"/>
          <w:szCs w:val="24"/>
        </w:rPr>
      </w:pPr>
      <w:r>
        <w:rPr>
          <w:rFonts w:eastAsia="Times New Roman" w:ascii="Times New Roman" w:hAnsi="Times New Roman"/>
          <w:sz w:val="24"/>
          <w:szCs w:val="24"/>
        </w:rPr>
      </w:r>
    </w:p>
    <w:tbl>
      <w:tblPr>
        <w:tblW w:w="9478" w:type="dxa"/>
        <w:jc w:val="start"/>
        <w:tblInd w:w="-30" w:type="dxa"/>
        <w:tblLayout w:type="fixed"/>
        <w:tblCellMar>
          <w:top w:w="0" w:type="dxa"/>
          <w:start w:w="7" w:type="dxa"/>
          <w:bottom w:w="0" w:type="dxa"/>
          <w:end w:w="0" w:type="dxa"/>
        </w:tblCellMar>
      </w:tblPr>
      <w:tblGrid>
        <w:gridCol w:w="3010"/>
        <w:gridCol w:w="2084"/>
        <w:gridCol w:w="2223"/>
        <w:gridCol w:w="2160"/>
      </w:tblGrid>
      <w:tr>
        <w:trPr>
          <w:trHeight w:val="300" w:hRule="atLeast"/>
        </w:trPr>
        <w:tc>
          <w:tcPr>
            <w:tcW w:w="3010" w:type="dxa"/>
            <w:tcBorders>
              <w:top w:val="single" w:sz="6" w:space="0" w:color="CE181E"/>
              <w:start w:val="single" w:sz="6" w:space="0" w:color="CE181E"/>
            </w:tcBorders>
            <w:shd w:fill="CE181E" w:val="clear"/>
            <w:vAlign w:val="bottom"/>
          </w:tcPr>
          <w:p>
            <w:pPr>
              <w:pStyle w:val="Normal"/>
              <w:tabs>
                <w:tab w:val="clear" w:pos="709"/>
              </w:tabs>
              <w:bidi w:val="0"/>
              <w:spacing w:lineRule="auto" w:line="360"/>
              <w:jc w:val="start"/>
              <w:rPr/>
            </w:pPr>
            <w:r>
              <w:rPr>
                <w:rStyle w:val="Strong"/>
                <w:rFonts w:eastAsia="Times New Roman" w:ascii="Times New Roman" w:hAnsi="Times New Roman"/>
                <w:b/>
                <w:i w:val="false"/>
                <w:iCs w:val="false"/>
                <w:strike w:val="false"/>
                <w:dstrike w:val="false"/>
                <w:outline w:val="false"/>
                <w:shadow w:val="false"/>
                <w:color w:val="FFFFFF"/>
                <w:sz w:val="24"/>
                <w:szCs w:val="24"/>
                <w:u w:val="none"/>
              </w:rPr>
              <w:t>Item</w:t>
            </w:r>
          </w:p>
        </w:tc>
        <w:tc>
          <w:tcPr>
            <w:tcW w:w="2084" w:type="dxa"/>
            <w:tcBorders>
              <w:top w:val="single" w:sz="6" w:space="0" w:color="CE181E"/>
            </w:tcBorders>
            <w:shd w:fill="CE181E"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FFFFFF"/>
                <w:sz w:val="24"/>
                <w:szCs w:val="24"/>
                <w:u w:val="none"/>
              </w:rPr>
              <w:t>Year 1</w:t>
            </w:r>
          </w:p>
        </w:tc>
        <w:tc>
          <w:tcPr>
            <w:tcW w:w="2223" w:type="dxa"/>
            <w:tcBorders>
              <w:top w:val="single" w:sz="6" w:space="0" w:color="CE181E"/>
            </w:tcBorders>
            <w:shd w:fill="CE181E"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FFFFFF"/>
                <w:sz w:val="24"/>
                <w:szCs w:val="24"/>
                <w:u w:val="none"/>
              </w:rPr>
              <w:t>Year 2</w:t>
            </w:r>
          </w:p>
        </w:tc>
        <w:tc>
          <w:tcPr>
            <w:tcW w:w="2160" w:type="dxa"/>
            <w:tcBorders>
              <w:top w:val="single" w:sz="6" w:space="0" w:color="CE181E"/>
              <w:end w:val="single" w:sz="6" w:space="0" w:color="CE181E"/>
            </w:tcBorders>
            <w:shd w:fill="CE181E"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FFFFFF"/>
                <w:sz w:val="24"/>
                <w:szCs w:val="24"/>
                <w:u w:val="none"/>
              </w:rPr>
              <w:t>Year 3</w:t>
            </w:r>
          </w:p>
        </w:tc>
      </w:tr>
      <w:tr>
        <w:trPr>
          <w:trHeight w:val="300"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val="false"/>
                <w:i w:val="false"/>
                <w:iCs w:val="false"/>
                <w:strike w:val="false"/>
                <w:dstrike w:val="false"/>
                <w:outline w:val="false"/>
                <w:shadow w:val="false"/>
                <w:color w:val="000000"/>
                <w:sz w:val="24"/>
                <w:szCs w:val="24"/>
                <w:u w:val="none"/>
              </w:rPr>
              <w:t>Sales</w:t>
            </w:r>
          </w:p>
        </w:tc>
        <w:tc>
          <w:tcPr>
            <w:tcW w:w="2084"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KSh500,000.00</w:t>
            </w:r>
          </w:p>
        </w:tc>
        <w:tc>
          <w:tcPr>
            <w:tcW w:w="2223"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KSh1,250,000.00</w:t>
            </w:r>
          </w:p>
        </w:tc>
        <w:tc>
          <w:tcPr>
            <w:tcW w:w="2160" w:type="dxa"/>
            <w:tcBorders>
              <w:end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KSh2,500,000.00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val="false"/>
                <w:i w:val="false"/>
                <w:iCs w:val="false"/>
                <w:strike w:val="false"/>
                <w:dstrike w:val="false"/>
                <w:outline w:val="false"/>
                <w:shadow w:val="false"/>
                <w:color w:val="000000"/>
                <w:sz w:val="24"/>
                <w:szCs w:val="24"/>
                <w:u w:val="none"/>
              </w:rPr>
              <w:t>Cost of Goods Sold</w:t>
            </w:r>
          </w:p>
        </w:tc>
        <w:tc>
          <w:tcPr>
            <w:tcW w:w="2084" w:type="dxa"/>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KSh150,000.00</w:t>
            </w:r>
          </w:p>
        </w:tc>
        <w:tc>
          <w:tcPr>
            <w:tcW w:w="2223" w:type="dxa"/>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KSh375,000.00</w:t>
            </w:r>
          </w:p>
        </w:tc>
        <w:tc>
          <w:tcPr>
            <w:tcW w:w="2160" w:type="dxa"/>
            <w:tcBorders>
              <w:end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KSh750,000.00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Gross Profit</w:t>
            </w:r>
          </w:p>
        </w:tc>
        <w:tc>
          <w:tcPr>
            <w:tcW w:w="2084" w:type="dxa"/>
            <w:tcBorders>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KSh350,000.00</w:t>
            </w:r>
          </w:p>
        </w:tc>
        <w:tc>
          <w:tcPr>
            <w:tcW w:w="2223" w:type="dxa"/>
            <w:tcBorders>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KSh875,000.00</w:t>
            </w:r>
          </w:p>
        </w:tc>
        <w:tc>
          <w:tcPr>
            <w:tcW w:w="2160" w:type="dxa"/>
            <w:tcBorders>
              <w:bottom w:val="single" w:sz="6" w:space="0" w:color="CE181E"/>
              <w:end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KSh1,750,000.00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val="false"/>
                <w:i w:val="false"/>
                <w:iCs w:val="false"/>
                <w:strike w:val="false"/>
                <w:dstrike w:val="false"/>
                <w:outline w:val="false"/>
                <w:shadow w:val="false"/>
                <w:color w:val="000000"/>
                <w:sz w:val="24"/>
                <w:szCs w:val="24"/>
                <w:u w:val="none"/>
              </w:rPr>
              <w:t>Expenses</w:t>
            </w:r>
          </w:p>
        </w:tc>
        <w:tc>
          <w:tcPr>
            <w:tcW w:w="2084" w:type="dxa"/>
            <w:tcBorders/>
            <w:shd w:fill="DDDDDD" w:val="clear"/>
            <w:vAlign w:val="bottom"/>
          </w:tcPr>
          <w:p>
            <w:pPr>
              <w:pStyle w:val="Normal"/>
              <w:tabs>
                <w:tab w:val="clear" w:pos="709"/>
              </w:tabs>
              <w:bidi w:val="0"/>
              <w:spacing w:lineRule="auto" w:line="360"/>
              <w:jc w:val="start"/>
              <w:rPr>
                <w:rFonts w:ascii="Times New Roman" w:hAnsi="Times New Roman" w:eastAsia="Times New Roman"/>
              </w:rPr>
            </w:pPr>
            <w:r>
              <w:rPr>
                <w:rFonts w:eastAsia="Times New Roman" w:ascii="Times New Roman" w:hAnsi="Times New Roman"/>
              </w:rPr>
            </w:r>
          </w:p>
        </w:tc>
        <w:tc>
          <w:tcPr>
            <w:tcW w:w="2223" w:type="dxa"/>
            <w:tcBorders/>
            <w:shd w:fill="DDDDDD" w:val="clear"/>
            <w:vAlign w:val="bottom"/>
          </w:tcPr>
          <w:p>
            <w:pPr>
              <w:pStyle w:val="Normal"/>
              <w:tabs>
                <w:tab w:val="clear" w:pos="709"/>
              </w:tabs>
              <w:bidi w:val="0"/>
              <w:spacing w:lineRule="auto" w:line="360"/>
              <w:jc w:val="start"/>
              <w:rPr>
                <w:rFonts w:ascii="Times New Roman" w:hAnsi="Times New Roman" w:eastAsia="Times New Roman"/>
              </w:rPr>
            </w:pPr>
            <w:r>
              <w:rPr>
                <w:rFonts w:eastAsia="Times New Roman" w:ascii="Times New Roman" w:hAnsi="Times New Roman"/>
              </w:rPr>
            </w:r>
          </w:p>
        </w:tc>
        <w:tc>
          <w:tcPr>
            <w:tcW w:w="2160" w:type="dxa"/>
            <w:tcBorders>
              <w:end w:val="single" w:sz="6" w:space="0" w:color="CE181E"/>
            </w:tcBorders>
            <w:shd w:fill="DDDDDD" w:val="clear"/>
            <w:vAlign w:val="bottom"/>
          </w:tcPr>
          <w:p>
            <w:pPr>
              <w:pStyle w:val="Normal"/>
              <w:tabs>
                <w:tab w:val="clear" w:pos="709"/>
              </w:tabs>
              <w:bidi w:val="0"/>
              <w:spacing w:lineRule="auto" w:line="360"/>
              <w:jc w:val="start"/>
              <w:rPr>
                <w:rFonts w:ascii="Times New Roman" w:hAnsi="Times New Roman" w:eastAsia="Times New Roman"/>
              </w:rPr>
            </w:pPr>
            <w:r>
              <w:rPr>
                <w:rFonts w:eastAsia="Times New Roman" w:ascii="Times New Roman" w:hAnsi="Times New Roman"/>
              </w:rPr>
            </w:r>
          </w:p>
        </w:tc>
      </w:tr>
      <w:tr>
        <w:trPr>
          <w:trHeight w:val="300"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 Salaries</w:t>
            </w:r>
          </w:p>
        </w:tc>
        <w:tc>
          <w:tcPr>
            <w:tcW w:w="2084"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KSh240,000.00</w:t>
            </w:r>
          </w:p>
        </w:tc>
        <w:tc>
          <w:tcPr>
            <w:tcW w:w="2223"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KSh360,000.00</w:t>
            </w:r>
          </w:p>
        </w:tc>
        <w:tc>
          <w:tcPr>
            <w:tcW w:w="2160" w:type="dxa"/>
            <w:tcBorders>
              <w:end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KSh600,000.00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 Internet (Khs 3,000/month)</w:t>
            </w:r>
          </w:p>
        </w:tc>
        <w:tc>
          <w:tcPr>
            <w:tcW w:w="2084" w:type="dxa"/>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KSh36,000.00</w:t>
            </w:r>
          </w:p>
        </w:tc>
        <w:tc>
          <w:tcPr>
            <w:tcW w:w="2223" w:type="dxa"/>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KSh36,000.00</w:t>
            </w:r>
          </w:p>
        </w:tc>
        <w:tc>
          <w:tcPr>
            <w:tcW w:w="2160" w:type="dxa"/>
            <w:tcBorders>
              <w:end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KSh36,000.00</w:t>
            </w:r>
          </w:p>
        </w:tc>
      </w:tr>
      <w:tr>
        <w:trPr>
          <w:trHeight w:val="300"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 Electricity (Khs 2,000/month)</w:t>
            </w:r>
          </w:p>
        </w:tc>
        <w:tc>
          <w:tcPr>
            <w:tcW w:w="2084"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KSh24,000.00</w:t>
            </w:r>
          </w:p>
        </w:tc>
        <w:tc>
          <w:tcPr>
            <w:tcW w:w="2223"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KSh24,000.00</w:t>
            </w:r>
          </w:p>
        </w:tc>
        <w:tc>
          <w:tcPr>
            <w:tcW w:w="2160" w:type="dxa"/>
            <w:tcBorders>
              <w:end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KSh24,000.00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 Advertising (10% of Sales)</w:t>
            </w:r>
          </w:p>
        </w:tc>
        <w:tc>
          <w:tcPr>
            <w:tcW w:w="2084" w:type="dxa"/>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KSh50,000.00</w:t>
            </w:r>
          </w:p>
        </w:tc>
        <w:tc>
          <w:tcPr>
            <w:tcW w:w="2223" w:type="dxa"/>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KSh125,000.00</w:t>
            </w:r>
          </w:p>
        </w:tc>
        <w:tc>
          <w:tcPr>
            <w:tcW w:w="2160" w:type="dxa"/>
            <w:tcBorders>
              <w:end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KSh250,000.00</w:t>
            </w:r>
          </w:p>
        </w:tc>
      </w:tr>
      <w:tr>
        <w:trPr>
          <w:trHeight w:val="300"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 Software/Hosting</w:t>
            </w:r>
          </w:p>
        </w:tc>
        <w:tc>
          <w:tcPr>
            <w:tcW w:w="2084"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KSh120,000.00</w:t>
            </w:r>
          </w:p>
        </w:tc>
        <w:tc>
          <w:tcPr>
            <w:tcW w:w="2223"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KSh180,000.00</w:t>
            </w:r>
          </w:p>
        </w:tc>
        <w:tc>
          <w:tcPr>
            <w:tcW w:w="2160" w:type="dxa"/>
            <w:tcBorders>
              <w:end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KSh240,000.00</w:t>
            </w:r>
          </w:p>
        </w:tc>
      </w:tr>
      <w:tr>
        <w:trPr>
          <w:trHeight w:val="300" w:hRule="atLeast"/>
        </w:trPr>
        <w:tc>
          <w:tcPr>
            <w:tcW w:w="3010" w:type="dxa"/>
            <w:tcBorders>
              <w:start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val="false"/>
                <w:i w:val="false"/>
                <w:iCs w:val="false"/>
                <w:strike w:val="false"/>
                <w:dstrike w:val="false"/>
                <w:outline w:val="false"/>
                <w:shadow w:val="false"/>
                <w:color w:val="000000"/>
                <w:sz w:val="24"/>
                <w:szCs w:val="24"/>
                <w:u w:val="none"/>
              </w:rPr>
              <w:t>Total Expenses</w:t>
            </w:r>
          </w:p>
        </w:tc>
        <w:tc>
          <w:tcPr>
            <w:tcW w:w="2084" w:type="dxa"/>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KSh470,000.00</w:t>
            </w:r>
          </w:p>
        </w:tc>
        <w:tc>
          <w:tcPr>
            <w:tcW w:w="2223" w:type="dxa"/>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KSh725,000.00</w:t>
            </w:r>
          </w:p>
        </w:tc>
        <w:tc>
          <w:tcPr>
            <w:tcW w:w="2160" w:type="dxa"/>
            <w:tcBorders>
              <w:end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KSh1,150,000.00</w:t>
            </w:r>
          </w:p>
        </w:tc>
      </w:tr>
      <w:tr>
        <w:trPr>
          <w:trHeight w:val="300" w:hRule="atLeast"/>
        </w:trPr>
        <w:tc>
          <w:tcPr>
            <w:tcW w:w="3010" w:type="dxa"/>
            <w:tcBorders>
              <w:start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val="false"/>
                <w:i w:val="false"/>
                <w:iCs w:val="false"/>
                <w:strike w:val="false"/>
                <w:dstrike w:val="false"/>
                <w:outline w:val="false"/>
                <w:shadow w:val="false"/>
                <w:color w:val="000000"/>
                <w:sz w:val="24"/>
                <w:szCs w:val="24"/>
                <w:u w:val="none"/>
              </w:rPr>
              <w:t>Net Profit Before Tax</w:t>
            </w:r>
          </w:p>
        </w:tc>
        <w:tc>
          <w:tcPr>
            <w:tcW w:w="2084" w:type="dxa"/>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-KSh120,000.00</w:t>
            </w:r>
          </w:p>
        </w:tc>
        <w:tc>
          <w:tcPr>
            <w:tcW w:w="2223" w:type="dxa"/>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KSh150,000.00</w:t>
            </w:r>
          </w:p>
        </w:tc>
        <w:tc>
          <w:tcPr>
            <w:tcW w:w="2160" w:type="dxa"/>
            <w:tcBorders>
              <w:end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KSh600,000.00</w:t>
            </w:r>
          </w:p>
        </w:tc>
      </w:tr>
      <w:tr>
        <w:trPr>
          <w:trHeight w:val="300" w:hRule="atLeast"/>
        </w:trPr>
        <w:tc>
          <w:tcPr>
            <w:tcW w:w="3010" w:type="dxa"/>
            <w:tcBorders>
              <w:start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iCs w:val="false"/>
                <w:strike w:val="false"/>
                <w:dstrike w:val="false"/>
                <w:outline w:val="false"/>
                <w:shadow w:val="false"/>
                <w:color w:val="000000"/>
                <w:sz w:val="24"/>
                <w:szCs w:val="24"/>
                <w:u w:val="none"/>
              </w:rPr>
              <w:t>Less Tax (16%)</w:t>
            </w:r>
          </w:p>
        </w:tc>
        <w:tc>
          <w:tcPr>
            <w:tcW w:w="2084" w:type="dxa"/>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val="false"/>
                <w:i w:val="false"/>
                <w:iCs w:val="false"/>
                <w:strike w:val="false"/>
                <w:dstrike w:val="false"/>
                <w:outline w:val="false"/>
                <w:shadow w:val="false"/>
                <w:color w:val="000000"/>
                <w:sz w:val="24"/>
                <w:szCs w:val="24"/>
                <w:u w:val="none"/>
              </w:rPr>
              <w:t>(Loss year)</w:t>
            </w:r>
          </w:p>
        </w:tc>
        <w:tc>
          <w:tcPr>
            <w:tcW w:w="2223" w:type="dxa"/>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val="false"/>
                <w:i w:val="false"/>
                <w:iCs w:val="false"/>
                <w:strike w:val="false"/>
                <w:dstrike w:val="false"/>
                <w:outline w:val="false"/>
                <w:shadow w:val="false"/>
                <w:color w:val="000000"/>
                <w:sz w:val="24"/>
                <w:szCs w:val="24"/>
                <w:u w:val="none"/>
              </w:rPr>
              <w:t>KSh24,000.00</w:t>
            </w:r>
          </w:p>
        </w:tc>
        <w:tc>
          <w:tcPr>
            <w:tcW w:w="2160" w:type="dxa"/>
            <w:tcBorders>
              <w:end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val="false"/>
                <w:i w:val="false"/>
                <w:iCs w:val="false"/>
                <w:strike w:val="false"/>
                <w:dstrike w:val="false"/>
                <w:outline w:val="false"/>
                <w:shadow w:val="false"/>
                <w:color w:val="000000"/>
                <w:sz w:val="24"/>
                <w:szCs w:val="24"/>
                <w:u w:val="none"/>
              </w:rPr>
              <w:t>KSh96,000.00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Net Profit After Tax</w:t>
            </w:r>
          </w:p>
        </w:tc>
        <w:tc>
          <w:tcPr>
            <w:tcW w:w="2084" w:type="dxa"/>
            <w:tcBorders>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-KSh120,000.00</w:t>
            </w:r>
          </w:p>
        </w:tc>
        <w:tc>
          <w:tcPr>
            <w:tcW w:w="2223" w:type="dxa"/>
            <w:tcBorders>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KSh126,000.00</w:t>
            </w:r>
          </w:p>
        </w:tc>
        <w:tc>
          <w:tcPr>
            <w:tcW w:w="2160" w:type="dxa"/>
            <w:tcBorders>
              <w:bottom w:val="single" w:sz="6" w:space="0" w:color="CE181E"/>
              <w:end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KSh504,000.00</w:t>
            </w:r>
          </w:p>
        </w:tc>
      </w:tr>
    </w:tbl>
    <w:p>
      <w:pPr>
        <w:pStyle w:val="Normal"/>
        <w:bidi w:val="0"/>
        <w:spacing w:lineRule="auto" w:line="360"/>
        <w:jc w:val="start"/>
        <w:rPr>
          <w:rFonts w:ascii="Times New Roman" w:hAnsi="Times New Roman" w:eastAsia="Times New Roman"/>
        </w:rPr>
      </w:pPr>
      <w:r>
        <w:rPr>
          <w:rFonts w:eastAsia="Times New Roman" w:ascii="Times New Roman" w:hAnsi="Times New Roman"/>
        </w:rPr>
      </w:r>
    </w:p>
    <w:p>
      <w:pPr>
        <w:pStyle w:val="Normal"/>
        <w:bidi w:val="0"/>
        <w:spacing w:lineRule="auto" w:line="360"/>
        <w:jc w:val="start"/>
        <w:rPr>
          <w:rFonts w:ascii="Times New Roman" w:hAnsi="Times New Roman" w:eastAsia="Times New Roman"/>
          <w:sz w:val="24"/>
          <w:szCs w:val="24"/>
        </w:rPr>
      </w:pPr>
      <w:r>
        <w:rPr>
          <w:rFonts w:eastAsia="Times New Roman" w:ascii="Times New Roman" w:hAnsi="Times New Roman"/>
          <w:sz w:val="24"/>
          <w:szCs w:val="24"/>
        </w:rPr>
      </w:r>
      <w:r>
        <w:br w:type="page"/>
      </w:r>
    </w:p>
    <w:p>
      <w:pPr>
        <w:pStyle w:val="Heading2"/>
        <w:bidi w:val="0"/>
        <w:spacing w:lineRule="auto" w:line="360" w:before="0" w:after="120"/>
        <w:jc w:val="start"/>
        <w:rPr/>
      </w:pPr>
      <w:r>
        <w:rPr>
          <w:rStyle w:val="Strong"/>
          <w:rFonts w:eastAsia="Times New Roman" w:ascii="Times New Roman" w:hAnsi="Times New Roman"/>
          <w:b/>
          <w:bCs/>
          <w:sz w:val="24"/>
          <w:szCs w:val="24"/>
          <w:u w:val="single"/>
        </w:rPr>
        <w:t>5.4 Pro-Forma Balance Sheet</w:t>
      </w:r>
    </w:p>
    <w:p>
      <w:pPr>
        <w:pStyle w:val="BodyText"/>
        <w:bidi w:val="0"/>
        <w:spacing w:lineRule="auto" w:line="360"/>
        <w:jc w:val="start"/>
        <w:rPr>
          <w:rFonts w:ascii="Times New Roman" w:hAnsi="Times New Roman" w:eastAsia="Times New Roman"/>
          <w:sz w:val="24"/>
          <w:szCs w:val="24"/>
        </w:rPr>
      </w:pPr>
      <w:r>
        <w:rPr>
          <w:rFonts w:eastAsia="Times New Roman" w:ascii="Times New Roman" w:hAnsi="Times New Roman"/>
          <w:sz w:val="24"/>
          <w:szCs w:val="24"/>
        </w:rPr>
      </w:r>
    </w:p>
    <w:tbl>
      <w:tblPr>
        <w:tblW w:w="9478" w:type="dxa"/>
        <w:jc w:val="start"/>
        <w:tblInd w:w="-30" w:type="dxa"/>
        <w:tblLayout w:type="fixed"/>
        <w:tblCellMar>
          <w:top w:w="0" w:type="dxa"/>
          <w:start w:w="7" w:type="dxa"/>
          <w:bottom w:w="0" w:type="dxa"/>
          <w:end w:w="0" w:type="dxa"/>
        </w:tblCellMar>
      </w:tblPr>
      <w:tblGrid>
        <w:gridCol w:w="3010"/>
        <w:gridCol w:w="2084"/>
        <w:gridCol w:w="2223"/>
        <w:gridCol w:w="2160"/>
      </w:tblGrid>
      <w:tr>
        <w:trPr>
          <w:trHeight w:val="300" w:hRule="atLeast"/>
        </w:trPr>
        <w:tc>
          <w:tcPr>
            <w:tcW w:w="3010" w:type="dxa"/>
            <w:tcBorders>
              <w:top w:val="single" w:sz="6" w:space="0" w:color="CE181E"/>
              <w:start w:val="single" w:sz="6" w:space="0" w:color="CE181E"/>
            </w:tcBorders>
            <w:shd w:fill="CE181E" w:val="clear"/>
            <w:vAlign w:val="bottom"/>
          </w:tcPr>
          <w:p>
            <w:pPr>
              <w:pStyle w:val="Normal"/>
              <w:tabs>
                <w:tab w:val="clear" w:pos="709"/>
              </w:tabs>
              <w:bidi w:val="0"/>
              <w:spacing w:lineRule="auto" w:line="360"/>
              <w:jc w:val="start"/>
              <w:rPr/>
            </w:pPr>
            <w:r>
              <w:rPr>
                <w:rStyle w:val="Strong"/>
                <w:rFonts w:eastAsia="Times New Roman" w:ascii="Times New Roman" w:hAnsi="Times New Roman"/>
                <w:b/>
                <w:i w:val="false"/>
                <w:iCs w:val="false"/>
                <w:strike w:val="false"/>
                <w:dstrike w:val="false"/>
                <w:outline w:val="false"/>
                <w:shadow w:val="false"/>
                <w:color w:val="FFFFFF"/>
                <w:sz w:val="24"/>
                <w:szCs w:val="24"/>
                <w:u w:val="none"/>
              </w:rPr>
              <w:t>Item</w:t>
            </w:r>
          </w:p>
        </w:tc>
        <w:tc>
          <w:tcPr>
            <w:tcW w:w="2084" w:type="dxa"/>
            <w:tcBorders>
              <w:top w:val="single" w:sz="6" w:space="0" w:color="CE181E"/>
            </w:tcBorders>
            <w:shd w:fill="CE181E"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FFFFFF"/>
                <w:sz w:val="24"/>
                <w:szCs w:val="24"/>
                <w:u w:val="none"/>
              </w:rPr>
              <w:t>Year 1</w:t>
            </w:r>
          </w:p>
        </w:tc>
        <w:tc>
          <w:tcPr>
            <w:tcW w:w="2223" w:type="dxa"/>
            <w:tcBorders>
              <w:top w:val="single" w:sz="6" w:space="0" w:color="CE181E"/>
            </w:tcBorders>
            <w:shd w:fill="CE181E"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FFFFFF"/>
                <w:sz w:val="24"/>
                <w:szCs w:val="24"/>
                <w:u w:val="none"/>
              </w:rPr>
              <w:t>Year 2</w:t>
            </w:r>
          </w:p>
        </w:tc>
        <w:tc>
          <w:tcPr>
            <w:tcW w:w="2160" w:type="dxa"/>
            <w:tcBorders>
              <w:top w:val="single" w:sz="6" w:space="0" w:color="CE181E"/>
              <w:end w:val="single" w:sz="6" w:space="0" w:color="CE181E"/>
            </w:tcBorders>
            <w:shd w:fill="CE181E"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FFFFFF"/>
                <w:sz w:val="24"/>
                <w:szCs w:val="24"/>
                <w:u w:val="none"/>
              </w:rPr>
              <w:t>Year 3</w:t>
            </w:r>
          </w:p>
        </w:tc>
      </w:tr>
      <w:tr>
        <w:trPr>
          <w:trHeight w:val="300"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val="false"/>
                <w:i w:val="false"/>
                <w:iCs w:val="false"/>
                <w:strike w:val="false"/>
                <w:dstrike w:val="false"/>
                <w:outline w:val="false"/>
                <w:shadow w:val="false"/>
                <w:color w:val="000000"/>
                <w:sz w:val="24"/>
                <w:szCs w:val="24"/>
                <w:u w:val="none"/>
              </w:rPr>
              <w:t>Assets</w:t>
            </w:r>
          </w:p>
        </w:tc>
        <w:tc>
          <w:tcPr>
            <w:tcW w:w="2084" w:type="dxa"/>
            <w:tcBorders/>
            <w:vAlign w:val="bottom"/>
          </w:tcPr>
          <w:p>
            <w:pPr>
              <w:pStyle w:val="Normal"/>
              <w:tabs>
                <w:tab w:val="clear" w:pos="709"/>
              </w:tabs>
              <w:bidi w:val="0"/>
              <w:spacing w:lineRule="auto" w:line="360"/>
              <w:jc w:val="start"/>
              <w:rPr>
                <w:rFonts w:ascii="Times New Roman" w:hAnsi="Times New Roman" w:eastAsia="Times New Roman"/>
              </w:rPr>
            </w:pPr>
            <w:r>
              <w:rPr>
                <w:rFonts w:eastAsia="Times New Roman" w:ascii="Times New Roman" w:hAnsi="Times New Roman"/>
              </w:rPr>
            </w:r>
          </w:p>
        </w:tc>
        <w:tc>
          <w:tcPr>
            <w:tcW w:w="2223" w:type="dxa"/>
            <w:tcBorders/>
            <w:vAlign w:val="bottom"/>
          </w:tcPr>
          <w:p>
            <w:pPr>
              <w:pStyle w:val="Normal"/>
              <w:tabs>
                <w:tab w:val="clear" w:pos="709"/>
              </w:tabs>
              <w:bidi w:val="0"/>
              <w:spacing w:lineRule="auto" w:line="360"/>
              <w:jc w:val="start"/>
              <w:rPr>
                <w:rFonts w:ascii="Times New Roman" w:hAnsi="Times New Roman" w:eastAsia="Times New Roman"/>
              </w:rPr>
            </w:pPr>
            <w:r>
              <w:rPr>
                <w:rFonts w:eastAsia="Times New Roman" w:ascii="Times New Roman" w:hAnsi="Times New Roman"/>
              </w:rPr>
            </w:r>
          </w:p>
        </w:tc>
        <w:tc>
          <w:tcPr>
            <w:tcW w:w="2160" w:type="dxa"/>
            <w:tcBorders>
              <w:end w:val="single" w:sz="6" w:space="0" w:color="CE181E"/>
            </w:tcBorders>
            <w:vAlign w:val="bottom"/>
          </w:tcPr>
          <w:p>
            <w:pPr>
              <w:pStyle w:val="Normal"/>
              <w:tabs>
                <w:tab w:val="clear" w:pos="709"/>
              </w:tabs>
              <w:bidi w:val="0"/>
              <w:spacing w:lineRule="auto" w:line="360"/>
              <w:jc w:val="start"/>
              <w:rPr>
                <w:rFonts w:ascii="Times New Roman" w:hAnsi="Times New Roman" w:eastAsia="Times New Roman"/>
              </w:rPr>
            </w:pPr>
            <w:r>
              <w:rPr>
                <w:rFonts w:eastAsia="Times New Roman" w:ascii="Times New Roman" w:hAnsi="Times New Roman"/>
              </w:rPr>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 Cash</w:t>
            </w:r>
          </w:p>
        </w:tc>
        <w:tc>
          <w:tcPr>
            <w:tcW w:w="2084" w:type="dxa"/>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KSh300,000.00</w:t>
            </w:r>
          </w:p>
        </w:tc>
        <w:tc>
          <w:tcPr>
            <w:tcW w:w="2223" w:type="dxa"/>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KSh500,000.00</w:t>
            </w:r>
          </w:p>
        </w:tc>
        <w:tc>
          <w:tcPr>
            <w:tcW w:w="2160" w:type="dxa"/>
            <w:tcBorders>
              <w:end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KSh800,000.00</w:t>
            </w:r>
          </w:p>
        </w:tc>
      </w:tr>
      <w:tr>
        <w:trPr>
          <w:trHeight w:val="300"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 Debtors</w:t>
            </w:r>
          </w:p>
        </w:tc>
        <w:tc>
          <w:tcPr>
            <w:tcW w:w="2084"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KSh50,000.00</w:t>
            </w:r>
          </w:p>
        </w:tc>
        <w:tc>
          <w:tcPr>
            <w:tcW w:w="2223"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KSh100,000.00</w:t>
            </w:r>
          </w:p>
        </w:tc>
        <w:tc>
          <w:tcPr>
            <w:tcW w:w="2160" w:type="dxa"/>
            <w:tcBorders>
              <w:end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KSh200,000.00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Total Assets</w:t>
            </w:r>
          </w:p>
        </w:tc>
        <w:tc>
          <w:tcPr>
            <w:tcW w:w="2084" w:type="dxa"/>
            <w:tcBorders>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KSh350,000.00</w:t>
            </w:r>
          </w:p>
        </w:tc>
        <w:tc>
          <w:tcPr>
            <w:tcW w:w="2223" w:type="dxa"/>
            <w:tcBorders>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KSh600,000.00</w:t>
            </w:r>
          </w:p>
        </w:tc>
        <w:tc>
          <w:tcPr>
            <w:tcW w:w="2160" w:type="dxa"/>
            <w:tcBorders>
              <w:bottom w:val="single" w:sz="6" w:space="0" w:color="CE181E"/>
              <w:end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KSh1,000,000.00</w:t>
            </w:r>
          </w:p>
        </w:tc>
      </w:tr>
      <w:tr>
        <w:trPr>
          <w:trHeight w:val="300"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val="false"/>
                <w:i w:val="false"/>
                <w:iCs w:val="false"/>
                <w:strike w:val="false"/>
                <w:dstrike w:val="false"/>
                <w:outline w:val="false"/>
                <w:shadow w:val="false"/>
                <w:color w:val="000000"/>
                <w:sz w:val="24"/>
                <w:szCs w:val="24"/>
                <w:u w:val="none"/>
              </w:rPr>
              <w:t>Liabilities</w:t>
            </w:r>
          </w:p>
        </w:tc>
        <w:tc>
          <w:tcPr>
            <w:tcW w:w="2084" w:type="dxa"/>
            <w:tcBorders/>
            <w:vAlign w:val="bottom"/>
          </w:tcPr>
          <w:p>
            <w:pPr>
              <w:pStyle w:val="Normal"/>
              <w:tabs>
                <w:tab w:val="clear" w:pos="709"/>
              </w:tabs>
              <w:bidi w:val="0"/>
              <w:spacing w:lineRule="auto" w:line="360"/>
              <w:jc w:val="start"/>
              <w:rPr>
                <w:rFonts w:ascii="Times New Roman" w:hAnsi="Times New Roman" w:eastAsia="Times New Roman"/>
              </w:rPr>
            </w:pPr>
            <w:r>
              <w:rPr>
                <w:rFonts w:eastAsia="Times New Roman" w:ascii="Times New Roman" w:hAnsi="Times New Roman"/>
              </w:rPr>
            </w:r>
          </w:p>
        </w:tc>
        <w:tc>
          <w:tcPr>
            <w:tcW w:w="2223" w:type="dxa"/>
            <w:tcBorders/>
            <w:vAlign w:val="bottom"/>
          </w:tcPr>
          <w:p>
            <w:pPr>
              <w:pStyle w:val="Normal"/>
              <w:tabs>
                <w:tab w:val="clear" w:pos="709"/>
              </w:tabs>
              <w:bidi w:val="0"/>
              <w:spacing w:lineRule="auto" w:line="360"/>
              <w:jc w:val="start"/>
              <w:rPr>
                <w:rFonts w:ascii="Times New Roman" w:hAnsi="Times New Roman" w:eastAsia="Times New Roman"/>
              </w:rPr>
            </w:pPr>
            <w:r>
              <w:rPr>
                <w:rFonts w:eastAsia="Times New Roman" w:ascii="Times New Roman" w:hAnsi="Times New Roman"/>
              </w:rPr>
            </w:r>
          </w:p>
        </w:tc>
        <w:tc>
          <w:tcPr>
            <w:tcW w:w="2160" w:type="dxa"/>
            <w:tcBorders>
              <w:end w:val="single" w:sz="6" w:space="0" w:color="CE181E"/>
            </w:tcBorders>
            <w:vAlign w:val="bottom"/>
          </w:tcPr>
          <w:p>
            <w:pPr>
              <w:pStyle w:val="Normal"/>
              <w:tabs>
                <w:tab w:val="clear" w:pos="709"/>
              </w:tabs>
              <w:bidi w:val="0"/>
              <w:spacing w:lineRule="auto" w:line="360"/>
              <w:jc w:val="start"/>
              <w:rPr>
                <w:rFonts w:ascii="Times New Roman" w:hAnsi="Times New Roman" w:eastAsia="Times New Roman"/>
              </w:rPr>
            </w:pPr>
            <w:r>
              <w:rPr>
                <w:rFonts w:eastAsia="Times New Roman" w:ascii="Times New Roman" w:hAnsi="Times New Roman"/>
              </w:rPr>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 Loans (Family/Friends)</w:t>
            </w:r>
          </w:p>
        </w:tc>
        <w:tc>
          <w:tcPr>
            <w:tcW w:w="2084" w:type="dxa"/>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KSh190,000.00</w:t>
            </w:r>
          </w:p>
        </w:tc>
        <w:tc>
          <w:tcPr>
            <w:tcW w:w="2223" w:type="dxa"/>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KSh150,000.00</w:t>
            </w:r>
          </w:p>
        </w:tc>
        <w:tc>
          <w:tcPr>
            <w:tcW w:w="2160" w:type="dxa"/>
            <w:tcBorders>
              <w:end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KSh100,000.00</w:t>
            </w:r>
          </w:p>
        </w:tc>
      </w:tr>
      <w:tr>
        <w:trPr>
          <w:trHeight w:val="300"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val="false"/>
                <w:i w:val="false"/>
                <w:iCs w:val="false"/>
                <w:strike w:val="false"/>
                <w:dstrike w:val="false"/>
                <w:outline w:val="false"/>
                <w:shadow w:val="false"/>
                <w:color w:val="000000"/>
                <w:sz w:val="24"/>
                <w:szCs w:val="24"/>
                <w:u w:val="none"/>
              </w:rPr>
              <w:t>Owner Equity</w:t>
            </w:r>
          </w:p>
        </w:tc>
        <w:tc>
          <w:tcPr>
            <w:tcW w:w="2084"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KSh160,000.00</w:t>
            </w:r>
          </w:p>
        </w:tc>
        <w:tc>
          <w:tcPr>
            <w:tcW w:w="2223" w:type="dxa"/>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KSh450,000.00</w:t>
            </w:r>
          </w:p>
        </w:tc>
        <w:tc>
          <w:tcPr>
            <w:tcW w:w="2160" w:type="dxa"/>
            <w:tcBorders>
              <w:end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KSh900,000.00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Total Liabilities &amp; Equity</w:t>
            </w:r>
          </w:p>
        </w:tc>
        <w:tc>
          <w:tcPr>
            <w:tcW w:w="2084" w:type="dxa"/>
            <w:tcBorders>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KSh350,000.00</w:t>
            </w:r>
          </w:p>
        </w:tc>
        <w:tc>
          <w:tcPr>
            <w:tcW w:w="2223" w:type="dxa"/>
            <w:tcBorders>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KSh600,000.00</w:t>
            </w:r>
          </w:p>
        </w:tc>
        <w:tc>
          <w:tcPr>
            <w:tcW w:w="2160" w:type="dxa"/>
            <w:tcBorders>
              <w:bottom w:val="single" w:sz="6" w:space="0" w:color="CE181E"/>
              <w:end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KSh1,000,000.00</w:t>
            </w:r>
          </w:p>
        </w:tc>
      </w:tr>
    </w:tbl>
    <w:p>
      <w:pPr>
        <w:pStyle w:val="Normal"/>
        <w:bidi w:val="0"/>
        <w:spacing w:lineRule="auto" w:line="360"/>
        <w:jc w:val="start"/>
        <w:rPr>
          <w:rFonts w:ascii="Times New Roman" w:hAnsi="Times New Roman" w:eastAsia="Times New Roman"/>
        </w:rPr>
      </w:pPr>
      <w:r>
        <w:rPr>
          <w:rFonts w:eastAsia="Times New Roman" w:ascii="Times New Roman" w:hAnsi="Times New Roman"/>
        </w:rPr>
      </w:r>
    </w:p>
    <w:p>
      <w:pPr>
        <w:pStyle w:val="Normal"/>
        <w:bidi w:val="0"/>
        <w:spacing w:lineRule="auto" w:line="360"/>
        <w:jc w:val="start"/>
        <w:rPr>
          <w:rFonts w:ascii="Times New Roman" w:hAnsi="Times New Roman" w:eastAsia="Times New Roman"/>
          <w:sz w:val="24"/>
          <w:szCs w:val="24"/>
        </w:rPr>
      </w:pPr>
      <w:r>
        <w:rPr>
          <w:rFonts w:eastAsia="Times New Roman" w:ascii="Times New Roman" w:hAnsi="Times New Roman"/>
          <w:sz w:val="24"/>
          <w:szCs w:val="24"/>
        </w:rPr>
      </w:r>
    </w:p>
    <w:p>
      <w:pPr>
        <w:pStyle w:val="Heading2"/>
        <w:bidi w:val="0"/>
        <w:spacing w:lineRule="auto" w:line="360"/>
        <w:jc w:val="start"/>
        <w:rPr/>
      </w:pPr>
      <w:r>
        <w:rPr>
          <w:rStyle w:val="Strong"/>
          <w:rFonts w:eastAsia="Times New Roman" w:ascii="Times New Roman" w:hAnsi="Times New Roman"/>
          <w:b/>
          <w:bCs/>
          <w:sz w:val="24"/>
          <w:szCs w:val="24"/>
          <w:u w:val="single"/>
        </w:rPr>
        <w:t>5.5 Projected Cash Flow Statement (Year 1)</w:t>
      </w:r>
    </w:p>
    <w:tbl>
      <w:tblPr>
        <w:tblW w:w="17950" w:type="dxa"/>
        <w:jc w:val="start"/>
        <w:tblInd w:w="-30" w:type="dxa"/>
        <w:tblLayout w:type="fixed"/>
        <w:tblCellMar>
          <w:top w:w="0" w:type="dxa"/>
          <w:start w:w="0" w:type="dxa"/>
          <w:bottom w:w="0" w:type="dxa"/>
          <w:end w:w="0" w:type="dxa"/>
        </w:tblCellMar>
      </w:tblPr>
      <w:tblGrid>
        <w:gridCol w:w="1310"/>
        <w:gridCol w:w="1280"/>
        <w:gridCol w:w="1280"/>
        <w:gridCol w:w="1279"/>
        <w:gridCol w:w="1280"/>
        <w:gridCol w:w="1280"/>
        <w:gridCol w:w="1280"/>
        <w:gridCol w:w="1280"/>
        <w:gridCol w:w="1281"/>
        <w:gridCol w:w="1280"/>
        <w:gridCol w:w="1280"/>
        <w:gridCol w:w="1280"/>
        <w:gridCol w:w="1280"/>
        <w:gridCol w:w="1280"/>
      </w:tblGrid>
      <w:tr>
        <w:trPr>
          <w:trHeight w:val="256" w:hRule="atLeast"/>
        </w:trPr>
        <w:tc>
          <w:tcPr>
            <w:tcW w:w="1310" w:type="dxa"/>
            <w:tcBorders>
              <w:top w:val="single" w:sz="6" w:space="0" w:color="CE181E"/>
              <w:start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r>
          </w:p>
        </w:tc>
        <w:tc>
          <w:tcPr>
            <w:tcW w:w="1280" w:type="dxa"/>
            <w:tcBorders>
              <w:top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Jan</w:t>
            </w:r>
          </w:p>
        </w:tc>
        <w:tc>
          <w:tcPr>
            <w:tcW w:w="1280" w:type="dxa"/>
            <w:tcBorders>
              <w:top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Feb</w:t>
            </w:r>
          </w:p>
        </w:tc>
        <w:tc>
          <w:tcPr>
            <w:tcW w:w="1279" w:type="dxa"/>
            <w:tcBorders>
              <w:top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March</w:t>
            </w:r>
          </w:p>
        </w:tc>
        <w:tc>
          <w:tcPr>
            <w:tcW w:w="1280" w:type="dxa"/>
            <w:tcBorders>
              <w:top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April</w:t>
            </w:r>
          </w:p>
        </w:tc>
        <w:tc>
          <w:tcPr>
            <w:tcW w:w="1280" w:type="dxa"/>
            <w:tcBorders>
              <w:top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May</w:t>
            </w:r>
          </w:p>
        </w:tc>
        <w:tc>
          <w:tcPr>
            <w:tcW w:w="1280" w:type="dxa"/>
            <w:tcBorders>
              <w:top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June</w:t>
            </w:r>
          </w:p>
        </w:tc>
        <w:tc>
          <w:tcPr>
            <w:tcW w:w="1280" w:type="dxa"/>
            <w:tcBorders>
              <w:top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July</w:t>
            </w:r>
          </w:p>
        </w:tc>
        <w:tc>
          <w:tcPr>
            <w:tcW w:w="1281" w:type="dxa"/>
            <w:tcBorders>
              <w:top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August</w:t>
            </w:r>
          </w:p>
        </w:tc>
        <w:tc>
          <w:tcPr>
            <w:tcW w:w="1280" w:type="dxa"/>
            <w:tcBorders>
              <w:top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September</w:t>
            </w:r>
          </w:p>
        </w:tc>
        <w:tc>
          <w:tcPr>
            <w:tcW w:w="1280" w:type="dxa"/>
            <w:tcBorders>
              <w:top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October</w:t>
            </w:r>
          </w:p>
        </w:tc>
        <w:tc>
          <w:tcPr>
            <w:tcW w:w="1280" w:type="dxa"/>
            <w:tcBorders>
              <w:top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November</w:t>
            </w:r>
          </w:p>
        </w:tc>
        <w:tc>
          <w:tcPr>
            <w:tcW w:w="1280" w:type="dxa"/>
            <w:tcBorders>
              <w:top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December</w:t>
            </w:r>
          </w:p>
        </w:tc>
        <w:tc>
          <w:tcPr>
            <w:tcW w:w="1280" w:type="dxa"/>
            <w:tcBorders>
              <w:top w:val="single" w:sz="6" w:space="0" w:color="CE181E"/>
              <w:end w:val="single" w:sz="6" w:space="0" w:color="CE181E"/>
            </w:tcBorders>
            <w:shd w:fill="CE181E"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Total</w:t>
            </w:r>
          </w:p>
        </w:tc>
      </w:tr>
      <w:tr>
        <w:trPr>
          <w:trHeight w:val="256" w:hRule="atLeast"/>
        </w:trPr>
        <w:tc>
          <w:tcPr>
            <w:tcW w:w="1310" w:type="dxa"/>
            <w:tcBorders>
              <w:start w:val="single" w:sz="6" w:space="0" w:color="CE181E"/>
            </w:tcBorders>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Cash Inflows</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79"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1"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end w:val="single" w:sz="6" w:space="0" w:color="CE181E"/>
            </w:tcBorders>
            <w:shd w:fill="FCD3C1"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rHeight w:val="256" w:hRule="atLeast"/>
        </w:trPr>
        <w:tc>
          <w:tcPr>
            <w:tcW w:w="1310" w:type="dxa"/>
            <w:tcBorders>
              <w:start w:val="single" w:sz="6" w:space="0" w:color="CE181E"/>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Cash Sales</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79"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1"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end w:val="single" w:sz="6" w:space="0" w:color="CE181E"/>
            </w:tcBorders>
            <w:shd w:fill="FCD3C1"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500,000</w:t>
            </w:r>
          </w:p>
        </w:tc>
      </w:tr>
      <w:tr>
        <w:trPr>
          <w:trHeight w:val="477" w:hRule="atLeast"/>
        </w:trPr>
        <w:tc>
          <w:tcPr>
            <w:tcW w:w="1310" w:type="dxa"/>
            <w:tcBorders>
              <w:start w:val="single" w:sz="6" w:space="0" w:color="CE181E"/>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Total Cash Inflows (1)</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79"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1"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41,667</w:t>
            </w:r>
          </w:p>
        </w:tc>
        <w:tc>
          <w:tcPr>
            <w:tcW w:w="1280" w:type="dxa"/>
            <w:tcBorders>
              <w:end w:val="single" w:sz="6" w:space="0" w:color="CE181E"/>
            </w:tcBorders>
            <w:shd w:fill="FCD3C1"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500,000</w:t>
            </w:r>
          </w:p>
        </w:tc>
      </w:tr>
      <w:tr>
        <w:trPr>
          <w:trHeight w:val="256" w:hRule="atLeast"/>
        </w:trPr>
        <w:tc>
          <w:tcPr>
            <w:tcW w:w="1310" w:type="dxa"/>
            <w:tcBorders>
              <w:start w:val="single" w:sz="6" w:space="0" w:color="CE181E"/>
            </w:tcBorders>
            <w:shd w:fill="DDDDDD"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Cash Outflows</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79"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1"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1280" w:type="dxa"/>
            <w:tcBorders>
              <w:end w:val="single" w:sz="6" w:space="0" w:color="CE181E"/>
            </w:tcBorders>
            <w:shd w:fill="FCD3C1"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rHeight w:val="477" w:hRule="atLeast"/>
        </w:trPr>
        <w:tc>
          <w:tcPr>
            <w:tcW w:w="1310" w:type="dxa"/>
            <w:tcBorders>
              <w:start w:val="single" w:sz="6" w:space="0" w:color="CE181E"/>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Wages &amp; Salaries</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20,000</w:t>
            </w:r>
          </w:p>
        </w:tc>
        <w:tc>
          <w:tcPr>
            <w:tcW w:w="1279"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20,000</w:t>
            </w:r>
          </w:p>
        </w:tc>
        <w:tc>
          <w:tcPr>
            <w:tcW w:w="1281"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20,000</w:t>
            </w:r>
          </w:p>
        </w:tc>
        <w:tc>
          <w:tcPr>
            <w:tcW w:w="1280" w:type="dxa"/>
            <w:tcBorders>
              <w:end w:val="single" w:sz="6" w:space="0" w:color="CE181E"/>
            </w:tcBorders>
            <w:shd w:fill="FCD3C1"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240,000</w:t>
            </w:r>
          </w:p>
        </w:tc>
      </w:tr>
      <w:tr>
        <w:trPr>
          <w:trHeight w:val="256" w:hRule="atLeast"/>
        </w:trPr>
        <w:tc>
          <w:tcPr>
            <w:tcW w:w="1310" w:type="dxa"/>
            <w:tcBorders>
              <w:start w:val="single" w:sz="6" w:space="0" w:color="CE181E"/>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Telephone</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3,000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3,000</w:t>
            </w:r>
          </w:p>
        </w:tc>
        <w:tc>
          <w:tcPr>
            <w:tcW w:w="1279"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3,000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3,000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3,000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3,000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3,000</w:t>
            </w:r>
          </w:p>
        </w:tc>
        <w:tc>
          <w:tcPr>
            <w:tcW w:w="1281"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3,000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3,000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3,000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3,000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3,000</w:t>
            </w:r>
          </w:p>
        </w:tc>
        <w:tc>
          <w:tcPr>
            <w:tcW w:w="1280" w:type="dxa"/>
            <w:tcBorders>
              <w:end w:val="single" w:sz="6" w:space="0" w:color="CE181E"/>
            </w:tcBorders>
            <w:shd w:fill="FCD3C1"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36,000</w:t>
            </w:r>
          </w:p>
        </w:tc>
      </w:tr>
      <w:tr>
        <w:trPr>
          <w:trHeight w:val="256" w:hRule="atLeast"/>
        </w:trPr>
        <w:tc>
          <w:tcPr>
            <w:tcW w:w="1310" w:type="dxa"/>
            <w:tcBorders>
              <w:start w:val="single" w:sz="6" w:space="0" w:color="CE181E"/>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Electricity</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w:t>
            </w:r>
          </w:p>
        </w:tc>
        <w:tc>
          <w:tcPr>
            <w:tcW w:w="1279"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w:t>
            </w:r>
          </w:p>
        </w:tc>
        <w:tc>
          <w:tcPr>
            <w:tcW w:w="1281"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2,000</w:t>
            </w:r>
          </w:p>
        </w:tc>
        <w:tc>
          <w:tcPr>
            <w:tcW w:w="1280" w:type="dxa"/>
            <w:tcBorders>
              <w:end w:val="single" w:sz="6" w:space="0" w:color="CE181E"/>
            </w:tcBorders>
            <w:shd w:fill="FCD3C1"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24,000</w:t>
            </w:r>
          </w:p>
        </w:tc>
      </w:tr>
      <w:tr>
        <w:trPr>
          <w:trHeight w:val="256" w:hRule="atLeast"/>
        </w:trPr>
        <w:tc>
          <w:tcPr>
            <w:tcW w:w="1310" w:type="dxa"/>
            <w:tcBorders>
              <w:start w:val="single" w:sz="6" w:space="0" w:color="CE181E"/>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Advertising</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4,167</w:t>
            </w:r>
          </w:p>
        </w:tc>
        <w:tc>
          <w:tcPr>
            <w:tcW w:w="1279"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4,167</w:t>
            </w:r>
          </w:p>
        </w:tc>
        <w:tc>
          <w:tcPr>
            <w:tcW w:w="1281"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4,167</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4,167</w:t>
            </w:r>
          </w:p>
        </w:tc>
        <w:tc>
          <w:tcPr>
            <w:tcW w:w="1280" w:type="dxa"/>
            <w:tcBorders>
              <w:end w:val="single" w:sz="6" w:space="0" w:color="CE181E"/>
            </w:tcBorders>
            <w:shd w:fill="FCD3C1"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50,000</w:t>
            </w:r>
          </w:p>
        </w:tc>
      </w:tr>
      <w:tr>
        <w:trPr>
          <w:trHeight w:val="477" w:hRule="atLeast"/>
        </w:trPr>
        <w:tc>
          <w:tcPr>
            <w:tcW w:w="1310" w:type="dxa"/>
            <w:tcBorders>
              <w:start w:val="single" w:sz="6" w:space="0" w:color="CE181E"/>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Total Cash Outflows (2)</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29,167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29,167</w:t>
            </w:r>
          </w:p>
        </w:tc>
        <w:tc>
          <w:tcPr>
            <w:tcW w:w="1279"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29,167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29,167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29,167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29,167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29,167</w:t>
            </w:r>
          </w:p>
        </w:tc>
        <w:tc>
          <w:tcPr>
            <w:tcW w:w="1281"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29,167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29,167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29,167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29,167</w:t>
            </w:r>
          </w:p>
        </w:tc>
        <w:tc>
          <w:tcPr>
            <w:tcW w:w="1280" w:type="dxa"/>
            <w:tcBorders/>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29,167</w:t>
            </w:r>
          </w:p>
        </w:tc>
        <w:tc>
          <w:tcPr>
            <w:tcW w:w="1280" w:type="dxa"/>
            <w:tcBorders>
              <w:end w:val="single" w:sz="6" w:space="0" w:color="CE181E"/>
            </w:tcBorders>
            <w:shd w:fill="FCD3C1"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350,000</w:t>
            </w:r>
          </w:p>
        </w:tc>
      </w:tr>
      <w:tr>
        <w:trPr>
          <w:trHeight w:val="477" w:hRule="atLeast"/>
        </w:trPr>
        <w:tc>
          <w:tcPr>
            <w:tcW w:w="1310" w:type="dxa"/>
            <w:tcBorders>
              <w:start w:val="single" w:sz="6" w:space="0" w:color="CE181E"/>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Net Cash for Month</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12,500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12,500</w:t>
            </w:r>
          </w:p>
        </w:tc>
        <w:tc>
          <w:tcPr>
            <w:tcW w:w="1279"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12,500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12,500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12,500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12,500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12,500</w:t>
            </w:r>
          </w:p>
        </w:tc>
        <w:tc>
          <w:tcPr>
            <w:tcW w:w="1281"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12,500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12,500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12,500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12,500</w:t>
            </w:r>
          </w:p>
        </w:tc>
        <w:tc>
          <w:tcPr>
            <w:tcW w:w="1280" w:type="dxa"/>
            <w:tcBorders/>
            <w:shd w:fill="DDDDDD"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12,500</w:t>
            </w:r>
          </w:p>
        </w:tc>
        <w:tc>
          <w:tcPr>
            <w:tcW w:w="1280" w:type="dxa"/>
            <w:tcBorders>
              <w:end w:val="single" w:sz="6" w:space="0" w:color="CE181E"/>
            </w:tcBorders>
            <w:shd w:fill="FCD3C1" w:val="clear"/>
            <w:vAlign w:val="bottom"/>
          </w:tcPr>
          <w:p>
            <w:pPr>
              <w:pStyle w:val="Normal"/>
              <w:tabs>
                <w:tab w:val="clear" w:pos="709"/>
              </w:tabs>
              <w:jc w:val="start"/>
              <w:rPr>
                <w:rFonts w:ascii="Times New Roman" w:hAnsi="Times New Roman"/>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KSh 150,000</w:t>
            </w:r>
          </w:p>
        </w:tc>
      </w:tr>
      <w:tr>
        <w:trPr>
          <w:trHeight w:val="477" w:hRule="atLeast"/>
        </w:trPr>
        <w:tc>
          <w:tcPr>
            <w:tcW w:w="1310" w:type="dxa"/>
            <w:tcBorders>
              <w:start w:val="single" w:sz="6" w:space="0" w:color="CE181E"/>
              <w:bottom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Accumulative Cash (1-2)</w:t>
            </w:r>
          </w:p>
        </w:tc>
        <w:tc>
          <w:tcPr>
            <w:tcW w:w="1280" w:type="dxa"/>
            <w:tcBorders>
              <w:bottom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 12,500</w:t>
            </w:r>
          </w:p>
        </w:tc>
        <w:tc>
          <w:tcPr>
            <w:tcW w:w="1280" w:type="dxa"/>
            <w:tcBorders>
              <w:bottom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 25,000</w:t>
            </w:r>
          </w:p>
        </w:tc>
        <w:tc>
          <w:tcPr>
            <w:tcW w:w="1279" w:type="dxa"/>
            <w:tcBorders>
              <w:bottom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 37,500</w:t>
            </w:r>
          </w:p>
        </w:tc>
        <w:tc>
          <w:tcPr>
            <w:tcW w:w="1280" w:type="dxa"/>
            <w:tcBorders>
              <w:bottom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 50,000</w:t>
            </w:r>
          </w:p>
        </w:tc>
        <w:tc>
          <w:tcPr>
            <w:tcW w:w="1280" w:type="dxa"/>
            <w:tcBorders>
              <w:bottom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 62,500</w:t>
            </w:r>
          </w:p>
        </w:tc>
        <w:tc>
          <w:tcPr>
            <w:tcW w:w="1280" w:type="dxa"/>
            <w:tcBorders>
              <w:bottom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 75,000</w:t>
            </w:r>
          </w:p>
        </w:tc>
        <w:tc>
          <w:tcPr>
            <w:tcW w:w="1280" w:type="dxa"/>
            <w:tcBorders>
              <w:bottom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 87,500</w:t>
            </w:r>
          </w:p>
        </w:tc>
        <w:tc>
          <w:tcPr>
            <w:tcW w:w="1281" w:type="dxa"/>
            <w:tcBorders>
              <w:bottom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 100,000</w:t>
            </w:r>
          </w:p>
        </w:tc>
        <w:tc>
          <w:tcPr>
            <w:tcW w:w="1280" w:type="dxa"/>
            <w:tcBorders>
              <w:bottom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 112,500</w:t>
            </w:r>
          </w:p>
        </w:tc>
        <w:tc>
          <w:tcPr>
            <w:tcW w:w="1280" w:type="dxa"/>
            <w:tcBorders>
              <w:bottom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 125,000</w:t>
            </w:r>
          </w:p>
        </w:tc>
        <w:tc>
          <w:tcPr>
            <w:tcW w:w="1280" w:type="dxa"/>
            <w:tcBorders>
              <w:bottom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 137,500</w:t>
            </w:r>
          </w:p>
        </w:tc>
        <w:tc>
          <w:tcPr>
            <w:tcW w:w="1280" w:type="dxa"/>
            <w:tcBorders>
              <w:bottom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 150,000</w:t>
            </w:r>
          </w:p>
        </w:tc>
        <w:tc>
          <w:tcPr>
            <w:tcW w:w="1280" w:type="dxa"/>
            <w:tcBorders>
              <w:bottom w:val="single" w:sz="6" w:space="0" w:color="CE181E"/>
              <w:end w:val="single" w:sz="6" w:space="0" w:color="CE181E"/>
            </w:tcBorders>
            <w:shd w:fill="FCD3C1" w:val="clear"/>
            <w:vAlign w:val="bottom"/>
          </w:tcPr>
          <w:p>
            <w:pPr>
              <w:pStyle w:val="Normal"/>
              <w:tabs>
                <w:tab w:val="clear" w:pos="709"/>
              </w:tabs>
              <w:jc w:val="start"/>
              <w:rPr>
                <w:rFonts w:ascii="Times New Roman" w:hAnsi="Times New Roman"/>
                <w:b/>
                <w:bCs/>
                <w:i w:val="false"/>
                <w:i w:val="false"/>
                <w:iCs w:val="false"/>
                <w:strike w:val="false"/>
                <w:dstrike w:val="false"/>
                <w:outline w:val="false"/>
                <w:shadow w:val="false"/>
                <w:color w:val="000000"/>
                <w:sz w:val="24"/>
                <w:szCs w:val="24"/>
                <w:u w:val="none"/>
              </w:rPr>
            </w:pPr>
            <w:r>
              <w:rPr>
                <w:rFonts w:ascii="Times New Roman" w:hAnsi="Times New Roman"/>
                <w:b/>
                <w:bCs/>
                <w:i w:val="false"/>
                <w:iCs w:val="false"/>
                <w:strike w:val="false"/>
                <w:dstrike w:val="false"/>
                <w:outline w:val="false"/>
                <w:shadow w:val="false"/>
                <w:color w:val="000000"/>
                <w:sz w:val="24"/>
                <w:szCs w:val="24"/>
                <w:u w:val="none"/>
              </w:rPr>
              <w:t>KSh 150,000</w:t>
            </w:r>
          </w:p>
        </w:tc>
      </w:tr>
    </w:tbl>
    <w:p>
      <w:pPr>
        <w:pStyle w:val="Normal"/>
        <w:bidi w:val="0"/>
        <w:spacing w:lineRule="auto" w:line="360"/>
        <w:jc w:val="start"/>
        <w:rPr>
          <w:rFonts w:ascii="Times New Roman" w:hAnsi="Times New Roman" w:eastAsia="Times New Roman"/>
          <w:b/>
          <w:bCs/>
          <w:sz w:val="24"/>
          <w:szCs w:val="24"/>
        </w:rPr>
      </w:pPr>
      <w:r>
        <w:rPr>
          <w:rFonts w:eastAsia="Times New Roman" w:ascii="Times New Roman" w:hAnsi="Times New Roman"/>
          <w:b/>
          <w:bCs/>
          <w:sz w:val="24"/>
          <w:szCs w:val="24"/>
        </w:rPr>
      </w:r>
      <w:r>
        <w:br w:type="page"/>
      </w:r>
    </w:p>
    <w:p>
      <w:pPr>
        <w:pStyle w:val="Heading2"/>
        <w:bidi w:val="0"/>
        <w:spacing w:lineRule="auto" w:line="360" w:before="0" w:after="120"/>
        <w:jc w:val="start"/>
        <w:rPr/>
      </w:pPr>
      <w:r>
        <w:rPr>
          <w:rStyle w:val="Strong"/>
          <w:rFonts w:eastAsia="Times New Roman" w:ascii="Times New Roman" w:hAnsi="Times New Roman"/>
          <w:b/>
          <w:bCs/>
          <w:sz w:val="24"/>
          <w:szCs w:val="24"/>
        </w:rPr>
        <w:t>5.6 Break-Even Analysis</w:t>
      </w:r>
    </w:p>
    <w:p>
      <w:pPr>
        <w:pStyle w:val="BodyText"/>
        <w:numPr>
          <w:ilvl w:val="0"/>
          <w:numId w:val="1"/>
        </w:numPr>
        <w:tabs>
          <w:tab w:val="left" w:pos="709" w:leader="none"/>
        </w:tabs>
        <w:bidi w:val="0"/>
        <w:spacing w:lineRule="auto" w:line="360"/>
        <w:ind w:hanging="283" w:start="709"/>
        <w:jc w:val="start"/>
        <w:rPr/>
      </w:pPr>
      <w:r>
        <w:rPr>
          <w:rStyle w:val="Strong"/>
          <w:rFonts w:eastAsia="Times New Roman" w:ascii="Times New Roman" w:hAnsi="Times New Roman"/>
          <w:sz w:val="24"/>
          <w:szCs w:val="24"/>
        </w:rPr>
        <w:t>Contribution Margin</w:t>
      </w:r>
      <w:r>
        <w:rPr>
          <w:rFonts w:eastAsia="Times New Roman" w:ascii="Times New Roman" w:hAnsi="Times New Roman"/>
          <w:sz w:val="24"/>
          <w:szCs w:val="24"/>
        </w:rPr>
        <w:t xml:space="preserve">: Sales (KES 500,000) – Variable Costs (KES 150,000) = </w:t>
      </w:r>
      <w:r>
        <w:rPr>
          <w:rStyle w:val="Strong"/>
          <w:rFonts w:eastAsia="Times New Roman" w:ascii="Times New Roman" w:hAnsi="Times New Roman"/>
          <w:sz w:val="24"/>
          <w:szCs w:val="24"/>
        </w:rPr>
        <w:t>KES 350,000</w:t>
      </w:r>
    </w:p>
    <w:p>
      <w:pPr>
        <w:pStyle w:val="BodyText"/>
        <w:numPr>
          <w:ilvl w:val="0"/>
          <w:numId w:val="1"/>
        </w:numPr>
        <w:tabs>
          <w:tab w:val="left" w:pos="709" w:leader="none"/>
        </w:tabs>
        <w:bidi w:val="0"/>
        <w:spacing w:lineRule="auto" w:line="360"/>
        <w:ind w:hanging="283" w:start="709"/>
        <w:jc w:val="start"/>
        <w:rPr/>
      </w:pPr>
      <w:r>
        <w:rPr>
          <w:rStyle w:val="Strong"/>
          <w:rFonts w:eastAsia="Times New Roman" w:ascii="Times New Roman" w:hAnsi="Times New Roman"/>
          <w:sz w:val="24"/>
          <w:szCs w:val="24"/>
        </w:rPr>
        <w:t>Contribution Margin %</w:t>
      </w:r>
      <w:r>
        <w:rPr>
          <w:rFonts w:eastAsia="Times New Roman" w:ascii="Times New Roman" w:hAnsi="Times New Roman"/>
          <w:sz w:val="24"/>
          <w:szCs w:val="24"/>
        </w:rPr>
        <w:t xml:space="preserve">: (350,000 / 500,000) × 100 = </w:t>
      </w:r>
      <w:r>
        <w:rPr>
          <w:rStyle w:val="Strong"/>
          <w:rFonts w:eastAsia="Times New Roman" w:ascii="Times New Roman" w:hAnsi="Times New Roman"/>
          <w:sz w:val="24"/>
          <w:szCs w:val="24"/>
        </w:rPr>
        <w:t>70%</w:t>
      </w:r>
    </w:p>
    <w:p>
      <w:pPr>
        <w:pStyle w:val="BodyText"/>
        <w:numPr>
          <w:ilvl w:val="0"/>
          <w:numId w:val="1"/>
        </w:numPr>
        <w:tabs>
          <w:tab w:val="left" w:pos="709" w:leader="none"/>
        </w:tabs>
        <w:bidi w:val="0"/>
        <w:spacing w:lineRule="auto" w:line="360"/>
        <w:ind w:hanging="283" w:start="709"/>
        <w:jc w:val="start"/>
        <w:rPr/>
      </w:pPr>
      <w:r>
        <w:rPr>
          <w:rStyle w:val="Strong"/>
          <w:rFonts w:eastAsia="Times New Roman" w:ascii="Times New Roman" w:hAnsi="Times New Roman"/>
          <w:sz w:val="24"/>
          <w:szCs w:val="24"/>
        </w:rPr>
        <w:t>Fixed Costs</w:t>
      </w:r>
      <w:r>
        <w:rPr>
          <w:rFonts w:eastAsia="Times New Roman" w:ascii="Times New Roman" w:hAnsi="Times New Roman"/>
          <w:sz w:val="24"/>
          <w:szCs w:val="24"/>
        </w:rPr>
        <w:t xml:space="preserve">: Salaries + Internet + Electricity = </w:t>
      </w:r>
      <w:r>
        <w:rPr>
          <w:rStyle w:val="Strong"/>
          <w:rFonts w:eastAsia="Times New Roman" w:ascii="Times New Roman" w:hAnsi="Times New Roman"/>
          <w:sz w:val="24"/>
          <w:szCs w:val="24"/>
        </w:rPr>
        <w:t>300,000</w:t>
      </w:r>
    </w:p>
    <w:p>
      <w:pPr>
        <w:pStyle w:val="BodyText"/>
        <w:numPr>
          <w:ilvl w:val="0"/>
          <w:numId w:val="1"/>
        </w:numPr>
        <w:tabs>
          <w:tab w:val="left" w:pos="709" w:leader="none"/>
        </w:tabs>
        <w:bidi w:val="0"/>
        <w:spacing w:lineRule="auto" w:line="360"/>
        <w:ind w:hanging="283" w:start="709"/>
        <w:jc w:val="start"/>
        <w:rPr/>
      </w:pPr>
      <w:r>
        <w:rPr>
          <w:rStyle w:val="Strong"/>
          <w:rFonts w:eastAsia="Times New Roman" w:ascii="Times New Roman" w:hAnsi="Times New Roman"/>
          <w:sz w:val="24"/>
          <w:szCs w:val="24"/>
        </w:rPr>
        <w:t>Break-Even Sales</w:t>
      </w:r>
      <w:r>
        <w:rPr>
          <w:rFonts w:eastAsia="Times New Roman" w:ascii="Times New Roman" w:hAnsi="Times New Roman"/>
          <w:sz w:val="24"/>
          <w:szCs w:val="24"/>
        </w:rPr>
        <w:t xml:space="preserve">: 300,000 / 70% = </w:t>
      </w:r>
      <w:r>
        <w:rPr>
          <w:rStyle w:val="Strong"/>
          <w:rFonts w:eastAsia="Times New Roman" w:ascii="Times New Roman" w:hAnsi="Times New Roman"/>
          <w:sz w:val="24"/>
          <w:szCs w:val="24"/>
        </w:rPr>
        <w:t>KES 428,571</w:t>
      </w:r>
    </w:p>
    <w:p>
      <w:pPr>
        <w:pStyle w:val="Heading2"/>
        <w:bidi w:val="0"/>
        <w:spacing w:lineRule="auto" w:line="360"/>
        <w:jc w:val="start"/>
        <w:rPr>
          <w:rFonts w:ascii="Times New Roman" w:hAnsi="Times New Roman" w:eastAsia="Times New Roman"/>
          <w:b w:val="false"/>
          <w:bCs w:val="false"/>
          <w:sz w:val="24"/>
          <w:szCs w:val="24"/>
        </w:rPr>
      </w:pPr>
      <w:r>
        <w:rPr>
          <w:rFonts w:eastAsia="Times New Roman" w:ascii="Times New Roman" w:hAnsi="Times New Roman"/>
          <w:b w:val="false"/>
          <w:bCs w:val="false"/>
          <w:sz w:val="24"/>
          <w:szCs w:val="24"/>
        </w:rPr>
      </w:r>
    </w:p>
    <w:p>
      <w:pPr>
        <w:pStyle w:val="Heading2"/>
        <w:bidi w:val="0"/>
        <w:spacing w:lineRule="auto" w:line="360"/>
        <w:jc w:val="start"/>
        <w:rPr/>
      </w:pPr>
      <w:r>
        <w:rPr>
          <w:rStyle w:val="Strong"/>
          <w:rFonts w:eastAsia="Times New Roman" w:ascii="Times New Roman" w:hAnsi="Times New Roman"/>
          <w:b/>
          <w:bCs/>
          <w:sz w:val="24"/>
          <w:szCs w:val="24"/>
        </w:rPr>
        <w:t>5.7 Desired Financing</w:t>
      </w:r>
    </w:p>
    <w:tbl>
      <w:tblPr>
        <w:tblW w:w="5094" w:type="dxa"/>
        <w:jc w:val="start"/>
        <w:tblInd w:w="-30" w:type="dxa"/>
        <w:tblLayout w:type="fixed"/>
        <w:tblCellMar>
          <w:top w:w="0" w:type="dxa"/>
          <w:start w:w="7" w:type="dxa"/>
          <w:bottom w:w="0" w:type="dxa"/>
          <w:end w:w="0" w:type="dxa"/>
        </w:tblCellMar>
      </w:tblPr>
      <w:tblGrid>
        <w:gridCol w:w="3010"/>
        <w:gridCol w:w="2083"/>
      </w:tblGrid>
      <w:tr>
        <w:trPr>
          <w:trHeight w:val="300" w:hRule="atLeast"/>
        </w:trPr>
        <w:tc>
          <w:tcPr>
            <w:tcW w:w="3010" w:type="dxa"/>
            <w:tcBorders>
              <w:top w:val="single" w:sz="6" w:space="0" w:color="CE181E"/>
              <w:start w:val="single" w:sz="6" w:space="0" w:color="CE181E"/>
            </w:tcBorders>
            <w:shd w:fill="CE181E" w:val="clear"/>
            <w:vAlign w:val="bottom"/>
          </w:tcPr>
          <w:p>
            <w:pPr>
              <w:pStyle w:val="Normal"/>
              <w:tabs>
                <w:tab w:val="clear" w:pos="709"/>
              </w:tabs>
              <w:bidi w:val="0"/>
              <w:spacing w:lineRule="auto" w:line="360"/>
              <w:jc w:val="start"/>
              <w:rPr/>
            </w:pPr>
            <w:r>
              <w:rPr>
                <w:rStyle w:val="Strong"/>
                <w:rFonts w:eastAsia="Times New Roman" w:ascii="Times New Roman" w:hAnsi="Times New Roman"/>
                <w:b/>
                <w:i w:val="false"/>
                <w:iCs w:val="false"/>
                <w:strike w:val="false"/>
                <w:dstrike w:val="false"/>
                <w:outline w:val="false"/>
                <w:shadow w:val="false"/>
                <w:color w:val="FFFFFF"/>
                <w:sz w:val="24"/>
                <w:szCs w:val="24"/>
                <w:u w:val="none"/>
              </w:rPr>
              <w:t>Item</w:t>
            </w:r>
          </w:p>
        </w:tc>
        <w:tc>
          <w:tcPr>
            <w:tcW w:w="2083" w:type="dxa"/>
            <w:tcBorders>
              <w:top w:val="single" w:sz="6" w:space="0" w:color="CE181E"/>
              <w:end w:val="single" w:sz="6" w:space="0" w:color="CE181E"/>
            </w:tcBorders>
            <w:shd w:fill="CE181E"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FFFFFF"/>
                <w:sz w:val="24"/>
                <w:szCs w:val="24"/>
                <w:u w:val="none"/>
              </w:rPr>
              <w:t>Amount</w:t>
            </w:r>
          </w:p>
        </w:tc>
      </w:tr>
      <w:tr>
        <w:trPr>
          <w:trHeight w:val="300" w:hRule="atLeast"/>
        </w:trPr>
        <w:tc>
          <w:tcPr>
            <w:tcW w:w="3010" w:type="dxa"/>
            <w:tcBorders>
              <w:start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Pre-Operational Costs</w:t>
            </w:r>
          </w:p>
        </w:tc>
        <w:tc>
          <w:tcPr>
            <w:tcW w:w="2083" w:type="dxa"/>
            <w:tcBorders>
              <w:end w:val="single" w:sz="6" w:space="0" w:color="CE181E"/>
            </w:tcBorders>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KSh220,000.00</w:t>
            </w:r>
          </w:p>
        </w:tc>
      </w:tr>
      <w:tr>
        <w:trPr>
          <w:trHeight w:val="300" w:hRule="atLeast"/>
        </w:trPr>
        <w:tc>
          <w:tcPr>
            <w:tcW w:w="3010" w:type="dxa"/>
            <w:tcBorders>
              <w:start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Working Capital</w:t>
            </w:r>
          </w:p>
        </w:tc>
        <w:tc>
          <w:tcPr>
            <w:tcW w:w="2083" w:type="dxa"/>
            <w:tcBorders>
              <w:end w:val="single" w:sz="6" w:space="0" w:color="CE181E"/>
            </w:tcBorders>
            <w:shd w:fill="DDDDDD"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KSh350,000.00</w:t>
            </w:r>
          </w:p>
        </w:tc>
      </w:tr>
      <w:tr>
        <w:trPr>
          <w:trHeight w:val="300" w:hRule="atLeast"/>
        </w:trPr>
        <w:tc>
          <w:tcPr>
            <w:tcW w:w="3010" w:type="dxa"/>
            <w:tcBorders>
              <w:start w:val="single" w:sz="6" w:space="0" w:color="CE181E"/>
              <w:bottom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Total Financing</w:t>
            </w:r>
          </w:p>
        </w:tc>
        <w:tc>
          <w:tcPr>
            <w:tcW w:w="2083" w:type="dxa"/>
            <w:tcBorders>
              <w:bottom w:val="single" w:sz="6" w:space="0" w:color="CE181E"/>
              <w:end w:val="single" w:sz="6" w:space="0" w:color="CE181E"/>
            </w:tcBorders>
            <w:shd w:fill="FCD3C1" w:val="clear"/>
            <w:vAlign w:val="bottom"/>
          </w:tcPr>
          <w:p>
            <w:pPr>
              <w:pStyle w:val="Normal"/>
              <w:tabs>
                <w:tab w:val="clear" w:pos="709"/>
              </w:tab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KSh570,000.00</w:t>
            </w:r>
          </w:p>
        </w:tc>
      </w:tr>
    </w:tbl>
    <w:p>
      <w:pPr>
        <w:pStyle w:val="Heading2"/>
        <w:bidi w:val="0"/>
        <w:spacing w:lineRule="auto" w:line="360"/>
        <w:jc w:val="start"/>
        <w:rPr>
          <w:rFonts w:ascii="Times New Roman" w:hAnsi="Times New Roman" w:eastAsia="Times New Roman"/>
          <w:b/>
          <w:bCs/>
          <w:sz w:val="24"/>
          <w:szCs w:val="24"/>
        </w:rPr>
      </w:pPr>
      <w:r>
        <w:rPr>
          <w:rFonts w:eastAsia="Times New Roman" w:ascii="Times New Roman" w:hAnsi="Times New Roman"/>
          <w:b/>
          <w:bCs/>
          <w:sz w:val="24"/>
          <w:szCs w:val="24"/>
        </w:rPr>
      </w:r>
    </w:p>
    <w:p>
      <w:pPr>
        <w:pStyle w:val="Heading2"/>
        <w:bidi w:val="0"/>
        <w:spacing w:lineRule="auto" w:line="360"/>
        <w:jc w:val="start"/>
        <w:rPr/>
      </w:pPr>
      <w:r>
        <w:rPr>
          <w:rStyle w:val="Strong"/>
          <w:rFonts w:eastAsia="Times New Roman" w:ascii="Times New Roman" w:hAnsi="Times New Roman"/>
          <w:b/>
          <w:bCs/>
          <w:sz w:val="24"/>
          <w:szCs w:val="24"/>
        </w:rPr>
        <w:t>5.8 Proposed Capitalization</w:t>
      </w:r>
    </w:p>
    <w:p>
      <w:pPr>
        <w:pStyle w:val="BodyText"/>
        <w:numPr>
          <w:ilvl w:val="0"/>
          <w:numId w:val="2"/>
        </w:numPr>
        <w:tabs>
          <w:tab w:val="left" w:pos="709" w:leader="none"/>
        </w:tabs>
        <w:bidi w:val="0"/>
        <w:spacing w:lineRule="auto" w:line="360"/>
        <w:ind w:hanging="283" w:start="709"/>
        <w:jc w:val="start"/>
        <w:rPr/>
      </w:pPr>
      <w:r>
        <w:rPr>
          <w:rStyle w:val="Strong"/>
          <w:rFonts w:eastAsia="Times New Roman" w:ascii="Times New Roman" w:hAnsi="Times New Roman"/>
          <w:sz w:val="24"/>
          <w:szCs w:val="24"/>
        </w:rPr>
        <w:t>Total Investment</w:t>
      </w:r>
      <w:r>
        <w:rPr>
          <w:rFonts w:eastAsia="Times New Roman" w:ascii="Times New Roman" w:hAnsi="Times New Roman"/>
          <w:sz w:val="24"/>
          <w:szCs w:val="24"/>
        </w:rPr>
        <w:t>: KES 570,000</w:t>
      </w:r>
    </w:p>
    <w:p>
      <w:pPr>
        <w:pStyle w:val="BodyText"/>
        <w:numPr>
          <w:ilvl w:val="0"/>
          <w:numId w:val="2"/>
        </w:numPr>
        <w:tabs>
          <w:tab w:val="left" w:pos="709" w:leader="none"/>
        </w:tabs>
        <w:bidi w:val="0"/>
        <w:spacing w:lineRule="auto" w:line="360"/>
        <w:ind w:hanging="283" w:start="709"/>
        <w:jc w:val="start"/>
        <w:rPr/>
      </w:pPr>
      <w:r>
        <w:rPr>
          <w:rStyle w:val="Strong"/>
          <w:rFonts w:eastAsia="Times New Roman" w:ascii="Times New Roman" w:hAnsi="Times New Roman"/>
          <w:sz w:val="24"/>
          <w:szCs w:val="24"/>
        </w:rPr>
        <w:t>Owner’s Contribution</w:t>
      </w:r>
      <w:r>
        <w:rPr>
          <w:rFonts w:eastAsia="Times New Roman" w:ascii="Times New Roman" w:hAnsi="Times New Roman"/>
          <w:sz w:val="24"/>
          <w:szCs w:val="24"/>
        </w:rPr>
        <w:t>: KES 30,000 (personal savings)</w:t>
      </w:r>
    </w:p>
    <w:p>
      <w:pPr>
        <w:pStyle w:val="BodyText"/>
        <w:numPr>
          <w:ilvl w:val="0"/>
          <w:numId w:val="2"/>
        </w:numPr>
        <w:tabs>
          <w:tab w:val="left" w:pos="709" w:leader="none"/>
        </w:tabs>
        <w:bidi w:val="0"/>
        <w:spacing w:lineRule="auto" w:line="360"/>
        <w:ind w:hanging="283" w:start="709"/>
        <w:jc w:val="start"/>
        <w:rPr/>
      </w:pPr>
      <w:r>
        <w:rPr>
          <w:rStyle w:val="Strong"/>
          <w:rFonts w:eastAsia="Times New Roman" w:ascii="Times New Roman" w:hAnsi="Times New Roman"/>
          <w:sz w:val="24"/>
          <w:szCs w:val="24"/>
        </w:rPr>
        <w:t>Borrowings</w:t>
      </w:r>
      <w:r>
        <w:rPr>
          <w:rFonts w:eastAsia="Times New Roman" w:ascii="Times New Roman" w:hAnsi="Times New Roman"/>
          <w:sz w:val="24"/>
          <w:szCs w:val="24"/>
        </w:rPr>
        <w:t>: KES 540,000 (KES 190,000 from family/friends + KES 350,000 loan)</w:t>
      </w:r>
    </w:p>
    <w:p>
      <w:pPr>
        <w:pStyle w:val="Heading2"/>
        <w:bidi w:val="0"/>
        <w:spacing w:lineRule="auto" w:line="360"/>
        <w:jc w:val="start"/>
        <w:rPr>
          <w:rFonts w:ascii="Times New Roman" w:hAnsi="Times New Roman" w:eastAsia="Times New Roman"/>
          <w:b w:val="false"/>
          <w:bCs w:val="false"/>
          <w:sz w:val="24"/>
          <w:szCs w:val="24"/>
        </w:rPr>
      </w:pPr>
      <w:r>
        <w:rPr>
          <w:rFonts w:eastAsia="Times New Roman" w:ascii="Times New Roman" w:hAnsi="Times New Roman"/>
          <w:b w:val="false"/>
          <w:bCs w:val="false"/>
          <w:sz w:val="24"/>
          <w:szCs w:val="24"/>
        </w:rPr>
      </w:r>
    </w:p>
    <w:p>
      <w:pPr>
        <w:pStyle w:val="Heading2"/>
        <w:bidi w:val="0"/>
        <w:spacing w:lineRule="auto" w:line="360"/>
        <w:jc w:val="start"/>
        <w:rPr>
          <w:rFonts w:ascii="Times New Roman" w:hAnsi="Times New Roman" w:eastAsia="Times New Roman"/>
          <w:b/>
          <w:bCs/>
          <w:sz w:val="24"/>
          <w:szCs w:val="24"/>
        </w:rPr>
      </w:pPr>
      <w:r>
        <w:rPr>
          <w:rFonts w:eastAsia="Times New Roman" w:ascii="Times New Roman" w:hAnsi="Times New Roman"/>
          <w:b/>
          <w:bCs/>
          <w:sz w:val="24"/>
          <w:szCs w:val="24"/>
        </w:rPr>
      </w:r>
      <w:r>
        <w:br w:type="page"/>
      </w:r>
    </w:p>
    <w:p>
      <w:pPr>
        <w:pStyle w:val="Heading2"/>
        <w:bidi w:val="0"/>
        <w:spacing w:lineRule="auto" w:line="360" w:before="0" w:after="120"/>
        <w:jc w:val="start"/>
        <w:rPr/>
      </w:pPr>
      <w:r>
        <w:rPr>
          <w:rStyle w:val="Strong"/>
          <w:rFonts w:eastAsia="Times New Roman" w:ascii="Times New Roman" w:hAnsi="Times New Roman"/>
          <w:b/>
          <w:bCs/>
          <w:sz w:val="24"/>
          <w:szCs w:val="24"/>
        </w:rPr>
        <w:t>5.9 Expected Profitability Ratios</w:t>
      </w:r>
    </w:p>
    <w:p>
      <w:pPr>
        <w:pStyle w:val="BodyText"/>
        <w:numPr>
          <w:ilvl w:val="0"/>
          <w:numId w:val="3"/>
        </w:numPr>
        <w:tabs>
          <w:tab w:val="left" w:pos="709" w:leader="none"/>
        </w:tabs>
        <w:bidi w:val="0"/>
        <w:spacing w:lineRule="auto" w:line="360"/>
        <w:ind w:hanging="283" w:start="709"/>
        <w:jc w:val="start"/>
        <w:rPr/>
      </w:pPr>
      <w:r>
        <w:rPr>
          <w:rStyle w:val="Strong"/>
          <w:rFonts w:eastAsia="Times New Roman" w:ascii="Times New Roman" w:hAnsi="Times New Roman"/>
          <w:sz w:val="24"/>
          <w:szCs w:val="24"/>
        </w:rPr>
        <w:t>Gross Profit Margin</w:t>
      </w:r>
      <w:r>
        <w:rPr>
          <w:rFonts w:eastAsia="Times New Roman" w:ascii="Times New Roman" w:hAnsi="Times New Roman"/>
          <w:sz w:val="24"/>
          <w:szCs w:val="24"/>
        </w:rPr>
        <w:t xml:space="preserve">: </w:t>
      </w:r>
    </w:p>
    <w:p>
      <w:pPr>
        <w:pStyle w:val="BodyText"/>
        <w:numPr>
          <w:ilvl w:val="0"/>
          <w:numId w:val="0"/>
        </w:numPr>
        <w:bidi w:val="0"/>
        <w:spacing w:lineRule="auto" w:line="360"/>
        <w:ind w:hanging="0" w:start="0"/>
        <w:jc w:val="start"/>
        <w:rPr>
          <w:rFonts w:ascii="Times New Roman" w:hAnsi="Times New Roman"/>
        </w:rPr>
      </w:pPr>
      <w:r>
        <w:rPr>
          <w:rFonts w:eastAsia="Times New Roman" w:cs="Times New Roman" w:ascii="Times New Roman" w:hAnsi="Times New Roman"/>
          <w:sz w:val="24"/>
          <w:u w:val="single"/>
        </w:rPr>
        <w:t>Gross</w:t>
      </w:r>
      <w:r>
        <w:rPr>
          <w:rFonts w:eastAsia="Times New Roman" w:cs="Times New Roman" w:ascii="Times New Roman" w:hAnsi="Times New Roman"/>
          <w:spacing w:val="-1"/>
          <w:sz w:val="24"/>
          <w:u w:val="single"/>
        </w:rPr>
        <w:t xml:space="preserve"> </w:t>
      </w:r>
      <w:r>
        <w:rPr>
          <w:rFonts w:eastAsia="Times New Roman" w:cs="Times New Roman" w:ascii="Times New Roman" w:hAnsi="Times New Roman"/>
          <w:sz w:val="24"/>
          <w:u w:val="single"/>
        </w:rPr>
        <w:t>profit x</w:t>
      </w:r>
      <w:r>
        <w:rPr>
          <w:rFonts w:eastAsia="Times New Roman" w:cs="Times New Roman" w:ascii="Times New Roman" w:hAnsi="Times New Roman"/>
          <w:spacing w:val="2"/>
          <w:sz w:val="24"/>
          <w:u w:val="single"/>
        </w:rPr>
        <w:t xml:space="preserve"> </w:t>
      </w:r>
      <w:r>
        <w:rPr>
          <w:rFonts w:eastAsia="Times New Roman" w:cs="Times New Roman" w:ascii="Times New Roman" w:hAnsi="Times New Roman"/>
          <w:sz w:val="24"/>
          <w:u w:val="single"/>
        </w:rPr>
        <w:t>100</w:t>
      </w:r>
    </w:p>
    <w:p>
      <w:pPr>
        <w:pStyle w:val="BodyText"/>
        <w:numPr>
          <w:ilvl w:val="0"/>
          <w:numId w:val="0"/>
        </w:numPr>
        <w:bidi w:val="0"/>
        <w:spacing w:lineRule="auto" w:line="360"/>
        <w:ind w:hanging="0" w:start="0"/>
        <w:jc w:val="start"/>
        <w:rPr>
          <w:rFonts w:ascii="Times New Roman" w:hAnsi="Times New Roman"/>
        </w:rPr>
      </w:pPr>
      <w:r>
        <w:rPr>
          <w:rFonts w:eastAsia="Times New Roman" w:cs="Times New Roman" w:ascii="Times New Roman" w:hAnsi="Times New Roman"/>
          <w:sz w:val="24"/>
          <w:szCs w:val="24"/>
        </w:rPr>
        <w:t>Sales</w:t>
      </w:r>
    </w:p>
    <w:p>
      <w:pPr>
        <w:pStyle w:val="BodyText"/>
        <w:numPr>
          <w:ilvl w:val="0"/>
          <w:numId w:val="0"/>
        </w:numPr>
        <w:bidi w:val="0"/>
        <w:spacing w:lineRule="auto" w:line="360"/>
        <w:ind w:hanging="0" w:start="0"/>
        <w:jc w:val="start"/>
        <w:rPr/>
      </w:pPr>
      <w:r>
        <w:rPr>
          <w:rFonts w:eastAsia="Times New Roman" w:ascii="Times New Roman" w:hAnsi="Times New Roman"/>
          <w:sz w:val="24"/>
          <w:szCs w:val="24"/>
        </w:rPr>
        <w:t xml:space="preserve">= (350,000 / 500,000) × 100 = </w:t>
      </w:r>
      <w:r>
        <w:rPr>
          <w:rStyle w:val="Strong"/>
          <w:rFonts w:eastAsia="Times New Roman" w:ascii="Times New Roman" w:hAnsi="Times New Roman"/>
          <w:sz w:val="24"/>
          <w:szCs w:val="24"/>
        </w:rPr>
        <w:t>70%</w:t>
      </w:r>
    </w:p>
    <w:p>
      <w:pPr>
        <w:pStyle w:val="BodyText"/>
        <w:numPr>
          <w:ilvl w:val="0"/>
          <w:numId w:val="3"/>
        </w:numPr>
        <w:tabs>
          <w:tab w:val="left" w:pos="709" w:leader="none"/>
        </w:tabs>
        <w:bidi w:val="0"/>
        <w:spacing w:lineRule="auto" w:line="360"/>
        <w:ind w:hanging="283" w:start="709"/>
        <w:jc w:val="start"/>
        <w:rPr/>
      </w:pPr>
      <w:r>
        <w:rPr>
          <w:rStyle w:val="Strong"/>
          <w:rFonts w:eastAsia="Times New Roman" w:ascii="Times New Roman" w:hAnsi="Times New Roman"/>
          <w:sz w:val="24"/>
          <w:szCs w:val="24"/>
        </w:rPr>
        <w:t>Return on Equity (Year 3)</w:t>
      </w:r>
      <w:r>
        <w:rPr>
          <w:rFonts w:eastAsia="Times New Roman" w:ascii="Times New Roman" w:hAnsi="Times New Roman"/>
          <w:sz w:val="24"/>
          <w:szCs w:val="24"/>
        </w:rPr>
        <w:t xml:space="preserve">: </w:t>
      </w:r>
    </w:p>
    <w:p>
      <w:pPr>
        <w:pStyle w:val="Normal"/>
        <w:widowControl w:val="false"/>
        <w:numPr>
          <w:ilvl w:val="0"/>
          <w:numId w:val="0"/>
        </w:numPr>
        <w:tabs>
          <w:tab w:val="clear" w:pos="709"/>
          <w:tab w:val="left" w:pos="1542" w:leader="none"/>
        </w:tabs>
        <w:bidi w:val="0"/>
        <w:spacing w:lineRule="auto" w:line="360" w:before="0" w:after="0"/>
        <w:ind w:hanging="0" w:start="593"/>
        <w:jc w:val="start"/>
        <w:rPr>
          <w:rFonts w:ascii="Times New Roman" w:hAnsi="Times New Roman"/>
        </w:rPr>
      </w:pPr>
      <w:r>
        <w:rPr>
          <w:rFonts w:eastAsia="Times New Roman" w:cs="Times New Roman" w:ascii="Times New Roman" w:hAnsi="Times New Roman"/>
          <w:sz w:val="24"/>
          <w:u w:val="single"/>
        </w:rPr>
        <w:t>Net profit after tax x</w:t>
      </w:r>
      <w:r>
        <w:rPr>
          <w:rFonts w:eastAsia="Times New Roman" w:cs="Times New Roman" w:ascii="Times New Roman" w:hAnsi="Times New Roman"/>
          <w:spacing w:val="1"/>
          <w:sz w:val="24"/>
          <w:u w:val="single"/>
        </w:rPr>
        <w:t xml:space="preserve"> </w:t>
      </w:r>
      <w:r>
        <w:rPr>
          <w:rFonts w:eastAsia="Times New Roman" w:cs="Times New Roman" w:ascii="Times New Roman" w:hAnsi="Times New Roman"/>
          <w:sz w:val="24"/>
          <w:u w:val="single"/>
        </w:rPr>
        <w:t>100</w:t>
      </w:r>
    </w:p>
    <w:p>
      <w:pPr>
        <w:pStyle w:val="Normal"/>
        <w:widowControl w:val="false"/>
        <w:numPr>
          <w:ilvl w:val="0"/>
          <w:numId w:val="0"/>
        </w:numPr>
        <w:tabs>
          <w:tab w:val="clear" w:pos="709"/>
          <w:tab w:val="left" w:pos="2251" w:leader="none"/>
        </w:tabs>
        <w:bidi w:val="0"/>
        <w:spacing w:lineRule="auto" w:line="360" w:before="0" w:after="0"/>
        <w:ind w:hanging="0" w:start="593"/>
        <w:jc w:val="start"/>
        <w:rPr>
          <w:rFonts w:ascii="Times New Roman" w:hAnsi="Times New Roman"/>
        </w:rPr>
      </w:pPr>
      <w:r>
        <w:rPr>
          <w:rFonts w:eastAsia="Times New Roman" w:cs="Times New Roman" w:ascii="Times New Roman" w:hAnsi="Times New Roman"/>
          <w:sz w:val="24"/>
          <w:szCs w:val="24"/>
        </w:rPr>
        <w:t>Owner’s Equity</w:t>
      </w:r>
    </w:p>
    <w:p>
      <w:pPr>
        <w:pStyle w:val="Normal"/>
        <w:widowControl w:val="false"/>
        <w:numPr>
          <w:ilvl w:val="0"/>
          <w:numId w:val="0"/>
        </w:numPr>
        <w:tabs>
          <w:tab w:val="clear" w:pos="709"/>
          <w:tab w:val="left" w:pos="2251" w:leader="none"/>
        </w:tabs>
        <w:bidi w:val="0"/>
        <w:spacing w:lineRule="auto" w:line="360" w:before="0" w:after="0"/>
        <w:ind w:hanging="0" w:start="593"/>
        <w:jc w:val="start"/>
        <w:rPr>
          <w:rFonts w:ascii="Times New Roman" w:hAnsi="Times New Roman" w:eastAsia="Times New Roman" w:cs="Times New Roman"/>
          <w:sz w:val="24"/>
        </w:rPr>
      </w:pPr>
      <w:r>
        <w:rPr>
          <w:rFonts w:eastAsia="Times New Roman" w:cs="Times New Roman" w:ascii="Times New Roman" w:hAnsi="Times New Roman"/>
          <w:sz w:val="24"/>
        </w:rPr>
      </w:r>
    </w:p>
    <w:p>
      <w:pPr>
        <w:pStyle w:val="BodyText"/>
        <w:numPr>
          <w:ilvl w:val="0"/>
          <w:numId w:val="0"/>
        </w:numPr>
        <w:bidi w:val="0"/>
        <w:spacing w:lineRule="auto" w:line="360"/>
        <w:ind w:hanging="0" w:start="0"/>
        <w:jc w:val="start"/>
        <w:rPr/>
      </w:pPr>
      <w:r>
        <w:rPr>
          <w:rFonts w:eastAsia="Times New Roman" w:ascii="Times New Roman" w:hAnsi="Times New Roman"/>
          <w:sz w:val="24"/>
          <w:szCs w:val="24"/>
        </w:rPr>
        <w:t xml:space="preserve">= (504,000 / 900,000) × 100 = </w:t>
      </w:r>
      <w:r>
        <w:rPr>
          <w:rStyle w:val="Strong"/>
          <w:rFonts w:eastAsia="Times New Roman" w:ascii="Times New Roman" w:hAnsi="Times New Roman"/>
          <w:sz w:val="24"/>
          <w:szCs w:val="24"/>
        </w:rPr>
        <w:t>56%</w:t>
      </w:r>
    </w:p>
    <w:p>
      <w:pPr>
        <w:pStyle w:val="BodyText"/>
        <w:numPr>
          <w:ilvl w:val="0"/>
          <w:numId w:val="0"/>
        </w:numPr>
        <w:tabs>
          <w:tab w:val="left" w:pos="709" w:leader="none"/>
        </w:tabs>
        <w:bidi w:val="0"/>
        <w:spacing w:lineRule="auto" w:line="360"/>
        <w:ind w:hanging="0" w:start="709"/>
        <w:jc w:val="start"/>
        <w:rPr>
          <w:rFonts w:ascii="Times New Roman" w:hAnsi="Times New Roman" w:cs="Times New Roman"/>
          <w:b/>
          <w:bCs/>
          <w:sz w:val="24"/>
          <w:szCs w:val="24"/>
        </w:rPr>
      </w:pPr>
      <w:r>
        <w:rPr>
          <w:rFonts w:cs="Times New Roman" w:ascii="Times New Roman" w:hAnsi="Times New Roman"/>
          <w:b/>
          <w:bCs/>
          <w:sz w:val="24"/>
          <w:szCs w:val="24"/>
        </w:rPr>
      </w:r>
    </w:p>
    <w:p>
      <w:pPr>
        <w:pStyle w:val="BodyText"/>
        <w:numPr>
          <w:ilvl w:val="0"/>
          <w:numId w:val="3"/>
        </w:numPr>
        <w:tabs>
          <w:tab w:val="left" w:pos="709" w:leader="none"/>
        </w:tabs>
        <w:bidi w:val="0"/>
        <w:spacing w:lineRule="auto" w:line="360"/>
        <w:ind w:hanging="0" w:start="709"/>
        <w:jc w:val="start"/>
        <w:rPr>
          <w:rFonts w:ascii="Times New Roman" w:hAnsi="Times New Roman"/>
        </w:rPr>
      </w:pPr>
      <w:r>
        <w:rPr>
          <w:rFonts w:eastAsia="Times New Roman" w:cs="Times New Roman" w:ascii="Times New Roman" w:hAnsi="Times New Roman"/>
          <w:b/>
          <w:bCs/>
          <w:sz w:val="24"/>
          <w:szCs w:val="24"/>
        </w:rPr>
        <w:t>Return on investment:</w:t>
      </w:r>
    </w:p>
    <w:p>
      <w:pPr>
        <w:pStyle w:val="BodyText"/>
        <w:numPr>
          <w:ilvl w:val="0"/>
          <w:numId w:val="0"/>
        </w:numPr>
        <w:bidi w:val="0"/>
        <w:spacing w:lineRule="auto" w:line="360"/>
        <w:ind w:hanging="0" w:start="0"/>
        <w:jc w:val="start"/>
        <w:rPr/>
      </w:pPr>
      <w:r>
        <w:rPr>
          <w:rStyle w:val="Strong"/>
          <w:rFonts w:eastAsia="Times New Roman" w:cs="Times New Roman" w:ascii="Times New Roman" w:hAnsi="Times New Roman"/>
          <w:b w:val="false"/>
          <w:bCs w:val="false"/>
          <w:sz w:val="24"/>
          <w:szCs w:val="24"/>
          <w:u w:val="none"/>
        </w:rPr>
        <w:t xml:space="preserve">Return on Investment </w:t>
      </w:r>
      <w:r>
        <w:rPr>
          <w:rStyle w:val="Strong"/>
          <w:rFonts w:eastAsia="Times New Roman" w:cs="Times New Roman" w:ascii="Times New Roman" w:hAnsi="Times New Roman"/>
          <w:sz w:val="24"/>
          <w:szCs w:val="24"/>
          <w:u w:val="none"/>
        </w:rPr>
        <w:t xml:space="preserve">(ROI) = </w:t>
      </w:r>
      <w:r>
        <w:rPr>
          <w:rFonts w:eastAsia="Times New Roman" w:cs="Times New Roman" w:ascii="Times New Roman" w:hAnsi="Times New Roman"/>
          <w:b w:val="false"/>
          <w:bCs w:val="false"/>
          <w:sz w:val="24"/>
          <w:szCs w:val="24"/>
          <w:u w:val="single"/>
        </w:rPr>
        <w:t>Net profit after tax + interest</w:t>
      </w:r>
      <w:r>
        <w:rPr>
          <w:rFonts w:eastAsia="Times New Roman" w:cs="Times New Roman" w:ascii="Times New Roman" w:hAnsi="Times New Roman"/>
          <w:b w:val="false"/>
          <w:bCs w:val="false"/>
          <w:sz w:val="24"/>
          <w:szCs w:val="24"/>
          <w:u w:val="none"/>
        </w:rPr>
        <w:t xml:space="preserve"> </w:t>
        <w:tab/>
        <w:t>x 100</w:t>
      </w:r>
    </w:p>
    <w:p>
      <w:pPr>
        <w:pStyle w:val="Normal"/>
        <w:widowControl w:val="false"/>
        <w:numPr>
          <w:ilvl w:val="0"/>
          <w:numId w:val="0"/>
        </w:numPr>
        <w:bidi w:val="0"/>
        <w:spacing w:lineRule="auto" w:line="360" w:before="0" w:after="0"/>
        <w:ind w:hanging="0" w:start="240"/>
        <w:jc w:val="start"/>
        <w:rPr/>
      </w:pPr>
      <w:r>
        <w:rPr>
          <w:rStyle w:val="Strong"/>
          <w:rFonts w:eastAsia="Times New Roman" w:cs="Times New Roman" w:ascii="Times New Roman" w:hAnsi="Times New Roman"/>
          <w:b w:val="false"/>
          <w:bCs w:val="false"/>
          <w:sz w:val="24"/>
          <w:szCs w:val="24"/>
        </w:rPr>
        <w:t>Total investment</w:t>
      </w:r>
    </w:p>
    <w:p>
      <w:pPr>
        <w:pStyle w:val="BodyText"/>
        <w:numPr>
          <w:ilvl w:val="0"/>
          <w:numId w:val="0"/>
        </w:numPr>
        <w:bidi w:val="0"/>
        <w:spacing w:lineRule="auto" w:line="360"/>
        <w:ind w:hanging="0" w:start="0"/>
        <w:jc w:val="start"/>
        <w:rPr>
          <w:rFonts w:ascii="Times New Roman" w:hAnsi="Times New Roman" w:eastAsia="Times New Roman"/>
          <w:b w:val="false"/>
          <w:bCs w:val="false"/>
          <w:sz w:val="24"/>
          <w:szCs w:val="24"/>
        </w:rPr>
      </w:pPr>
      <w:r>
        <w:rPr>
          <w:rFonts w:eastAsia="Times New Roman" w:ascii="Times New Roman" w:hAnsi="Times New Roman"/>
          <w:b w:val="false"/>
          <w:bCs w:val="false"/>
          <w:sz w:val="24"/>
          <w:szCs w:val="24"/>
        </w:rPr>
      </w:r>
    </w:p>
    <w:p>
      <w:pPr>
        <w:pStyle w:val="BodyText"/>
        <w:bidi w:val="0"/>
        <w:spacing w:lineRule="auto" w:line="360"/>
        <w:ind w:hanging="0" w:start="0" w:end="0"/>
        <w:jc w:val="start"/>
        <w:rPr/>
      </w:pPr>
      <w:r>
        <w:rPr>
          <w:rStyle w:val="Strong"/>
          <w:rFonts w:eastAsia="Times New Roman" w:ascii="Times New Roman" w:hAnsi="Times New Roman"/>
          <w:sz w:val="24"/>
          <w:szCs w:val="24"/>
        </w:rPr>
        <w:t>Assumptions:</w:t>
      </w:r>
    </w:p>
    <w:p>
      <w:pPr>
        <w:pStyle w:val="BodyText"/>
        <w:numPr>
          <w:ilvl w:val="0"/>
          <w:numId w:val="4"/>
        </w:numPr>
        <w:tabs>
          <w:tab w:val="left" w:pos="709" w:leader="none"/>
        </w:tabs>
        <w:bidi w:val="0"/>
        <w:spacing w:lineRule="auto" w:line="360"/>
        <w:ind w:hanging="283" w:start="709" w:end="0"/>
        <w:jc w:val="start"/>
        <w:rPr/>
      </w:pPr>
      <w:r>
        <w:rPr>
          <w:rStyle w:val="Strong"/>
          <w:rFonts w:eastAsia="Times New Roman" w:ascii="Times New Roman" w:hAnsi="Times New Roman"/>
        </w:rPr>
        <w:t>Interest</w:t>
      </w:r>
      <w:r>
        <w:rPr>
          <w:rFonts w:eastAsia="Times New Roman" w:ascii="Times New Roman" w:hAnsi="Times New Roman"/>
        </w:rPr>
        <w:t xml:space="preserve">: Annual interest on the </w:t>
      </w:r>
      <w:r>
        <w:rPr>
          <w:rStyle w:val="Strong"/>
          <w:rFonts w:eastAsia="Times New Roman" w:ascii="Times New Roman" w:hAnsi="Times New Roman"/>
        </w:rPr>
        <w:t>KES 350,000 loan</w:t>
      </w:r>
      <w:r>
        <w:rPr>
          <w:rFonts w:eastAsia="Times New Roman" w:ascii="Times New Roman" w:hAnsi="Times New Roman"/>
        </w:rPr>
        <w:t xml:space="preserve"> at </w:t>
      </w:r>
      <w:r>
        <w:rPr>
          <w:rStyle w:val="Strong"/>
          <w:rFonts w:eastAsia="Times New Roman" w:ascii="Times New Roman" w:hAnsi="Times New Roman"/>
        </w:rPr>
        <w:t>12%</w:t>
      </w:r>
      <w:r>
        <w:rPr>
          <w:rFonts w:eastAsia="Times New Roman" w:ascii="Times New Roman" w:hAnsi="Times New Roman"/>
        </w:rPr>
        <w:t xml:space="preserve"> = 350,000×0.12=KES 42,000/year.</w:t>
      </w:r>
    </w:p>
    <w:p>
      <w:pPr>
        <w:pStyle w:val="BodyText"/>
        <w:numPr>
          <w:ilvl w:val="0"/>
          <w:numId w:val="4"/>
        </w:numPr>
        <w:tabs>
          <w:tab w:val="left" w:pos="709" w:leader="none"/>
        </w:tabs>
        <w:bidi w:val="0"/>
        <w:spacing w:lineRule="auto" w:line="360"/>
        <w:ind w:hanging="283" w:start="709"/>
        <w:jc w:val="start"/>
        <w:rPr/>
      </w:pPr>
      <w:r>
        <w:rPr>
          <w:rStyle w:val="Strong"/>
          <w:rFonts w:eastAsia="Times New Roman" w:ascii="Times New Roman" w:hAnsi="Times New Roman"/>
        </w:rPr>
        <w:t>Total Investment</w:t>
      </w:r>
      <w:r>
        <w:rPr>
          <w:rFonts w:eastAsia="Times New Roman" w:ascii="Times New Roman" w:hAnsi="Times New Roman"/>
        </w:rPr>
        <w:t>: KES 570,000 (from 5.8 Proposed Capitalization).</w:t>
      </w:r>
    </w:p>
    <w:p>
      <w:pPr>
        <w:pStyle w:val="Heading3"/>
        <w:bidi w:val="0"/>
        <w:spacing w:lineRule="auto" w:line="360"/>
        <w:ind w:hanging="0" w:start="0" w:end="0"/>
        <w:jc w:val="start"/>
        <w:rPr/>
      </w:pPr>
      <w:r>
        <w:rPr>
          <w:rStyle w:val="Strong"/>
          <w:rFonts w:eastAsia="Times New Roman" w:ascii="Times New Roman" w:hAnsi="Times New Roman"/>
          <w:b/>
          <w:bCs/>
          <w:sz w:val="24"/>
          <w:szCs w:val="24"/>
        </w:rPr>
        <w:t>Year-by-Year ROI</w:t>
      </w:r>
    </w:p>
    <w:tbl>
      <w:tblPr>
        <w:tblW w:w="9049" w:type="dxa"/>
        <w:jc w:val="start"/>
        <w:tblInd w:w="0" w:type="dxa"/>
        <w:tblLayout w:type="fixed"/>
        <w:tblCellMar>
          <w:top w:w="0" w:type="dxa"/>
          <w:start w:w="7" w:type="dxa"/>
          <w:bottom w:w="0" w:type="dxa"/>
          <w:end w:w="0" w:type="dxa"/>
        </w:tblCellMar>
      </w:tblPr>
      <w:tblGrid>
        <w:gridCol w:w="599"/>
        <w:gridCol w:w="2865"/>
        <w:gridCol w:w="1603"/>
        <w:gridCol w:w="3089"/>
        <w:gridCol w:w="893"/>
      </w:tblGrid>
      <w:tr>
        <w:trPr/>
        <w:tc>
          <w:tcPr>
            <w:tcW w:w="599" w:type="dxa"/>
            <w:tcBorders>
              <w:top w:val="single" w:sz="6" w:space="0" w:color="CE181E"/>
              <w:start w:val="single" w:sz="6" w:space="0" w:color="CE181E"/>
            </w:tcBorders>
            <w:shd w:fill="CE181E" w:val="clear"/>
            <w:vAlign w:val="center"/>
          </w:tcPr>
          <w:p>
            <w:pPr>
              <w:pStyle w:val="TableHeading"/>
              <w:bidi w:val="0"/>
              <w:spacing w:lineRule="auto" w:line="360"/>
              <w:jc w:val="start"/>
              <w:rPr/>
            </w:pPr>
            <w:r>
              <w:rPr>
                <w:rStyle w:val="Strong"/>
                <w:rFonts w:eastAsia="Times New Roman" w:ascii="Times New Roman" w:hAnsi="Times New Roman"/>
                <w:b w:val="false"/>
                <w:bCs w:val="false"/>
                <w:i w:val="false"/>
                <w:iCs w:val="false"/>
                <w:strike w:val="false"/>
                <w:dstrike w:val="false"/>
                <w:outline w:val="false"/>
                <w:shadow w:val="false"/>
                <w:color w:val="FFFFFF"/>
                <w:sz w:val="24"/>
                <w:szCs w:val="24"/>
                <w:u w:val="none"/>
              </w:rPr>
              <w:t>Year</w:t>
            </w:r>
          </w:p>
        </w:tc>
        <w:tc>
          <w:tcPr>
            <w:tcW w:w="2865" w:type="dxa"/>
            <w:tcBorders>
              <w:top w:val="single" w:sz="6" w:space="0" w:color="CE181E"/>
            </w:tcBorders>
            <w:shd w:fill="CE181E" w:val="clear"/>
            <w:vAlign w:val="center"/>
          </w:tcPr>
          <w:p>
            <w:pPr>
              <w:pStyle w:val="TableHeading"/>
              <w:bidi w:val="0"/>
              <w:spacing w:lineRule="auto" w:line="360"/>
              <w:jc w:val="start"/>
              <w:rPr/>
            </w:pPr>
            <w:r>
              <w:rPr>
                <w:rStyle w:val="Strong"/>
                <w:rFonts w:eastAsia="Times New Roman" w:ascii="Times New Roman" w:hAnsi="Times New Roman"/>
                <w:b w:val="false"/>
                <w:bCs w:val="false"/>
                <w:i w:val="false"/>
                <w:iCs w:val="false"/>
                <w:strike w:val="false"/>
                <w:dstrike w:val="false"/>
                <w:outline w:val="false"/>
                <w:shadow w:val="false"/>
                <w:color w:val="FFFFFF"/>
                <w:sz w:val="24"/>
                <w:szCs w:val="24"/>
                <w:u w:val="none"/>
              </w:rPr>
              <w:t>Net Profit After Tax (KES)</w:t>
            </w:r>
          </w:p>
        </w:tc>
        <w:tc>
          <w:tcPr>
            <w:tcW w:w="1603" w:type="dxa"/>
            <w:tcBorders>
              <w:top w:val="single" w:sz="6" w:space="0" w:color="CE181E"/>
            </w:tcBorders>
            <w:shd w:fill="CE181E" w:val="clear"/>
            <w:vAlign w:val="center"/>
          </w:tcPr>
          <w:p>
            <w:pPr>
              <w:pStyle w:val="TableHeading"/>
              <w:bidi w:val="0"/>
              <w:spacing w:lineRule="auto" w:line="360"/>
              <w:jc w:val="start"/>
              <w:rPr/>
            </w:pPr>
            <w:r>
              <w:rPr>
                <w:rStyle w:val="Strong"/>
                <w:rFonts w:eastAsia="Times New Roman" w:ascii="Times New Roman" w:hAnsi="Times New Roman"/>
                <w:b w:val="false"/>
                <w:bCs w:val="false"/>
                <w:i w:val="false"/>
                <w:iCs w:val="false"/>
                <w:strike w:val="false"/>
                <w:dstrike w:val="false"/>
                <w:outline w:val="false"/>
                <w:shadow w:val="false"/>
                <w:color w:val="FFFFFF"/>
                <w:sz w:val="24"/>
                <w:szCs w:val="24"/>
                <w:u w:val="none"/>
              </w:rPr>
              <w:t>Interest (KES)</w:t>
            </w:r>
          </w:p>
        </w:tc>
        <w:tc>
          <w:tcPr>
            <w:tcW w:w="3089" w:type="dxa"/>
            <w:tcBorders>
              <w:top w:val="single" w:sz="6" w:space="0" w:color="CE181E"/>
            </w:tcBorders>
            <w:shd w:fill="CE181E" w:val="clear"/>
            <w:vAlign w:val="center"/>
          </w:tcPr>
          <w:p>
            <w:pPr>
              <w:pStyle w:val="TableHeading"/>
              <w:bidi w:val="0"/>
              <w:spacing w:lineRule="auto" w:line="360"/>
              <w:jc w:val="start"/>
              <w:rPr/>
            </w:pPr>
            <w:r>
              <w:rPr>
                <w:rStyle w:val="Strong"/>
                <w:rFonts w:eastAsia="Times New Roman" w:ascii="Times New Roman" w:hAnsi="Times New Roman"/>
                <w:b w:val="false"/>
                <w:bCs w:val="false"/>
                <w:i w:val="false"/>
                <w:iCs w:val="false"/>
                <w:strike w:val="false"/>
                <w:dstrike w:val="false"/>
                <w:outline w:val="false"/>
                <w:shadow w:val="false"/>
                <w:color w:val="FFFFFF"/>
                <w:sz w:val="24"/>
                <w:szCs w:val="24"/>
                <w:u w:val="none"/>
              </w:rPr>
              <w:t>ROI Calculation</w:t>
            </w:r>
          </w:p>
        </w:tc>
        <w:tc>
          <w:tcPr>
            <w:tcW w:w="893" w:type="dxa"/>
            <w:tcBorders>
              <w:top w:val="single" w:sz="6" w:space="0" w:color="CE181E"/>
              <w:end w:val="single" w:sz="6" w:space="0" w:color="CE181E"/>
            </w:tcBorders>
            <w:shd w:fill="CE181E" w:val="clear"/>
            <w:vAlign w:val="center"/>
          </w:tcPr>
          <w:p>
            <w:pPr>
              <w:pStyle w:val="TableHeading"/>
              <w:bidi w:val="0"/>
              <w:spacing w:lineRule="auto" w:line="360"/>
              <w:jc w:val="start"/>
              <w:rPr/>
            </w:pPr>
            <w:r>
              <w:rPr>
                <w:rStyle w:val="Strong"/>
                <w:rFonts w:eastAsia="Times New Roman" w:ascii="Times New Roman" w:hAnsi="Times New Roman"/>
                <w:b w:val="false"/>
                <w:bCs w:val="false"/>
                <w:i w:val="false"/>
                <w:iCs w:val="false"/>
                <w:strike w:val="false"/>
                <w:dstrike w:val="false"/>
                <w:outline w:val="false"/>
                <w:shadow w:val="false"/>
                <w:color w:val="FFFFFF"/>
                <w:sz w:val="24"/>
                <w:szCs w:val="24"/>
                <w:u w:val="none"/>
              </w:rPr>
              <w:t>ROI</w:t>
            </w:r>
          </w:p>
        </w:tc>
      </w:tr>
      <w:tr>
        <w:trPr/>
        <w:tc>
          <w:tcPr>
            <w:tcW w:w="599" w:type="dxa"/>
            <w:tcBorders>
              <w:start w:val="single" w:sz="6" w:space="0" w:color="CE181E"/>
            </w:tcBorders>
            <w:vAlign w:val="center"/>
          </w:tcPr>
          <w:p>
            <w:pPr>
              <w:pStyle w:val="TableContent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1</w:t>
            </w:r>
          </w:p>
        </w:tc>
        <w:tc>
          <w:tcPr>
            <w:tcW w:w="2865" w:type="dxa"/>
            <w:tcBorders/>
            <w:vAlign w:val="center"/>
          </w:tcPr>
          <w:p>
            <w:pPr>
              <w:pStyle w:val="TableContent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-120000</w:t>
            </w:r>
          </w:p>
        </w:tc>
        <w:tc>
          <w:tcPr>
            <w:tcW w:w="1603" w:type="dxa"/>
            <w:tcBorders/>
            <w:vAlign w:val="center"/>
          </w:tcPr>
          <w:p>
            <w:pPr>
              <w:pStyle w:val="TableContent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42000</w:t>
            </w:r>
          </w:p>
        </w:tc>
        <w:tc>
          <w:tcPr>
            <w:tcW w:w="3089" w:type="dxa"/>
            <w:tcBorders/>
            <w:vAlign w:val="center"/>
          </w:tcPr>
          <w:p>
            <w:pPr>
              <w:pStyle w:val="TableContents"/>
              <w:bidi w:val="0"/>
              <w:spacing w:lineRule="auto" w:line="360"/>
              <w:ind w:hanging="0" w:start="0" w:end="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570,000−120,000+42,000​×100</w:t>
            </w:r>
          </w:p>
        </w:tc>
        <w:tc>
          <w:tcPr>
            <w:tcW w:w="893" w:type="dxa"/>
            <w:tcBorders>
              <w:end w:val="single" w:sz="6" w:space="0" w:color="CE181E"/>
            </w:tcBorders>
            <w:vAlign w:val="center"/>
          </w:tcPr>
          <w:p>
            <w:pPr>
              <w:pStyle w:val="TableContents"/>
              <w:bidi w:val="0"/>
              <w:spacing w:lineRule="auto" w:line="360"/>
              <w:jc w:val="start"/>
              <w:rPr/>
            </w:pPr>
            <w:r>
              <w:rPr>
                <w:rStyle w:val="Strong"/>
                <w:rFonts w:eastAsia="Times New Roman" w:ascii="Times New Roman" w:hAnsi="Times New Roman"/>
                <w:i w:val="false"/>
                <w:iCs w:val="false"/>
                <w:strike w:val="false"/>
                <w:dstrike w:val="false"/>
                <w:outline w:val="false"/>
                <w:shadow w:val="false"/>
                <w:color w:val="000000"/>
                <w:sz w:val="24"/>
                <w:szCs w:val="24"/>
                <w:u w:val="none"/>
              </w:rPr>
              <w:t>-0.14</w:t>
            </w:r>
          </w:p>
        </w:tc>
      </w:tr>
      <w:tr>
        <w:trPr/>
        <w:tc>
          <w:tcPr>
            <w:tcW w:w="599" w:type="dxa"/>
            <w:tcBorders>
              <w:start w:val="single" w:sz="6" w:space="0" w:color="CE181E"/>
            </w:tcBorders>
            <w:shd w:fill="DDDDDD" w:val="clear"/>
            <w:vAlign w:val="center"/>
          </w:tcPr>
          <w:p>
            <w:pPr>
              <w:pStyle w:val="TableContent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2</w:t>
            </w:r>
          </w:p>
        </w:tc>
        <w:tc>
          <w:tcPr>
            <w:tcW w:w="2865" w:type="dxa"/>
            <w:tcBorders/>
            <w:shd w:fill="DDDDDD" w:val="clear"/>
            <w:vAlign w:val="center"/>
          </w:tcPr>
          <w:p>
            <w:pPr>
              <w:pStyle w:val="TableContent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126000</w:t>
            </w:r>
          </w:p>
        </w:tc>
        <w:tc>
          <w:tcPr>
            <w:tcW w:w="1603" w:type="dxa"/>
            <w:tcBorders/>
            <w:shd w:fill="DDDDDD" w:val="clear"/>
            <w:vAlign w:val="center"/>
          </w:tcPr>
          <w:p>
            <w:pPr>
              <w:pStyle w:val="TableContents"/>
              <w:bidi w:val="0"/>
              <w:spacing w:lineRule="auto" w:line="36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42000</w:t>
            </w:r>
          </w:p>
        </w:tc>
        <w:tc>
          <w:tcPr>
            <w:tcW w:w="3089" w:type="dxa"/>
            <w:tcBorders/>
            <w:shd w:fill="DDDDDD" w:val="clear"/>
            <w:vAlign w:val="center"/>
          </w:tcPr>
          <w:p>
            <w:pPr>
              <w:pStyle w:val="TableContents"/>
              <w:bidi w:val="0"/>
              <w:spacing w:lineRule="auto" w:line="360"/>
              <w:ind w:hanging="0" w:start="0" w:end="0"/>
              <w:jc w:val="start"/>
              <w:rPr>
                <w:rFonts w:ascii="Times New Roman" w:hAnsi="Times New Roman"/>
              </w:rPr>
            </w:pPr>
            <w:r>
              <w:rPr>
                <w:rFonts w:eastAsia="Times New Roman" w:ascii="Times New Roman" w:hAnsi="Times New Roman"/>
                <w:b w:val="false"/>
                <w:bCs w:val="false"/>
                <w:i w:val="false"/>
                <w:iCs w:val="false"/>
                <w:strike w:val="false"/>
                <w:dstrike w:val="false"/>
                <w:outline w:val="false"/>
                <w:shadow w:val="false"/>
                <w:color w:val="000000"/>
                <w:sz w:val="24"/>
                <w:szCs w:val="24"/>
                <w:u w:val="none"/>
              </w:rPr>
              <w:t>570,000126,000+42,000​×100</w:t>
            </w:r>
          </w:p>
        </w:tc>
        <w:tc>
          <w:tcPr>
            <w:tcW w:w="893" w:type="dxa"/>
            <w:tcBorders>
              <w:end w:val="single" w:sz="6" w:space="0" w:color="CE181E"/>
            </w:tcBorders>
            <w:shd w:fill="DDDDDD" w:val="clear"/>
            <w:vAlign w:val="center"/>
          </w:tcPr>
          <w:p>
            <w:pPr>
              <w:pStyle w:val="TableContents"/>
              <w:bidi w:val="0"/>
              <w:spacing w:lineRule="auto" w:line="360"/>
              <w:jc w:val="start"/>
              <w:rPr/>
            </w:pPr>
            <w:r>
              <w:rPr>
                <w:rStyle w:val="Strong"/>
                <w:rFonts w:eastAsia="Times New Roman" w:ascii="Times New Roman" w:hAnsi="Times New Roman"/>
                <w:i w:val="false"/>
                <w:iCs w:val="false"/>
                <w:strike w:val="false"/>
                <w:dstrike w:val="false"/>
                <w:outline w:val="false"/>
                <w:shadow w:val="false"/>
                <w:color w:val="000000"/>
                <w:sz w:val="24"/>
                <w:szCs w:val="24"/>
                <w:u w:val="none"/>
              </w:rPr>
              <w:t>0.3</w:t>
            </w:r>
          </w:p>
        </w:tc>
      </w:tr>
      <w:tr>
        <w:trPr/>
        <w:tc>
          <w:tcPr>
            <w:tcW w:w="599" w:type="dxa"/>
            <w:tcBorders>
              <w:start w:val="single" w:sz="6" w:space="0" w:color="CE181E"/>
              <w:bottom w:val="single" w:sz="6" w:space="0" w:color="CE181E"/>
            </w:tcBorders>
            <w:shd w:fill="FCD3C1" w:val="clear"/>
            <w:vAlign w:val="center"/>
          </w:tcPr>
          <w:p>
            <w:pPr>
              <w:pStyle w:val="TableContent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3</w:t>
            </w:r>
          </w:p>
        </w:tc>
        <w:tc>
          <w:tcPr>
            <w:tcW w:w="2865" w:type="dxa"/>
            <w:tcBorders>
              <w:bottom w:val="single" w:sz="6" w:space="0" w:color="CE181E"/>
            </w:tcBorders>
            <w:shd w:fill="FCD3C1" w:val="clear"/>
            <w:vAlign w:val="center"/>
          </w:tcPr>
          <w:p>
            <w:pPr>
              <w:pStyle w:val="TableContent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504000</w:t>
            </w:r>
          </w:p>
        </w:tc>
        <w:tc>
          <w:tcPr>
            <w:tcW w:w="1603" w:type="dxa"/>
            <w:tcBorders>
              <w:bottom w:val="single" w:sz="6" w:space="0" w:color="CE181E"/>
            </w:tcBorders>
            <w:shd w:fill="FCD3C1" w:val="clear"/>
            <w:vAlign w:val="center"/>
          </w:tcPr>
          <w:p>
            <w:pPr>
              <w:pStyle w:val="TableContents"/>
              <w:bidi w:val="0"/>
              <w:spacing w:lineRule="auto" w:line="36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42000</w:t>
            </w:r>
          </w:p>
        </w:tc>
        <w:tc>
          <w:tcPr>
            <w:tcW w:w="3089" w:type="dxa"/>
            <w:tcBorders>
              <w:bottom w:val="single" w:sz="6" w:space="0" w:color="CE181E"/>
            </w:tcBorders>
            <w:shd w:fill="FCD3C1" w:val="clear"/>
            <w:vAlign w:val="center"/>
          </w:tcPr>
          <w:p>
            <w:pPr>
              <w:pStyle w:val="TableContents"/>
              <w:bidi w:val="0"/>
              <w:spacing w:lineRule="auto" w:line="360"/>
              <w:ind w:hanging="0" w:start="0" w:end="0"/>
              <w:jc w:val="start"/>
              <w:rPr>
                <w:rFonts w:ascii="Times New Roman" w:hAnsi="Times New Roman"/>
              </w:rPr>
            </w:pPr>
            <w:r>
              <w:rPr>
                <w:rFonts w:eastAsia="Times New Roman" w:ascii="Times New Roman" w:hAnsi="Times New Roman"/>
                <w:b/>
                <w:bCs/>
                <w:i w:val="false"/>
                <w:iCs w:val="false"/>
                <w:strike w:val="false"/>
                <w:dstrike w:val="false"/>
                <w:outline w:val="false"/>
                <w:shadow w:val="false"/>
                <w:color w:val="000000"/>
                <w:sz w:val="24"/>
                <w:szCs w:val="24"/>
                <w:u w:val="none"/>
              </w:rPr>
              <w:t>570,000504,000+42,000​×100</w:t>
            </w:r>
          </w:p>
        </w:tc>
        <w:tc>
          <w:tcPr>
            <w:tcW w:w="893" w:type="dxa"/>
            <w:tcBorders>
              <w:bottom w:val="single" w:sz="6" w:space="0" w:color="CE181E"/>
              <w:end w:val="single" w:sz="6" w:space="0" w:color="CE181E"/>
            </w:tcBorders>
            <w:shd w:fill="FCD3C1" w:val="clear"/>
            <w:vAlign w:val="center"/>
          </w:tcPr>
          <w:p>
            <w:pPr>
              <w:pStyle w:val="TableContents"/>
              <w:bidi w:val="0"/>
              <w:spacing w:lineRule="auto" w:line="360"/>
              <w:jc w:val="start"/>
              <w:rPr/>
            </w:pPr>
            <w:r>
              <w:rPr>
                <w:rStyle w:val="Strong"/>
                <w:rFonts w:eastAsia="Times New Roman" w:ascii="Times New Roman" w:hAnsi="Times New Roman"/>
                <w:i w:val="false"/>
                <w:iCs w:val="false"/>
                <w:strike w:val="false"/>
                <w:dstrike w:val="false"/>
                <w:outline w:val="false"/>
                <w:shadow w:val="false"/>
                <w:color w:val="000000"/>
                <w:sz w:val="24"/>
                <w:szCs w:val="24"/>
                <w:u w:val="none"/>
              </w:rPr>
              <w:t>0.96</w:t>
            </w:r>
          </w:p>
        </w:tc>
      </w:tr>
    </w:tbl>
    <w:p>
      <w:pPr>
        <w:pStyle w:val="BodyText"/>
        <w:bidi w:val="0"/>
        <w:spacing w:lineRule="auto" w:line="360" w:before="0" w:after="140"/>
        <w:ind w:hanging="0" w:start="0" w:end="0"/>
        <w:jc w:val="start"/>
        <w:rPr>
          <w:rFonts w:ascii="Times New Roman" w:hAnsi="Times New Roman" w:eastAsia="Times New Roman"/>
          <w:b w:val="false"/>
          <w:bCs w:val="false"/>
          <w:sz w:val="24"/>
          <w:szCs w:val="24"/>
        </w:rPr>
      </w:pPr>
      <w:r>
        <w:rPr>
          <w:rFonts w:eastAsia="Times New Roman" w:ascii="Times New Roman" w:hAnsi="Times New Roman"/>
          <w:b w:val="false"/>
          <w:bCs w:val="false"/>
          <w:sz w:val="24"/>
          <w:szCs w:val="24"/>
        </w:rPr>
      </w:r>
      <w:r>
        <w:br w:type="page"/>
      </w:r>
    </w:p>
    <w:p>
      <w:pPr>
        <w:pStyle w:val="Normal"/>
        <w:spacing w:lineRule="auto" w:line="360" w:before="0" w:after="0"/>
        <w:jc w:val="center"/>
        <w:rPr>
          <w:rFonts w:ascii="Times New Roman" w:hAnsi="Times New Roman"/>
        </w:rPr>
      </w:pPr>
      <w:r>
        <w:rPr>
          <w:rFonts w:eastAsia="Times New Roman" w:ascii="Times New Roman" w:hAnsi="Times New Roman"/>
          <w:b/>
          <w:bCs/>
          <w:u w:val="single"/>
        </w:rPr>
        <w:t xml:space="preserve"> </w:t>
      </w:r>
      <w:r>
        <w:rPr>
          <w:rFonts w:eastAsia="Times New Roman" w:ascii="Times New Roman" w:hAnsi="Times New Roman"/>
          <w:b/>
          <w:bCs/>
          <w:u w:val="single"/>
        </w:rPr>
        <w:t>Executive Summary</w:t>
      </w:r>
    </w:p>
    <w:p>
      <w:pPr>
        <w:pStyle w:val="Normal"/>
        <w:spacing w:lineRule="auto" w:line="360"/>
        <w:jc w:val="center"/>
        <w:rPr>
          <w:rFonts w:ascii="Times New Roman" w:hAnsi="Times New Roman" w:eastAsia="Times New Roman"/>
          <w:b/>
          <w:bCs/>
          <w:u w:val="single"/>
        </w:rPr>
      </w:pPr>
      <w:r>
        <w:rPr>
          <w:rFonts w:eastAsia="Times New Roman" w:ascii="Times New Roman" w:hAnsi="Times New Roman"/>
          <w:b/>
          <w:bCs/>
          <w:u w:val="single"/>
        </w:rPr>
      </w:r>
    </w:p>
    <w:p>
      <w:pPr>
        <w:pStyle w:val="Normal"/>
        <w:spacing w:lineRule="auto" w:line="360"/>
        <w:jc w:val="start"/>
        <w:rPr>
          <w:rFonts w:ascii="Times New Roman" w:hAnsi="Times New Roman"/>
        </w:rPr>
      </w:pPr>
      <w:r>
        <w:rPr>
          <w:rFonts w:eastAsia="Times New Roman" w:ascii="Times New Roman" w:hAnsi="Times New Roman"/>
          <w:b/>
          <w:bCs/>
          <w:u w:val="single"/>
        </w:rPr>
        <w:t>CHAPTER 1: BUSINESS DESCRIPTION</w:t>
      </w:r>
    </w:p>
    <w:p>
      <w:pPr>
        <w:pStyle w:val="Normal"/>
        <w:spacing w:lineRule="auto" w:line="360"/>
        <w:jc w:val="start"/>
        <w:rPr>
          <w:rFonts w:ascii="Times New Roman" w:hAnsi="Times New Roman" w:eastAsia="Times New Roman"/>
          <w:b w:val="false"/>
          <w:bCs w:val="false"/>
          <w:u w:val="none"/>
        </w:rPr>
      </w:pPr>
      <w:r>
        <w:rPr>
          <w:rFonts w:eastAsia="Times New Roman" w:ascii="Times New Roman" w:hAnsi="Times New Roman"/>
          <w:b w:val="false"/>
          <w:bCs w:val="false"/>
          <w:u w:val="none"/>
        </w:rPr>
      </w:r>
    </w:p>
    <w:p>
      <w:pPr>
        <w:pStyle w:val="Normal"/>
        <w:spacing w:lineRule="auto" w:line="360"/>
        <w:jc w:val="start"/>
        <w:rPr>
          <w:rFonts w:ascii="Times New Roman" w:hAnsi="Times New Roman"/>
        </w:rPr>
      </w:pPr>
      <w:r>
        <w:rPr>
          <w:rFonts w:eastAsia="Times New Roman" w:ascii="Times New Roman" w:hAnsi="Times New Roman"/>
          <w:b w:val="false"/>
          <w:bCs w:val="false"/>
          <w:u w:val="none"/>
        </w:rPr>
        <w:t xml:space="preserve"> </w:t>
      </w:r>
    </w:p>
    <w:p>
      <w:pPr>
        <w:pStyle w:val="Normal"/>
        <w:spacing w:lineRule="auto" w:line="360"/>
        <w:jc w:val="start"/>
        <w:rPr>
          <w:rFonts w:ascii="Times New Roman" w:hAnsi="Times New Roman"/>
        </w:rPr>
      </w:pPr>
      <w:r>
        <w:rPr>
          <w:rFonts w:eastAsia="Times New Roman" w:ascii="Times New Roman" w:hAnsi="Times New Roman"/>
          <w:b w:val="false"/>
          <w:bCs w:val="false"/>
          <w:u w:val="none"/>
        </w:rPr>
        <w:t>KangaPages is a web development and maintenance business that offers custom website development and management services to small and medium-sized enterprises (SMEs) and individuals in Kenya. Our mission is to create dynamic, personalized web pages that serve as a digital identity for businesses and individuals.</w:t>
      </w:r>
    </w:p>
    <w:p>
      <w:pPr>
        <w:pStyle w:val="Normal"/>
        <w:spacing w:lineRule="auto" w:line="360"/>
        <w:jc w:val="start"/>
        <w:rPr>
          <w:rFonts w:ascii="Times New Roman" w:hAnsi="Times New Roman"/>
        </w:rPr>
      </w:pPr>
      <w:r>
        <w:rPr>
          <w:rFonts w:eastAsia="Times New Roman" w:ascii="Times New Roman" w:hAnsi="Times New Roman"/>
          <w:b w:val="false"/>
          <w:bCs w:val="false"/>
          <w:u w:val="none"/>
        </w:rPr>
        <w:t>Founded by an Information Science student with a focus on Informatics and additional certifications in graphic design and responsive website development. The company operates as a private limited company, with Lewis Kariuki as the sole proprietor. KangaPages is an online remote business, operating on online platforms such as Fiverr, Upwork, and Facebook Marketplace. The company's name is derived from the colorful cotton cloth used to make garments in Africa, representing unique websites created for clients.</w:t>
      </w:r>
    </w:p>
    <w:p>
      <w:pPr>
        <w:pStyle w:val="Normal"/>
        <w:spacing w:lineRule="auto" w:line="360"/>
        <w:jc w:val="start"/>
        <w:rPr>
          <w:rFonts w:ascii="Times New Roman" w:hAnsi="Times New Roman" w:eastAsia="Times New Roman"/>
          <w:b w:val="false"/>
          <w:bCs w:val="false"/>
          <w:u w:val="none"/>
        </w:rPr>
      </w:pPr>
      <w:r>
        <w:rPr>
          <w:rFonts w:eastAsia="Times New Roman" w:ascii="Times New Roman" w:hAnsi="Times New Roman"/>
          <w:b w:val="false"/>
          <w:bCs w:val="false"/>
          <w:u w:val="none"/>
        </w:rPr>
      </w:r>
    </w:p>
    <w:p>
      <w:pPr>
        <w:pStyle w:val="Normal"/>
        <w:bidi w:val="0"/>
        <w:spacing w:lineRule="auto" w:line="360"/>
        <w:jc w:val="start"/>
        <w:rPr>
          <w:rFonts w:ascii="Times New Roman" w:hAnsi="Times New Roman"/>
        </w:rPr>
      </w:pPr>
      <w:r>
        <w:rPr>
          <w:rFonts w:eastAsia="Times New Roman" w:ascii="Times New Roman" w:hAnsi="Times New Roman"/>
          <w:b/>
          <w:bCs/>
          <w:sz w:val="24"/>
          <w:szCs w:val="24"/>
          <w:u w:val="single"/>
          <w:lang w:val="en-GB"/>
        </w:rPr>
        <w:t>CHAPTER TWO: MARKETING PLAN</w:t>
      </w:r>
    </w:p>
    <w:p>
      <w:pPr>
        <w:pStyle w:val="Normal"/>
        <w:spacing w:lineRule="auto" w:line="360"/>
        <w:jc w:val="start"/>
        <w:rPr>
          <w:rFonts w:ascii="Times New Roman" w:hAnsi="Times New Roman"/>
        </w:rPr>
      </w:pPr>
      <w:r>
        <w:rPr>
          <w:rFonts w:eastAsia="Times New Roman" w:ascii="Times New Roman" w:hAnsi="Times New Roman"/>
          <w:b w:val="false"/>
          <w:bCs w:val="false"/>
          <w:u w:val="none"/>
        </w:rPr>
        <w:t>KangaPages targets SMEs, entrepreneurs, and professionals in Kenya who require a professional online presence. The business aims to capture 2% of the market in year 1, increasing to 5% in year 2 and 10% in year 3. KangaPages competes with Code District, Techling LLC, and JUMBOSTAR SOLUTIONS LIMITED. The company's pricing strategy includes cost-based pricing, value-based pricing, and market-based pricing, with a basic package starting at KES 12,000/year, standard package costs KES 25,000/year, premium package costs KES 40,000/year.</w:t>
      </w:r>
    </w:p>
    <w:p>
      <w:pPr>
        <w:pStyle w:val="Normal"/>
        <w:spacing w:lineRule="auto" w:line="360"/>
        <w:jc w:val="start"/>
        <w:rPr>
          <w:rFonts w:ascii="Times New Roman" w:hAnsi="Times New Roman" w:eastAsia="Times New Roman"/>
          <w:b w:val="false"/>
          <w:bCs w:val="false"/>
          <w:u w:val="none"/>
        </w:rPr>
      </w:pPr>
      <w:r>
        <w:rPr>
          <w:rFonts w:eastAsia="Times New Roman" w:ascii="Times New Roman" w:hAnsi="Times New Roman"/>
          <w:b w:val="false"/>
          <w:bCs w:val="false"/>
          <w:u w:val="none"/>
        </w:rPr>
      </w:r>
    </w:p>
    <w:p>
      <w:pPr>
        <w:pStyle w:val="Normal"/>
        <w:spacing w:lineRule="auto" w:line="360"/>
        <w:jc w:val="start"/>
        <w:rPr>
          <w:rFonts w:ascii="Times New Roman" w:hAnsi="Times New Roman"/>
        </w:rPr>
      </w:pPr>
      <w:r>
        <w:rPr>
          <w:rFonts w:eastAsia="Times New Roman" w:ascii="Times New Roman" w:hAnsi="Times New Roman"/>
          <w:b/>
          <w:bCs/>
          <w:u w:val="single"/>
        </w:rPr>
        <w:t>CHAPTER THREE: ORGANIZATION AND MANAGEMENT PLAN</w:t>
      </w:r>
    </w:p>
    <w:p>
      <w:pPr>
        <w:pStyle w:val="Normal"/>
        <w:spacing w:lineRule="auto" w:line="360"/>
        <w:jc w:val="start"/>
        <w:rPr>
          <w:rFonts w:ascii="Times New Roman" w:hAnsi="Times New Roman"/>
        </w:rPr>
      </w:pPr>
      <w:r>
        <w:rPr>
          <w:rFonts w:eastAsia="Times New Roman" w:ascii="Times New Roman" w:hAnsi="Times New Roman"/>
          <w:b w:val="false"/>
          <w:bCs w:val="false"/>
          <w:u w:val="none"/>
        </w:rPr>
        <w:t>KangaPages is managed by a professional trained in business management, responsible for day-to-day operations and ensuring the company runs efficiently. The company has a key personnel team consisting of a Head of Web Development, Head of Design, Head of Marketing, and Project Manager. Employees and gig workers are sourced from word of mouth, referrals, and online platforms, with ongoing professional development opportunities.</w:t>
      </w:r>
    </w:p>
    <w:p>
      <w:pPr>
        <w:pStyle w:val="Normal"/>
        <w:spacing w:lineRule="auto" w:line="360"/>
        <w:jc w:val="start"/>
        <w:rPr>
          <w:rFonts w:ascii="Times New Roman" w:hAnsi="Times New Roman"/>
        </w:rPr>
      </w:pPr>
      <w:r>
        <w:rPr>
          <w:rFonts w:eastAsia="Times New Roman" w:ascii="Times New Roman" w:hAnsi="Times New Roman"/>
          <w:b w:val="false"/>
          <w:bCs w:val="false"/>
          <w:u w:val="none"/>
        </w:rPr>
        <w:t>To motivate employees and maximize productivity, KangaPages will implement both financial incentives like equity share options of the business and bonuses  and non-financial incentives which would include remote work options and flexible working hours. KangaPages will ensure compliance to the legal requirements on Kenya by acquiring the required licenses, permits and by-laws required for running an online business.</w:t>
      </w:r>
    </w:p>
    <w:p>
      <w:pPr>
        <w:pStyle w:val="Normal"/>
        <w:spacing w:lineRule="auto" w:line="360"/>
        <w:jc w:val="start"/>
        <w:rPr>
          <w:rFonts w:ascii="Times New Roman" w:hAnsi="Times New Roman" w:eastAsia="Times New Roman"/>
          <w:b w:val="false"/>
          <w:bCs w:val="false"/>
          <w:u w:val="none"/>
        </w:rPr>
      </w:pPr>
      <w:r>
        <w:rPr>
          <w:rFonts w:eastAsia="Times New Roman" w:ascii="Times New Roman" w:hAnsi="Times New Roman"/>
          <w:b w:val="false"/>
          <w:bCs w:val="false"/>
          <w:u w:val="none"/>
        </w:rPr>
      </w:r>
    </w:p>
    <w:p>
      <w:pPr>
        <w:pStyle w:val="Normal"/>
        <w:spacing w:lineRule="auto" w:line="360"/>
        <w:jc w:val="start"/>
        <w:rPr>
          <w:rFonts w:ascii="Times New Roman" w:hAnsi="Times New Roman"/>
        </w:rPr>
      </w:pPr>
      <w:r>
        <w:rPr>
          <w:rFonts w:eastAsia="Times New Roman" w:ascii="Times New Roman" w:hAnsi="Times New Roman"/>
          <w:b/>
          <w:bCs/>
          <w:u w:val="single"/>
        </w:rPr>
        <w:t>CHAPTER FOUR: PRODUCTION/OPERATIONAL PLAN</w:t>
      </w:r>
    </w:p>
    <w:p>
      <w:pPr>
        <w:pStyle w:val="Normal"/>
        <w:spacing w:lineRule="auto" w:line="360"/>
        <w:jc w:val="start"/>
        <w:rPr>
          <w:rFonts w:ascii="Times New Roman" w:hAnsi="Times New Roman" w:eastAsia="Times New Roman"/>
          <w:b w:val="false"/>
          <w:bCs w:val="false"/>
          <w:u w:val="none"/>
        </w:rPr>
      </w:pPr>
      <w:r>
        <w:rPr>
          <w:rFonts w:eastAsia="Times New Roman" w:ascii="Times New Roman" w:hAnsi="Times New Roman"/>
          <w:b w:val="false"/>
          <w:bCs w:val="false"/>
          <w:u w:val="none"/>
        </w:rPr>
      </w:r>
    </w:p>
    <w:p>
      <w:pPr>
        <w:pStyle w:val="Normal"/>
        <w:spacing w:lineRule="auto" w:line="360"/>
        <w:jc w:val="start"/>
        <w:rPr>
          <w:rFonts w:ascii="Times New Roman" w:hAnsi="Times New Roman"/>
        </w:rPr>
      </w:pPr>
      <w:r>
        <w:rPr>
          <w:rFonts w:eastAsia="Times New Roman" w:ascii="Times New Roman" w:hAnsi="Times New Roman"/>
          <w:b w:val="false"/>
          <w:bCs w:val="false"/>
          <w:i w:val="false"/>
          <w:iCs w:val="false"/>
          <w:sz w:val="24"/>
          <w:szCs w:val="24"/>
          <w:u w:val="none"/>
          <w:lang w:val="en-GB" w:eastAsia="zh-CN" w:bidi="hi-IN"/>
        </w:rPr>
        <w:t xml:space="preserve">Refereencing chapter 4.1 Production Facilities and Capacities, </w:t>
      </w:r>
      <w:r>
        <w:rPr>
          <w:rFonts w:eastAsia="Times New Roman" w:ascii="Times New Roman" w:hAnsi="Times New Roman"/>
          <w:b w:val="false"/>
          <w:bCs w:val="false"/>
          <w:u w:val="none"/>
        </w:rPr>
        <w:t>KangaPages operates using digital tools and software, including computer systems, graphic design software, project management software, web hosting services, and internet connection. The company's production strategy focuses on achieving optimal production levels while minimizing costs and maximizing resource utilization, through outsourcing specialists and implementing a project management system. The production process in chapter 4.3, involves client consultation, proposal development, design phase, development phase, testing phase, client review, launch, and post-launch support. KangaPages operations are impacted by both its internal and external factors explained in chapter 4.4.</w:t>
      </w:r>
    </w:p>
    <w:p>
      <w:pPr>
        <w:pStyle w:val="Normal"/>
        <w:spacing w:lineRule="auto" w:line="360"/>
        <w:jc w:val="start"/>
        <w:rPr>
          <w:rFonts w:ascii="Times New Roman" w:hAnsi="Times New Roman"/>
        </w:rPr>
      </w:pPr>
      <w:r>
        <w:rPr>
          <w:rFonts w:ascii="Times New Roman" w:hAnsi="Times New Roman"/>
        </w:rPr>
      </w:r>
      <w:r>
        <w:br w:type="page"/>
      </w:r>
    </w:p>
    <w:p>
      <w:pPr>
        <w:pStyle w:val="Normal"/>
        <w:bidi w:val="0"/>
        <w:jc w:val="start"/>
        <w:rPr>
          <w:rFonts w:ascii="Times New Roman" w:hAnsi="Times New Roman"/>
          <w:b/>
          <w:bCs/>
          <w:u w:val="single"/>
        </w:rPr>
      </w:pPr>
      <w:r>
        <w:rPr>
          <w:rFonts w:ascii="Times New Roman" w:hAnsi="Times New Roman"/>
          <w:b/>
          <w:bCs/>
          <w:u w:val="single"/>
        </w:rPr>
        <w:t>CHAPTER FIVE: FINANCIAL PLAN</w:t>
      </w:r>
    </w:p>
    <w:p>
      <w:pPr>
        <w:pStyle w:val="Normal"/>
        <w:bidi w:val="0"/>
        <w:jc w:val="start"/>
        <w:rPr>
          <w:rFonts w:ascii="Times New Roman" w:hAnsi="Times New Roman"/>
          <w:b/>
          <w:bCs/>
          <w:u w:val="single"/>
        </w:rPr>
      </w:pPr>
      <w:r>
        <w:rPr>
          <w:rFonts w:ascii="Times New Roman" w:hAnsi="Times New Roman"/>
          <w:b/>
          <w:bCs/>
          <w:u w:val="single"/>
        </w:rPr>
      </w:r>
    </w:p>
    <w:p>
      <w:pPr>
        <w:pStyle w:val="Normal"/>
        <w:bidi w:val="0"/>
        <w:jc w:val="start"/>
        <w:rPr>
          <w:rFonts w:ascii="Times New Roman" w:hAnsi="Times New Roman"/>
          <w:b w:val="false"/>
          <w:bCs w:val="false"/>
          <w:u w:val="none"/>
        </w:rPr>
      </w:pPr>
      <w:r>
        <w:rPr>
          <w:rFonts w:ascii="Times New Roman" w:hAnsi="Times New Roman"/>
          <w:b w:val="false"/>
          <w:bCs w:val="false"/>
          <w:u w:val="none"/>
        </w:rPr>
        <w:t xml:space="preserve">KangaPages is a service </w:t>
      </w:r>
      <w:r>
        <w:rPr>
          <w:rFonts w:ascii="Times New Roman" w:hAnsi="Times New Roman"/>
          <w:b w:val="false"/>
          <w:bCs w:val="false"/>
          <w:u w:val="none"/>
        </w:rPr>
        <w:t>business</w:t>
      </w:r>
      <w:r>
        <w:rPr>
          <w:rFonts w:ascii="Times New Roman" w:hAnsi="Times New Roman"/>
          <w:b w:val="false"/>
          <w:bCs w:val="false"/>
          <w:u w:val="none"/>
        </w:rPr>
        <w:t xml:space="preserve">, with the number of clients assumed to grow from around 20 clients in </w:t>
      </w:r>
      <w:r>
        <w:rPr>
          <w:rFonts w:ascii="Times New Roman" w:hAnsi="Times New Roman"/>
          <w:b w:val="false"/>
          <w:bCs w:val="false"/>
          <w:u w:val="none"/>
        </w:rPr>
        <w:t>y</w:t>
      </w:r>
      <w:r>
        <w:rPr>
          <w:rFonts w:ascii="Times New Roman" w:hAnsi="Times New Roman"/>
          <w:b w:val="false"/>
          <w:bCs w:val="false"/>
          <w:u w:val="none"/>
        </w:rPr>
        <w:t xml:space="preserve">ear 1 to 100 clients by </w:t>
      </w:r>
      <w:r>
        <w:rPr>
          <w:rFonts w:ascii="Times New Roman" w:hAnsi="Times New Roman"/>
          <w:b w:val="false"/>
          <w:bCs w:val="false"/>
          <w:u w:val="none"/>
        </w:rPr>
        <w:t>y</w:t>
      </w:r>
      <w:r>
        <w:rPr>
          <w:rFonts w:ascii="Times New Roman" w:hAnsi="Times New Roman"/>
          <w:b w:val="false"/>
          <w:bCs w:val="false"/>
          <w:u w:val="none"/>
        </w:rPr>
        <w:t xml:space="preserve">ear 3, while revenues are projected at Khs 500,000, Khs 1,250,000, and Khs 2,500,000, respectively. Other  </w:t>
      </w:r>
      <w:r>
        <w:rPr>
          <w:rFonts w:ascii="Times New Roman" w:hAnsi="Times New Roman"/>
          <w:b w:val="false"/>
          <w:bCs w:val="false"/>
          <w:u w:val="none"/>
        </w:rPr>
        <w:t xml:space="preserve">possible </w:t>
      </w:r>
      <w:r>
        <w:rPr>
          <w:rFonts w:ascii="Times New Roman" w:hAnsi="Times New Roman"/>
          <w:b w:val="false"/>
          <w:bCs w:val="false"/>
          <w:u w:val="none"/>
        </w:rPr>
        <w:t>assumptions include a 16% income corporate tax rate coming into effect from Year 2, contracts with staff, and an average fee of Khs 25,000 per client, per annum. Pre-operational costs are said to be Khs 220,000, entailing equipment, licences, and advertising, with working capital assumed to be Khs 350,000 for Year 1, Khs 600,000 for Year 2, and Khs 1,000,000 for Year 3. The cash flow statement for the first year reveals cash inflows amounting to Khs 500,000 against outflows of Khs 350, resulting in net cash flow of Khs 150,000. From the break-even analysis, the company needs to make sales revenue of Khs 428,571 to reach the break-even point. Capital outlay is pegged at Khs 570,000, comprising pre-operational costs and working capital expenses; capital injection is expected from the owner's funds amounting to Khs 30,000, while Khs 540,000 will come from borrowed funds. Expected profitability ratios further forecast KangaPages to show a gross profit margin of 70%, return on equity of 56% by Year 3, and return on investment of 96% from a minus 14% in Year 1 by Year 3, thus describing opportunities for growth and profitability well.</w:t>
      </w:r>
    </w:p>
    <w:p>
      <w:pPr>
        <w:pStyle w:val="Normal"/>
        <w:spacing w:lineRule="auto" w:line="360"/>
        <w:jc w:val="end"/>
        <w:rPr>
          <w:rFonts w:ascii="Times New Roman" w:hAnsi="Times New Roman" w:eastAsia="Times New Roman"/>
          <w:b w:val="false"/>
          <w:bCs w:val="false"/>
          <w:u w:val="none"/>
        </w:rPr>
      </w:pPr>
      <w:r>
        <w:rPr>
          <w:rFonts w:eastAsia="Times New Roman" w:ascii="Times New Roman" w:hAnsi="Times New Roman"/>
          <w:b w:val="false"/>
          <w:bCs w:val="false"/>
          <w:u w:val="none"/>
        </w:rPr>
      </w:r>
    </w:p>
    <w:sectPr>
      <w:headerReference w:type="even" r:id="rId2"/>
      <w:headerReference w:type="default" r:id="rId3"/>
      <w:headerReference w:type="first" r:id="rId4"/>
      <w:type w:val="nextPage"/>
      <w:pgSz w:orient="landscape" w:w="23811" w:h="16838"/>
      <w:pgMar w:left="1134" w:right="1134" w:gutter="0" w:header="1134" w:top="1693"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Times New Roman">
    <w:charset w:val="01"/>
    <w:family w:val="roman"/>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mirrorMargins/>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mment">
    <w:name w:val="Comment"/>
    <w:basedOn w:val="Normal"/>
    <w:qFormat/>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TotalTime>
  <Application>LibreOffice/24.2.7.2$Linux_X86_64 LibreOffice_project/420$Build-2</Application>
  <AppVersion>15.0000</AppVersion>
  <Pages>7</Pages>
  <Words>1406</Words>
  <Characters>8250</Characters>
  <CharactersWithSpaces>9340</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2025-05-26T13:03:00Z</dcterms:created>
  <dc:creator>Lewis Kariuki</dc:creator>
  <dc:description/>
  <dc:language>en-GB</dc:language>
  <cp:lastModifiedBy>Lewis Kariuki</cp:lastModifiedBy>
  <dcterms:modified xsi:type="dcterms:W3CDTF">2025-05-27T19:50:42Z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