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to use the Handymen Hiring App:</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Login with proper username and password</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There will be 3 options, selecting featured handymen, searching handymen based on tags, and viewing appointment status.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 If the option to pick a featured handymen is chosen, the user will be prompted to enter the available ID to select the handymen. If the selected handyman is already hired, then the system will redirect the user to the select featured ID screen. </w:t>
      </w:r>
    </w:p>
    <w:p w:rsidR="00000000" w:rsidDel="00000000" w:rsidP="00000000" w:rsidRDefault="00000000" w:rsidRPr="00000000" w14:paraId="00000005">
      <w:pPr>
        <w:ind w:left="720" w:firstLine="0"/>
        <w:rPr/>
      </w:pPr>
      <w:r w:rsidDel="00000000" w:rsidR="00000000" w:rsidRPr="00000000">
        <w:rPr>
          <w:rtl w:val="0"/>
        </w:rPr>
        <w:t xml:space="preserve">B. If the selected handymen is vacant, the user will be shown a description of the handymen and asks for confirmations by typing “Yes” or “No”. If “Yes” is typed and entered, the user will wait for handyman confirmation. Otherwise, the user will be sent back to the select featured ID screen. \</w:t>
      </w:r>
    </w:p>
    <w:p w:rsidR="00000000" w:rsidDel="00000000" w:rsidP="00000000" w:rsidRDefault="00000000" w:rsidRPr="00000000" w14:paraId="00000006">
      <w:pPr>
        <w:ind w:left="720" w:firstLine="0"/>
        <w:rPr/>
      </w:pPr>
      <w:r w:rsidDel="00000000" w:rsidR="00000000" w:rsidRPr="00000000">
        <w:rPr>
          <w:rtl w:val="0"/>
        </w:rPr>
        <w:t xml:space="preserve">C. Upon receiving handyman’s acceptance, the user will read the terms and conditions and chooses whether to proceed to the appointment or cancel it.</w:t>
      </w:r>
    </w:p>
    <w:p w:rsidR="00000000" w:rsidDel="00000000" w:rsidP="00000000" w:rsidRDefault="00000000" w:rsidRPr="00000000" w14:paraId="00000007">
      <w:pPr>
        <w:ind w:left="720" w:firstLine="0"/>
        <w:rPr/>
      </w:pPr>
      <w:r w:rsidDel="00000000" w:rsidR="00000000" w:rsidRPr="00000000">
        <w:rPr>
          <w:rtl w:val="0"/>
        </w:rPr>
        <w:t xml:space="preserve">D. If the user accepts the appointment, the handyman will be added to the list of handyman currently employed.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the option to search handymen is chosen, the user will be shown specialisation tags available to search. If user types and enters the exact match of the tag, the user will see the available handymen and their IDs based on their search results. If their ID is chosen, the user will go through the same hiring process as number 3.</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 If the option to view appointment status is chosen, the user will see the list of handymen employed, servicing or not servicing.</w:t>
      </w:r>
    </w:p>
    <w:p w:rsidR="00000000" w:rsidDel="00000000" w:rsidP="00000000" w:rsidRDefault="00000000" w:rsidRPr="00000000" w14:paraId="0000000A">
      <w:pPr>
        <w:ind w:left="720" w:firstLine="0"/>
        <w:rPr/>
      </w:pPr>
      <w:r w:rsidDel="00000000" w:rsidR="00000000" w:rsidRPr="00000000">
        <w:rPr>
          <w:rtl w:val="0"/>
        </w:rPr>
        <w:t xml:space="preserve">B. Is the user chose the option to confirm service progress, the user will see the employed handymen that is not servicing. If the user selects the ID of the handymen, they will see a passcode prompt, and they have to ask for the handymen to input the passcode to verify. Once it is verified, the handymen now has a status of servicing.</w:t>
      </w:r>
    </w:p>
    <w:p w:rsidR="00000000" w:rsidDel="00000000" w:rsidP="00000000" w:rsidRDefault="00000000" w:rsidRPr="00000000" w14:paraId="0000000B">
      <w:pPr>
        <w:ind w:left="720" w:firstLine="0"/>
        <w:rPr/>
      </w:pPr>
      <w:r w:rsidDel="00000000" w:rsidR="00000000" w:rsidRPr="00000000">
        <w:rPr>
          <w:rtl w:val="0"/>
        </w:rPr>
        <w:t xml:space="preserve">C. If the user chose the option to pay the handymen, the user will be shown a list of employed and servicing handymen. Once the user selects their ID, they will get a prompt to calculate fees based on hours of work. Afterwards, they will be asked to choose payment methods. Once the payment is complete, the handymen is dismissed.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