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88D6D" w14:textId="77777777" w:rsidR="00D8112A" w:rsidRDefault="00D8112A">
      <w:pPr>
        <w:spacing w:before="2000" w:after="2000"/>
      </w:pPr>
    </w:p>
    <w:p w14:paraId="4D963629" w14:textId="552ECD02" w:rsidR="00D8112A" w:rsidRDefault="0045074F">
      <w:pPr>
        <w:spacing w:after="240"/>
        <w:jc w:val="center"/>
      </w:pPr>
      <w:r>
        <w:rPr>
          <w:b/>
          <w:bCs/>
          <w:color w:val="1E5631"/>
          <w:sz w:val="52"/>
          <w:szCs w:val="52"/>
        </w:rPr>
        <w:t xml:space="preserve"> </w:t>
      </w:r>
      <w:r w:rsidR="00000000">
        <w:rPr>
          <w:b/>
          <w:bCs/>
          <w:color w:val="1E5631"/>
          <w:sz w:val="52"/>
          <w:szCs w:val="52"/>
        </w:rPr>
        <w:t>COMMERCIAL PERFORMANCE REVIEW</w:t>
      </w:r>
    </w:p>
    <w:p w14:paraId="16A89924" w14:textId="77777777" w:rsidR="00D8112A" w:rsidRDefault="00000000">
      <w:pPr>
        <w:spacing w:after="120"/>
        <w:jc w:val="center"/>
      </w:pPr>
      <w:r>
        <w:rPr>
          <w:color w:val="2E7D52"/>
          <w:sz w:val="36"/>
          <w:szCs w:val="36"/>
        </w:rPr>
        <w:t>Due Diligence Case Study</w:t>
      </w:r>
    </w:p>
    <w:p w14:paraId="5D07B02D" w14:textId="77777777" w:rsidR="00D8112A" w:rsidRDefault="00D8112A">
      <w:pPr>
        <w:pBdr>
          <w:bottom w:val="single" w:sz="8" w:space="4" w:color="C9A84C"/>
        </w:pBdr>
        <w:spacing w:after="80"/>
        <w:jc w:val="center"/>
      </w:pPr>
    </w:p>
    <w:p w14:paraId="0AFE8DBC" w14:textId="77777777" w:rsidR="00D8112A" w:rsidRDefault="00D8112A">
      <w:pPr>
        <w:spacing w:before="400" w:after="400"/>
      </w:pPr>
    </w:p>
    <w:p w14:paraId="6290218A" w14:textId="77777777" w:rsidR="00D8112A" w:rsidRDefault="00000000">
      <w:pPr>
        <w:spacing w:after="120"/>
        <w:jc w:val="center"/>
      </w:pPr>
      <w:r>
        <w:rPr>
          <w:i/>
          <w:iCs/>
          <w:color w:val="1F3864"/>
          <w:sz w:val="28"/>
          <w:szCs w:val="28"/>
        </w:rPr>
        <w:t>Analytical Methodology &amp; Technical Documentation</w:t>
      </w:r>
    </w:p>
    <w:p w14:paraId="4E638678" w14:textId="77777777" w:rsidR="00D8112A" w:rsidRDefault="00D8112A">
      <w:pPr>
        <w:spacing w:before="600" w:after="6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tblGrid>
      <w:tr w:rsidR="00D8112A" w14:paraId="2532A085" w14:textId="77777777">
        <w:tblPrEx>
          <w:tblCellMar>
            <w:top w:w="0" w:type="dxa"/>
            <w:bottom w:w="0" w:type="dxa"/>
          </w:tblCellMar>
        </w:tblPrEx>
        <w:tc>
          <w:tcPr>
            <w:tcW w:w="2800" w:type="dxa"/>
            <w:tcBorders>
              <w:bottom w:val="single" w:sz="2" w:space="0" w:color="CCCCCC"/>
            </w:tcBorders>
            <w:shd w:val="clear" w:color="auto" w:fill="F5F5F5"/>
            <w:tcMar>
              <w:top w:w="80" w:type="dxa"/>
              <w:left w:w="120" w:type="dxa"/>
              <w:bottom w:w="80" w:type="dxa"/>
              <w:right w:w="120" w:type="dxa"/>
            </w:tcMar>
          </w:tcPr>
          <w:p w14:paraId="5B2A938B" w14:textId="77777777" w:rsidR="00D8112A" w:rsidRDefault="00000000">
            <w:r>
              <w:rPr>
                <w:b/>
                <w:bCs/>
              </w:rPr>
              <w:t>Prepared by</w:t>
            </w:r>
          </w:p>
        </w:tc>
        <w:tc>
          <w:tcPr>
            <w:tcW w:w="3200" w:type="dxa"/>
            <w:tcBorders>
              <w:bottom w:val="single" w:sz="2" w:space="0" w:color="CCCCCC"/>
            </w:tcBorders>
            <w:shd w:val="clear" w:color="auto" w:fill="FFFFFF"/>
            <w:tcMar>
              <w:top w:w="80" w:type="dxa"/>
              <w:left w:w="120" w:type="dxa"/>
              <w:bottom w:w="80" w:type="dxa"/>
              <w:right w:w="120" w:type="dxa"/>
            </w:tcMar>
          </w:tcPr>
          <w:p w14:paraId="0B6B0F32" w14:textId="77777777" w:rsidR="00D8112A" w:rsidRDefault="00000000">
            <w:r>
              <w:t>Kenneth Christopher</w:t>
            </w:r>
          </w:p>
        </w:tc>
      </w:tr>
      <w:tr w:rsidR="00D8112A" w14:paraId="4E9157A7" w14:textId="77777777">
        <w:tblPrEx>
          <w:tblCellMar>
            <w:top w:w="0" w:type="dxa"/>
            <w:bottom w:w="0" w:type="dxa"/>
          </w:tblCellMar>
        </w:tblPrEx>
        <w:tc>
          <w:tcPr>
            <w:tcW w:w="2800" w:type="dxa"/>
            <w:tcBorders>
              <w:bottom w:val="single" w:sz="2" w:space="0" w:color="CCCCCC"/>
            </w:tcBorders>
            <w:shd w:val="clear" w:color="auto" w:fill="F5F5F5"/>
            <w:tcMar>
              <w:top w:w="80" w:type="dxa"/>
              <w:left w:w="120" w:type="dxa"/>
              <w:bottom w:w="80" w:type="dxa"/>
              <w:right w:w="120" w:type="dxa"/>
            </w:tcMar>
          </w:tcPr>
          <w:p w14:paraId="2244E05D" w14:textId="77777777" w:rsidR="00D8112A" w:rsidRDefault="00000000">
            <w:r>
              <w:rPr>
                <w:b/>
                <w:bCs/>
              </w:rPr>
              <w:t>Date</w:t>
            </w:r>
          </w:p>
        </w:tc>
        <w:tc>
          <w:tcPr>
            <w:tcW w:w="3200" w:type="dxa"/>
            <w:tcBorders>
              <w:bottom w:val="single" w:sz="2" w:space="0" w:color="CCCCCC"/>
            </w:tcBorders>
            <w:shd w:val="clear" w:color="auto" w:fill="FFFFFF"/>
            <w:tcMar>
              <w:top w:w="80" w:type="dxa"/>
              <w:left w:w="120" w:type="dxa"/>
              <w:bottom w:w="80" w:type="dxa"/>
              <w:right w:w="120" w:type="dxa"/>
            </w:tcMar>
          </w:tcPr>
          <w:p w14:paraId="476025A7" w14:textId="77777777" w:rsidR="00D8112A" w:rsidRDefault="00000000">
            <w:r>
              <w:t>1st May 2026</w:t>
            </w:r>
          </w:p>
        </w:tc>
      </w:tr>
      <w:tr w:rsidR="00D8112A" w14:paraId="3B4913C4" w14:textId="77777777">
        <w:tblPrEx>
          <w:tblCellMar>
            <w:top w:w="0" w:type="dxa"/>
            <w:bottom w:w="0" w:type="dxa"/>
          </w:tblCellMar>
        </w:tblPrEx>
        <w:tc>
          <w:tcPr>
            <w:tcW w:w="2800" w:type="dxa"/>
            <w:tcBorders>
              <w:bottom w:val="single" w:sz="2" w:space="0" w:color="CCCCCC"/>
            </w:tcBorders>
            <w:shd w:val="clear" w:color="auto" w:fill="F5F5F5"/>
            <w:tcMar>
              <w:top w:w="80" w:type="dxa"/>
              <w:left w:w="120" w:type="dxa"/>
              <w:bottom w:w="80" w:type="dxa"/>
              <w:right w:w="120" w:type="dxa"/>
            </w:tcMar>
          </w:tcPr>
          <w:p w14:paraId="38DC6F4B" w14:textId="77777777" w:rsidR="00D8112A" w:rsidRDefault="00000000">
            <w:r>
              <w:rPr>
                <w:b/>
                <w:bCs/>
              </w:rPr>
              <w:t>Dataset</w:t>
            </w:r>
          </w:p>
        </w:tc>
        <w:tc>
          <w:tcPr>
            <w:tcW w:w="3200" w:type="dxa"/>
            <w:tcBorders>
              <w:bottom w:val="single" w:sz="2" w:space="0" w:color="CCCCCC"/>
            </w:tcBorders>
            <w:shd w:val="clear" w:color="auto" w:fill="FFFFFF"/>
            <w:tcMar>
              <w:top w:w="80" w:type="dxa"/>
              <w:left w:w="120" w:type="dxa"/>
              <w:bottom w:w="80" w:type="dxa"/>
              <w:right w:w="120" w:type="dxa"/>
            </w:tcMar>
          </w:tcPr>
          <w:p w14:paraId="7BA670FA" w14:textId="77777777" w:rsidR="00D8112A" w:rsidRDefault="00000000">
            <w:r>
              <w:t>Global Superstore (2011–2014)</w:t>
            </w:r>
          </w:p>
        </w:tc>
      </w:tr>
      <w:tr w:rsidR="00D8112A" w14:paraId="23F9FE8A" w14:textId="77777777">
        <w:tblPrEx>
          <w:tblCellMar>
            <w:top w:w="0" w:type="dxa"/>
            <w:bottom w:w="0" w:type="dxa"/>
          </w:tblCellMar>
        </w:tblPrEx>
        <w:tc>
          <w:tcPr>
            <w:tcW w:w="2800" w:type="dxa"/>
            <w:tcBorders>
              <w:bottom w:val="single" w:sz="2" w:space="0" w:color="CCCCCC"/>
            </w:tcBorders>
            <w:shd w:val="clear" w:color="auto" w:fill="F5F5F5"/>
            <w:tcMar>
              <w:top w:w="80" w:type="dxa"/>
              <w:left w:w="120" w:type="dxa"/>
              <w:bottom w:w="80" w:type="dxa"/>
              <w:right w:w="120" w:type="dxa"/>
            </w:tcMar>
          </w:tcPr>
          <w:p w14:paraId="7D88243C" w14:textId="77777777" w:rsidR="00D8112A" w:rsidRDefault="00000000">
            <w:r>
              <w:rPr>
                <w:b/>
                <w:bCs/>
              </w:rPr>
              <w:t>Tools Used</w:t>
            </w:r>
          </w:p>
        </w:tc>
        <w:tc>
          <w:tcPr>
            <w:tcW w:w="3200" w:type="dxa"/>
            <w:tcBorders>
              <w:bottom w:val="single" w:sz="2" w:space="0" w:color="CCCCCC"/>
            </w:tcBorders>
            <w:shd w:val="clear" w:color="auto" w:fill="FFFFFF"/>
            <w:tcMar>
              <w:top w:w="80" w:type="dxa"/>
              <w:left w:w="120" w:type="dxa"/>
              <w:bottom w:w="80" w:type="dxa"/>
              <w:right w:w="120" w:type="dxa"/>
            </w:tcMar>
          </w:tcPr>
          <w:p w14:paraId="6AE3106C" w14:textId="77777777" w:rsidR="00D8112A" w:rsidRDefault="00000000">
            <w:r>
              <w:t>SQLite, Excel, Power Query, GitHub</w:t>
            </w:r>
          </w:p>
        </w:tc>
      </w:tr>
      <w:tr w:rsidR="00D8112A" w14:paraId="69A1603E" w14:textId="77777777">
        <w:tblPrEx>
          <w:tblCellMar>
            <w:top w:w="0" w:type="dxa"/>
            <w:bottom w:w="0" w:type="dxa"/>
          </w:tblCellMar>
        </w:tblPrEx>
        <w:tc>
          <w:tcPr>
            <w:tcW w:w="2800" w:type="dxa"/>
            <w:tcBorders>
              <w:bottom w:val="single" w:sz="2" w:space="0" w:color="CCCCCC"/>
            </w:tcBorders>
            <w:shd w:val="clear" w:color="auto" w:fill="F5F5F5"/>
            <w:tcMar>
              <w:top w:w="80" w:type="dxa"/>
              <w:left w:w="120" w:type="dxa"/>
              <w:bottom w:w="80" w:type="dxa"/>
              <w:right w:w="120" w:type="dxa"/>
            </w:tcMar>
          </w:tcPr>
          <w:p w14:paraId="48A6BEFC" w14:textId="77777777" w:rsidR="00D8112A" w:rsidRDefault="00000000">
            <w:r>
              <w:rPr>
                <w:b/>
                <w:bCs/>
              </w:rPr>
              <w:t>Document Type</w:t>
            </w:r>
          </w:p>
        </w:tc>
        <w:tc>
          <w:tcPr>
            <w:tcW w:w="3200" w:type="dxa"/>
            <w:tcBorders>
              <w:bottom w:val="single" w:sz="2" w:space="0" w:color="CCCCCC"/>
            </w:tcBorders>
            <w:shd w:val="clear" w:color="auto" w:fill="FFFFFF"/>
            <w:tcMar>
              <w:top w:w="80" w:type="dxa"/>
              <w:left w:w="120" w:type="dxa"/>
              <w:bottom w:w="80" w:type="dxa"/>
              <w:right w:w="120" w:type="dxa"/>
            </w:tcMar>
          </w:tcPr>
          <w:p w14:paraId="3FF9B4FF" w14:textId="77777777" w:rsidR="00D8112A" w:rsidRDefault="00000000">
            <w:r>
              <w:t>Technical Methodology Report</w:t>
            </w:r>
          </w:p>
        </w:tc>
      </w:tr>
    </w:tbl>
    <w:p w14:paraId="6EF620E8" w14:textId="77777777" w:rsidR="00D8112A" w:rsidRDefault="00D8112A">
      <w:pPr>
        <w:spacing w:before="600" w:after="600"/>
      </w:pPr>
    </w:p>
    <w:p w14:paraId="7359642E" w14:textId="77777777" w:rsidR="00D8112A" w:rsidRDefault="00000000">
      <w:pPr>
        <w:spacing w:after="80"/>
        <w:jc w:val="center"/>
      </w:pPr>
      <w:r>
        <w:rPr>
          <w:b/>
          <w:bCs/>
          <w:color w:val="1E5631"/>
        </w:rPr>
        <w:t>Key Investment Question</w:t>
      </w:r>
    </w:p>
    <w:p w14:paraId="47653B50" w14:textId="77777777" w:rsidR="00D8112A" w:rsidRDefault="00000000">
      <w:pPr>
        <w:spacing w:after="80"/>
        <w:jc w:val="center"/>
      </w:pPr>
      <w:r>
        <w:rPr>
          <w:i/>
          <w:iCs/>
        </w:rPr>
        <w:t>Should an investor acquire this business given its revenue growth trajectory,</w:t>
      </w:r>
    </w:p>
    <w:p w14:paraId="11A1369F" w14:textId="77777777" w:rsidR="00D8112A" w:rsidRDefault="00000000">
      <w:pPr>
        <w:jc w:val="center"/>
      </w:pPr>
      <w:r>
        <w:rPr>
          <w:i/>
          <w:iCs/>
        </w:rPr>
        <w:t>margin profile, and operational risks?</w:t>
      </w:r>
    </w:p>
    <w:p w14:paraId="70B91AF8" w14:textId="77777777" w:rsidR="00D8112A" w:rsidRDefault="00000000">
      <w:r>
        <w:br w:type="page"/>
      </w:r>
    </w:p>
    <w:p w14:paraId="084C988E" w14:textId="77777777" w:rsidR="00D8112A" w:rsidRDefault="00000000">
      <w:pPr>
        <w:pStyle w:val="Heading1"/>
        <w:pBdr>
          <w:bottom w:val="single" w:sz="8" w:space="4" w:color="1E5631"/>
        </w:pBdr>
      </w:pPr>
      <w:r>
        <w:lastRenderedPageBreak/>
        <w:t>1. Project Overview</w:t>
      </w:r>
    </w:p>
    <w:p w14:paraId="7D8527D2" w14:textId="77777777" w:rsidR="00D8112A" w:rsidRDefault="00000000">
      <w:pPr>
        <w:pStyle w:val="Heading2"/>
      </w:pPr>
      <w:r>
        <w:t>1.1 Objective</w:t>
      </w:r>
    </w:p>
    <w:p w14:paraId="785591E1" w14:textId="77777777" w:rsidR="00D8112A" w:rsidRDefault="00000000">
      <w:pPr>
        <w:spacing w:before="80" w:after="80"/>
      </w:pPr>
      <w:r>
        <w:t>This document provides the complete analytical methodology, technical documentation, and decision rationale underlying the Commercial Performance Review Due Diligence Case Study. It is intended to make visible the full body of work that sits behind the Excel dashboard and GitHub repository, including SQL query logic, assumption construction, scenario design, and investment interpretation.</w:t>
      </w:r>
    </w:p>
    <w:p w14:paraId="05CA68D7" w14:textId="77777777" w:rsidR="00D8112A" w:rsidRDefault="00D8112A">
      <w:pPr>
        <w:spacing w:before="120" w:after="120"/>
      </w:pPr>
    </w:p>
    <w:p w14:paraId="4124BC93" w14:textId="77777777" w:rsidR="00D8112A" w:rsidRDefault="00000000">
      <w:pPr>
        <w:spacing w:before="80" w:after="80"/>
      </w:pPr>
      <w:r>
        <w:t>The project simulates the commercial due diligence workstream of a pre-acquisition assessment of a mid-sized international retail business. The central analytical question throughout is whether the business represents an attractive acquisition opportunity, and if so, under what conditions and with what value creation agenda.</w:t>
      </w:r>
    </w:p>
    <w:p w14:paraId="39631D48" w14:textId="77777777" w:rsidR="00D8112A" w:rsidRDefault="00000000">
      <w:pPr>
        <w:pStyle w:val="Heading2"/>
      </w:pPr>
      <w:r>
        <w:t>1.2 Project Scope</w:t>
      </w:r>
    </w:p>
    <w:p w14:paraId="2A6730BE" w14:textId="77777777" w:rsidR="00D8112A" w:rsidRDefault="00000000">
      <w:pPr>
        <w:pStyle w:val="ListParagraph"/>
        <w:numPr>
          <w:ilvl w:val="0"/>
          <w:numId w:val="2"/>
        </w:numPr>
        <w:spacing w:before="60" w:after="60"/>
      </w:pPr>
      <w:r>
        <w:t>Commercial performance analysis across revenue, margin, product, region, and customer dimensions</w:t>
      </w:r>
    </w:p>
    <w:p w14:paraId="53C5BDD7" w14:textId="77777777" w:rsidR="00D8112A" w:rsidRDefault="00000000">
      <w:pPr>
        <w:pStyle w:val="ListParagraph"/>
        <w:numPr>
          <w:ilvl w:val="0"/>
          <w:numId w:val="2"/>
        </w:numPr>
        <w:spacing w:before="60" w:after="60"/>
      </w:pPr>
      <w:r>
        <w:t>SQL-based data extraction and aggregation from a transactional database</w:t>
      </w:r>
    </w:p>
    <w:p w14:paraId="6410D29F" w14:textId="77777777" w:rsidR="00D8112A" w:rsidRDefault="00000000">
      <w:pPr>
        <w:pStyle w:val="ListParagraph"/>
        <w:numPr>
          <w:ilvl w:val="0"/>
          <w:numId w:val="2"/>
        </w:numPr>
        <w:spacing w:before="60" w:after="60"/>
      </w:pPr>
      <w:r>
        <w:t>Illustrative forward P&amp;L modelling under three scenarios using sector-benchmarked assumptions</w:t>
      </w:r>
    </w:p>
    <w:p w14:paraId="746CFEB7" w14:textId="77777777" w:rsidR="00D8112A" w:rsidRDefault="00000000">
      <w:pPr>
        <w:pStyle w:val="ListParagraph"/>
        <w:numPr>
          <w:ilvl w:val="0"/>
          <w:numId w:val="2"/>
        </w:numPr>
        <w:spacing w:before="60" w:after="60"/>
      </w:pPr>
      <w:r>
        <w:t>Quantified value creation scenario analysis based on findings from transactional data</w:t>
      </w:r>
    </w:p>
    <w:p w14:paraId="1474B456" w14:textId="77777777" w:rsidR="00D8112A" w:rsidRDefault="00000000">
      <w:pPr>
        <w:pStyle w:val="ListParagraph"/>
        <w:numPr>
          <w:ilvl w:val="0"/>
          <w:numId w:val="2"/>
        </w:numPr>
        <w:spacing w:before="60" w:after="60"/>
      </w:pPr>
      <w:r>
        <w:t>Investor-facing Excel dashboard presenting findings in a consultant-standard format</w:t>
      </w:r>
    </w:p>
    <w:p w14:paraId="5C36F279" w14:textId="77777777" w:rsidR="00D8112A" w:rsidRDefault="00000000">
      <w:pPr>
        <w:pStyle w:val="ListParagraph"/>
        <w:numPr>
          <w:ilvl w:val="0"/>
          <w:numId w:val="2"/>
        </w:numPr>
        <w:spacing w:before="60" w:after="60"/>
      </w:pPr>
      <w:r>
        <w:t>Full documentation of methodology, limitations, and further diligence requirements</w:t>
      </w:r>
    </w:p>
    <w:p w14:paraId="430104BE" w14:textId="77777777" w:rsidR="00D8112A" w:rsidRDefault="00000000">
      <w:pPr>
        <w:pStyle w:val="Heading2"/>
      </w:pPr>
      <w:r>
        <w:t>1.3 What This Project Does Not Cover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12A" w14:paraId="5DA88ACA" w14:textId="77777777">
        <w:tblPrEx>
          <w:tblCellMar>
            <w:top w:w="0" w:type="dxa"/>
            <w:bottom w:w="0" w:type="dxa"/>
          </w:tblCellMar>
        </w:tblPrEx>
        <w:tc>
          <w:tcPr>
            <w:tcW w:w="9360" w:type="dxa"/>
            <w:tcBorders>
              <w:top w:val="single" w:sz="6" w:space="0" w:color="2E7D52"/>
              <w:left w:val="thick" w:sz="12" w:space="0" w:color="2E7D52"/>
              <w:bottom w:val="single" w:sz="6" w:space="0" w:color="2E7D52"/>
              <w:right w:val="none" w:sz="0" w:space="0" w:color="FFFFFF"/>
            </w:tcBorders>
            <w:shd w:val="clear" w:color="auto" w:fill="EAF4EE"/>
            <w:tcMar>
              <w:top w:w="120" w:type="dxa"/>
              <w:left w:w="200" w:type="dxa"/>
              <w:bottom w:w="120" w:type="dxa"/>
              <w:right w:w="120" w:type="dxa"/>
            </w:tcMar>
          </w:tcPr>
          <w:p w14:paraId="191FBF5F" w14:textId="77777777" w:rsidR="00D8112A" w:rsidRDefault="00000000">
            <w:pPr>
              <w:spacing w:before="60" w:after="60"/>
            </w:pPr>
            <w:r>
              <w:t>This analysis is explicitly scoped as a commercial due diligence workstream only. The following are out of scope and would require full financial due diligence:</w:t>
            </w:r>
          </w:p>
          <w:p w14:paraId="71FD6AE3" w14:textId="77777777" w:rsidR="00D8112A" w:rsidRDefault="00D8112A">
            <w:pPr>
              <w:spacing w:before="60" w:after="60"/>
            </w:pPr>
          </w:p>
          <w:p w14:paraId="21FA7C54" w14:textId="77777777" w:rsidR="00D8112A" w:rsidRDefault="00000000">
            <w:pPr>
              <w:spacing w:before="60" w:after="60"/>
            </w:pPr>
            <w:r>
              <w:t xml:space="preserve">  •  Balance sheet analysis (assets, liabilities, net debt)</w:t>
            </w:r>
          </w:p>
          <w:p w14:paraId="218071B8" w14:textId="77777777" w:rsidR="00D8112A" w:rsidRDefault="00000000">
            <w:pPr>
              <w:spacing w:before="60" w:after="60"/>
            </w:pPr>
            <w:r>
              <w:t xml:space="preserve">  •  Cash flow and working capital assessment</w:t>
            </w:r>
          </w:p>
          <w:p w14:paraId="57975318" w14:textId="77777777" w:rsidR="00D8112A" w:rsidRDefault="00000000">
            <w:pPr>
              <w:spacing w:before="60" w:after="60"/>
            </w:pPr>
            <w:r>
              <w:t xml:space="preserve">  •  Capital expenditure requirements</w:t>
            </w:r>
          </w:p>
          <w:p w14:paraId="635BA2D9" w14:textId="77777777" w:rsidR="00D8112A" w:rsidRDefault="00000000">
            <w:pPr>
              <w:spacing w:before="60" w:after="60"/>
            </w:pPr>
            <w:r>
              <w:t xml:space="preserve">  •  EBITDA-based valuation (excluded due to absence of reliable D&amp;A data)</w:t>
            </w:r>
          </w:p>
          <w:p w14:paraId="4D834496" w14:textId="77777777" w:rsidR="00D8112A" w:rsidRDefault="00000000">
            <w:pPr>
              <w:spacing w:before="60" w:after="60"/>
            </w:pPr>
            <w:r>
              <w:t xml:space="preserve">  •  Management quality and </w:t>
            </w:r>
            <w:proofErr w:type="spellStart"/>
            <w:r>
              <w:t>organisational</w:t>
            </w:r>
            <w:proofErr w:type="spellEnd"/>
            <w:r>
              <w:t xml:space="preserve"> assessment</w:t>
            </w:r>
          </w:p>
          <w:p w14:paraId="3FEAFB98" w14:textId="77777777" w:rsidR="00D8112A" w:rsidRDefault="00000000">
            <w:pPr>
              <w:spacing w:before="60" w:after="60"/>
            </w:pPr>
            <w:r>
              <w:t xml:space="preserve">  •  Legal, tax, and regulatory due diligence</w:t>
            </w:r>
          </w:p>
          <w:p w14:paraId="34C2CC8A" w14:textId="77777777" w:rsidR="00D8112A" w:rsidRDefault="00D8112A">
            <w:pPr>
              <w:spacing w:before="60" w:after="60"/>
            </w:pPr>
          </w:p>
          <w:p w14:paraId="302D8733" w14:textId="77777777" w:rsidR="00D8112A" w:rsidRDefault="00000000">
            <w:pPr>
              <w:spacing w:before="60" w:after="60"/>
            </w:pPr>
            <w:r>
              <w:rPr>
                <w:i/>
                <w:iCs/>
              </w:rPr>
              <w:t>Note: The use of EBIT rather than EBITDA in the illustrative model reflects a deliberate methodological choice. For asset-intensive sub-categories such as Furniture, EBITDA would be the more appropriate valuation metric as it captures earnings before significant depreciation charges associated with physical inventory and logistics infrastructure. This limitation is acknowledged and should be addressed in any formal financial due diligence process.</w:t>
            </w:r>
          </w:p>
        </w:tc>
      </w:tr>
    </w:tbl>
    <w:p w14:paraId="25E14A5D" w14:textId="77777777" w:rsidR="00D8112A" w:rsidRDefault="00000000">
      <w:pPr>
        <w:pStyle w:val="Heading2"/>
      </w:pPr>
      <w:r>
        <w:lastRenderedPageBreak/>
        <w:t>1.4 Dataset</w:t>
      </w:r>
    </w:p>
    <w:p w14:paraId="4EEEA99A" w14:textId="77777777" w:rsidR="00D8112A" w:rsidRDefault="00000000">
      <w:pPr>
        <w:spacing w:before="80" w:after="80"/>
      </w:pPr>
      <w:r>
        <w:t>The analysis uses the Global Superstore dataset, a publicly available transactional sales dataset representing a simulated international retail business operating across multiple regions, product categories, and customer segments.</w:t>
      </w:r>
    </w:p>
    <w:p w14:paraId="34ED4E4A" w14:textId="77777777" w:rsidR="00D8112A" w:rsidRDefault="00D8112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8112A" w14:paraId="2945155D" w14:textId="77777777">
        <w:tblPrEx>
          <w:tblCellMar>
            <w:top w:w="0" w:type="dxa"/>
            <w:bottom w:w="0" w:type="dxa"/>
          </w:tblCellMar>
        </w:tblPrEx>
        <w:trPr>
          <w:tblHeader/>
        </w:trPr>
        <w:tc>
          <w:tcPr>
            <w:tcW w:w="32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0EE14274" w14:textId="77777777" w:rsidR="00D8112A" w:rsidRDefault="00000000">
            <w:pPr>
              <w:jc w:val="center"/>
            </w:pPr>
            <w:r>
              <w:rPr>
                <w:b/>
                <w:bCs/>
                <w:color w:val="FFFFFF"/>
                <w:sz w:val="20"/>
                <w:szCs w:val="20"/>
              </w:rPr>
              <w:t>Attribute</w:t>
            </w:r>
          </w:p>
        </w:tc>
        <w:tc>
          <w:tcPr>
            <w:tcW w:w="616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72BF203F" w14:textId="77777777" w:rsidR="00D8112A" w:rsidRDefault="00000000">
            <w:pPr>
              <w:jc w:val="center"/>
            </w:pPr>
            <w:r>
              <w:rPr>
                <w:b/>
                <w:bCs/>
                <w:color w:val="FFFFFF"/>
                <w:sz w:val="20"/>
                <w:szCs w:val="20"/>
              </w:rPr>
              <w:t>Detail</w:t>
            </w:r>
          </w:p>
        </w:tc>
      </w:tr>
      <w:tr w:rsidR="00D8112A" w14:paraId="7FD3649A"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A5149A8" w14:textId="77777777" w:rsidR="00D8112A" w:rsidRDefault="00000000">
            <w:r>
              <w:rPr>
                <w:sz w:val="20"/>
                <w:szCs w:val="20"/>
              </w:rPr>
              <w:t>Dataset name</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8386B2" w14:textId="77777777" w:rsidR="00D8112A" w:rsidRDefault="00000000">
            <w:pPr>
              <w:jc w:val="center"/>
            </w:pPr>
            <w:r>
              <w:rPr>
                <w:sz w:val="20"/>
                <w:szCs w:val="20"/>
              </w:rPr>
              <w:t>Global Superstore</w:t>
            </w:r>
          </w:p>
        </w:tc>
      </w:tr>
      <w:tr w:rsidR="00D8112A" w14:paraId="5C4F7621"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6BC77795" w14:textId="77777777" w:rsidR="00D8112A" w:rsidRDefault="00000000">
            <w:r>
              <w:rPr>
                <w:sz w:val="20"/>
                <w:szCs w:val="20"/>
              </w:rPr>
              <w:t>Data period</w:t>
            </w:r>
          </w:p>
        </w:tc>
        <w:tc>
          <w:tcPr>
            <w:tcW w:w="6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E4370E9" w14:textId="77777777" w:rsidR="00D8112A" w:rsidRDefault="00000000">
            <w:pPr>
              <w:jc w:val="center"/>
            </w:pPr>
            <w:r>
              <w:rPr>
                <w:sz w:val="20"/>
                <w:szCs w:val="20"/>
              </w:rPr>
              <w:t>2011–2014 (4 years)</w:t>
            </w:r>
          </w:p>
        </w:tc>
      </w:tr>
      <w:tr w:rsidR="00D8112A" w14:paraId="517E468F"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73C7DF" w14:textId="77777777" w:rsidR="00D8112A" w:rsidRDefault="00000000">
            <w:r>
              <w:rPr>
                <w:sz w:val="20"/>
                <w:szCs w:val="20"/>
              </w:rPr>
              <w:t>Record type</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C7A7D4" w14:textId="77777777" w:rsidR="00D8112A" w:rsidRDefault="00000000">
            <w:pPr>
              <w:jc w:val="center"/>
            </w:pPr>
            <w:r>
              <w:rPr>
                <w:sz w:val="20"/>
                <w:szCs w:val="20"/>
              </w:rPr>
              <w:t>Individual order line transactions</w:t>
            </w:r>
          </w:p>
        </w:tc>
      </w:tr>
      <w:tr w:rsidR="00D8112A" w14:paraId="29BAFC08"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7465ADEB" w14:textId="77777777" w:rsidR="00D8112A" w:rsidRDefault="00000000">
            <w:r>
              <w:rPr>
                <w:sz w:val="20"/>
                <w:szCs w:val="20"/>
              </w:rPr>
              <w:t>Key fields</w:t>
            </w:r>
          </w:p>
        </w:tc>
        <w:tc>
          <w:tcPr>
            <w:tcW w:w="6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7BCE05A1" w14:textId="77777777" w:rsidR="00D8112A" w:rsidRDefault="00000000">
            <w:pPr>
              <w:jc w:val="center"/>
            </w:pPr>
            <w:r>
              <w:rPr>
                <w:sz w:val="20"/>
                <w:szCs w:val="20"/>
              </w:rPr>
              <w:t>Order Date, Sales, Profit, Region, Category, Sub-Category, Segment, Quantity, Discount</w:t>
            </w:r>
          </w:p>
        </w:tc>
      </w:tr>
      <w:tr w:rsidR="00D8112A" w14:paraId="69F2E1ED"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5639334" w14:textId="77777777" w:rsidR="00D8112A" w:rsidRDefault="00000000">
            <w:r>
              <w:rPr>
                <w:sz w:val="20"/>
                <w:szCs w:val="20"/>
              </w:rPr>
              <w:t>Total revenue (4yr)</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812F2A1" w14:textId="77777777" w:rsidR="00D8112A" w:rsidRDefault="00000000">
            <w:pPr>
              <w:jc w:val="center"/>
            </w:pPr>
            <w:r>
              <w:rPr>
                <w:sz w:val="20"/>
                <w:szCs w:val="20"/>
              </w:rPr>
              <w:t>$12.6M</w:t>
            </w:r>
          </w:p>
        </w:tc>
      </w:tr>
      <w:tr w:rsidR="00D8112A" w14:paraId="61FF4AC0"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25D24054" w14:textId="77777777" w:rsidR="00D8112A" w:rsidRDefault="00000000">
            <w:r>
              <w:rPr>
                <w:sz w:val="20"/>
                <w:szCs w:val="20"/>
              </w:rPr>
              <w:t>Source</w:t>
            </w:r>
          </w:p>
        </w:tc>
        <w:tc>
          <w:tcPr>
            <w:tcW w:w="6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DFA9A54" w14:textId="77777777" w:rsidR="00D8112A" w:rsidRDefault="00000000">
            <w:pPr>
              <w:jc w:val="center"/>
            </w:pPr>
            <w:r>
              <w:rPr>
                <w:sz w:val="20"/>
                <w:szCs w:val="20"/>
              </w:rPr>
              <w:t>Publicly available (Kaggle / Tableau Sample Data)</w:t>
            </w:r>
          </w:p>
        </w:tc>
      </w:tr>
    </w:tbl>
    <w:p w14:paraId="19E39779" w14:textId="77777777" w:rsidR="00D8112A" w:rsidRDefault="00D8112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12A" w14:paraId="0B1B8F82" w14:textId="77777777">
        <w:tblPrEx>
          <w:tblCellMar>
            <w:top w:w="0" w:type="dxa"/>
            <w:bottom w:w="0" w:type="dxa"/>
          </w:tblCellMar>
        </w:tblPrEx>
        <w:tc>
          <w:tcPr>
            <w:tcW w:w="9360" w:type="dxa"/>
            <w:tcBorders>
              <w:top w:val="single" w:sz="6" w:space="0" w:color="C9A84C"/>
              <w:left w:val="thick" w:sz="12" w:space="0" w:color="C9A84C"/>
              <w:bottom w:val="single" w:sz="6" w:space="0" w:color="C9A84C"/>
              <w:right w:val="none" w:sz="0" w:space="0" w:color="FFFFFF"/>
            </w:tcBorders>
            <w:shd w:val="clear" w:color="auto" w:fill="FFF8E7"/>
            <w:tcMar>
              <w:top w:w="120" w:type="dxa"/>
              <w:left w:w="200" w:type="dxa"/>
              <w:bottom w:w="120" w:type="dxa"/>
              <w:right w:w="120" w:type="dxa"/>
            </w:tcMar>
          </w:tcPr>
          <w:p w14:paraId="4B36A9C4" w14:textId="77777777" w:rsidR="00D8112A" w:rsidRDefault="00000000">
            <w:pPr>
              <w:spacing w:before="60" w:after="60"/>
            </w:pPr>
            <w:r>
              <w:t>Important data note: The Profit column in this dataset reflects a blended margin at the transaction level inclusive of variable operating costs such as fulfilment, logistics, and handling. It does not conform to a standard gross profit definition as used in audited financial statements. Throughout this analysis it is presented as Operating Contribution (OC) rather than Gross Profit to avoid misrepresentation. This distinction is material when interpreting margin figures relative to industry benchmarks.</w:t>
            </w:r>
          </w:p>
        </w:tc>
      </w:tr>
    </w:tbl>
    <w:p w14:paraId="3B5D36C2" w14:textId="77777777" w:rsidR="00D8112A" w:rsidRDefault="00000000">
      <w:r>
        <w:br w:type="page"/>
      </w:r>
    </w:p>
    <w:p w14:paraId="020A83BA" w14:textId="77777777" w:rsidR="00D8112A" w:rsidRDefault="00000000">
      <w:pPr>
        <w:pStyle w:val="Heading1"/>
        <w:pBdr>
          <w:bottom w:val="single" w:sz="8" w:space="4" w:color="1E5631"/>
        </w:pBdr>
      </w:pPr>
      <w:r>
        <w:lastRenderedPageBreak/>
        <w:t>2. SQL Analysis — Query Logic and Findings</w:t>
      </w:r>
    </w:p>
    <w:p w14:paraId="686C227A" w14:textId="77777777" w:rsidR="00D8112A" w:rsidRDefault="00000000">
      <w:pPr>
        <w:spacing w:before="80" w:after="80"/>
      </w:pPr>
      <w:r>
        <w:t xml:space="preserve">All core data extraction and aggregation </w:t>
      </w:r>
      <w:proofErr w:type="gramStart"/>
      <w:r>
        <w:t>was</w:t>
      </w:r>
      <w:proofErr w:type="gramEnd"/>
      <w:r>
        <w:t xml:space="preserve"> performed in SQLite using DB Browser for SQLite. The dataset was imported as a single table named orders. Ten SQL query files were produced, each addressing a specific business question. Every file is saved with comments explaining the analytical purpose and is available in the /</w:t>
      </w:r>
      <w:proofErr w:type="spellStart"/>
      <w:r>
        <w:t>sql</w:t>
      </w:r>
      <w:proofErr w:type="spellEnd"/>
      <w:r>
        <w:t>/ directory of the GitHub repository.</w:t>
      </w:r>
    </w:p>
    <w:p w14:paraId="17738D19" w14:textId="77777777" w:rsidR="00D8112A" w:rsidRDefault="00000000">
      <w:pPr>
        <w:pStyle w:val="Heading2"/>
      </w:pPr>
      <w:r>
        <w:t>2.1 Database Setup</w:t>
      </w:r>
    </w:p>
    <w:p w14:paraId="46F8BC57" w14:textId="77777777" w:rsidR="00D8112A" w:rsidRDefault="00000000">
      <w:pPr>
        <w:pStyle w:val="ListParagraph"/>
        <w:numPr>
          <w:ilvl w:val="0"/>
          <w:numId w:val="2"/>
        </w:numPr>
        <w:spacing w:before="60" w:after="60"/>
      </w:pPr>
      <w:r>
        <w:t>Tool: SQLite via DB Browser for SQLite</w:t>
      </w:r>
    </w:p>
    <w:p w14:paraId="4F5E41A7" w14:textId="77777777" w:rsidR="00D8112A" w:rsidRDefault="00000000">
      <w:pPr>
        <w:pStyle w:val="ListParagraph"/>
        <w:numPr>
          <w:ilvl w:val="0"/>
          <w:numId w:val="2"/>
        </w:numPr>
        <w:spacing w:before="60" w:after="60"/>
      </w:pPr>
      <w:r>
        <w:t>Table name: orders</w:t>
      </w:r>
    </w:p>
    <w:p w14:paraId="6E097AA8" w14:textId="77777777" w:rsidR="00D8112A" w:rsidRDefault="00000000">
      <w:pPr>
        <w:pStyle w:val="ListParagraph"/>
        <w:numPr>
          <w:ilvl w:val="0"/>
          <w:numId w:val="2"/>
        </w:numPr>
        <w:spacing w:before="60" w:after="60"/>
      </w:pPr>
      <w:r>
        <w:t>Import method: CSV import with manual data type verification</w:t>
      </w:r>
    </w:p>
    <w:p w14:paraId="7CB37ACF" w14:textId="77777777" w:rsidR="00D8112A" w:rsidRDefault="00000000">
      <w:pPr>
        <w:pStyle w:val="ListParagraph"/>
        <w:numPr>
          <w:ilvl w:val="0"/>
          <w:numId w:val="2"/>
        </w:numPr>
        <w:spacing w:before="60" w:after="60"/>
      </w:pPr>
      <w:r>
        <w:t xml:space="preserve">Date handling: SQLite stores dates as text; </w:t>
      </w:r>
      <w:proofErr w:type="spellStart"/>
      <w:r>
        <w:t>substr</w:t>
      </w:r>
      <w:proofErr w:type="spellEnd"/>
      <w:r>
        <w:t xml:space="preserve">() and </w:t>
      </w:r>
      <w:proofErr w:type="spellStart"/>
      <w:r>
        <w:t>strftime</w:t>
      </w:r>
      <w:proofErr w:type="spellEnd"/>
      <w:r>
        <w:t>() functions used for date extraction</w:t>
      </w:r>
    </w:p>
    <w:p w14:paraId="0C7B5A1A" w14:textId="77777777" w:rsidR="00D8112A" w:rsidRDefault="00000000">
      <w:pPr>
        <w:pStyle w:val="ListParagraph"/>
        <w:numPr>
          <w:ilvl w:val="0"/>
          <w:numId w:val="2"/>
        </w:numPr>
        <w:spacing w:before="60" w:after="60"/>
      </w:pPr>
      <w:r>
        <w:t>Validation step: Performed prior to analysis — see Query 01 below</w:t>
      </w:r>
    </w:p>
    <w:p w14:paraId="733C5782" w14:textId="77777777" w:rsidR="00D8112A" w:rsidRDefault="00000000">
      <w:pPr>
        <w:pStyle w:val="Heading2"/>
      </w:pPr>
      <w:r>
        <w:t>2.2 Query Files — Purpose, Logic, and Findings</w:t>
      </w:r>
    </w:p>
    <w:p w14:paraId="6CF5FBAD" w14:textId="77777777" w:rsidR="00D8112A" w:rsidRDefault="00000000">
      <w:pPr>
        <w:pStyle w:val="Heading3"/>
      </w:pPr>
      <w:r>
        <w:t>Query 01 — Data Validation (01_data_validation.sql)</w:t>
      </w:r>
    </w:p>
    <w:p w14:paraId="33C519F4" w14:textId="77777777" w:rsidR="00D8112A" w:rsidRDefault="00000000">
      <w:pPr>
        <w:spacing w:before="80" w:after="80"/>
      </w:pPr>
      <w:r>
        <w:t>Purpose: Confirm dataset completeness and field integrity before analysis begins.</w:t>
      </w:r>
    </w:p>
    <w:p w14:paraId="2B817418" w14:textId="77777777" w:rsidR="00D8112A" w:rsidRDefault="00000000">
      <w:pPr>
        <w:spacing w:before="80" w:after="80"/>
      </w:pPr>
      <w:r>
        <w:t>Logic: Counts total records, checks for null values in key fields, verifies date ranges, and confirms revenue and profit fields are numeric and non-null.</w:t>
      </w:r>
    </w:p>
    <w:p w14:paraId="204F7704" w14:textId="77777777" w:rsidR="00D8112A" w:rsidRDefault="00000000">
      <w:pPr>
        <w:spacing w:before="80" w:after="80"/>
      </w:pPr>
      <w:r>
        <w:t>Finding: Dataset confirmed as complete and reliable across all key fields. No material data quality issues identified. Total record count consistent with expected transaction volume for a four-year global retail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12A" w14:paraId="3C5E322F" w14:textId="77777777">
        <w:tblPrEx>
          <w:tblCellMar>
            <w:top w:w="0" w:type="dxa"/>
            <w:bottom w:w="0" w:type="dxa"/>
          </w:tblCellMar>
        </w:tblPrEx>
        <w:tc>
          <w:tcPr>
            <w:tcW w:w="9360" w:type="dxa"/>
            <w:tcBorders>
              <w:top w:val="single" w:sz="6" w:space="0" w:color="2E7D52"/>
              <w:left w:val="thick" w:sz="12" w:space="0" w:color="2E7D52"/>
              <w:bottom w:val="single" w:sz="6" w:space="0" w:color="2E7D52"/>
              <w:right w:val="none" w:sz="0" w:space="0" w:color="FFFFFF"/>
            </w:tcBorders>
            <w:shd w:val="clear" w:color="auto" w:fill="EAF4EE"/>
            <w:tcMar>
              <w:top w:w="120" w:type="dxa"/>
              <w:left w:w="200" w:type="dxa"/>
              <w:bottom w:w="120" w:type="dxa"/>
              <w:right w:w="120" w:type="dxa"/>
            </w:tcMar>
          </w:tcPr>
          <w:p w14:paraId="23959412" w14:textId="77777777" w:rsidR="00D8112A" w:rsidRDefault="00000000">
            <w:pPr>
              <w:spacing w:before="60" w:after="60"/>
            </w:pPr>
            <w:r>
              <w:rPr>
                <w:i/>
                <w:iCs/>
              </w:rPr>
              <w:t>Note: Data validation is not a visible output in the dashboard but is documented here as a methodological step. Any serious analytical project should validate data integrity before drawing conclusions from it.</w:t>
            </w:r>
          </w:p>
        </w:tc>
      </w:tr>
    </w:tbl>
    <w:p w14:paraId="04B7FF08" w14:textId="77777777" w:rsidR="00D8112A" w:rsidRDefault="00D8112A">
      <w:pPr>
        <w:spacing w:before="120" w:after="120"/>
      </w:pPr>
    </w:p>
    <w:p w14:paraId="21BF9419" w14:textId="77777777" w:rsidR="00D8112A" w:rsidRDefault="00000000">
      <w:pPr>
        <w:pStyle w:val="Heading3"/>
      </w:pPr>
      <w:r>
        <w:t>Query 02 — Annual Time Series Analysis (02_analysis_time_series.sql)</w:t>
      </w:r>
    </w:p>
    <w:p w14:paraId="4DA153C7" w14:textId="77777777" w:rsidR="00D8112A" w:rsidRDefault="00000000">
      <w:pPr>
        <w:spacing w:before="80" w:after="80"/>
      </w:pPr>
      <w:r>
        <w:t>Purpose: Establish the revenue and profit trajectory of the business over the four-year data period, including year-on-year growth rates and margin movement.</w:t>
      </w:r>
    </w:p>
    <w:p w14:paraId="4117EB2F" w14:textId="77777777" w:rsidR="00D8112A" w:rsidRDefault="00000000">
      <w:pPr>
        <w:spacing w:before="80" w:after="80"/>
      </w:pPr>
      <w:r>
        <w:t xml:space="preserve">Logic: Groups transactions by year using </w:t>
      </w:r>
      <w:proofErr w:type="spellStart"/>
      <w:r>
        <w:t>substr</w:t>
      </w:r>
      <w:proofErr w:type="spellEnd"/>
      <w:r>
        <w:t>(Order Date, 7, 4). Calculates total revenue, Operating Contribution, OC margin %, year-on-year revenue growth, and year-on-year profit growth using LAG() window function in a chained CTE structure.</w:t>
      </w:r>
    </w:p>
    <w:p w14:paraId="4DA64782" w14:textId="77777777" w:rsidR="00D8112A" w:rsidRDefault="00D8112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500"/>
        <w:gridCol w:w="1500"/>
        <w:gridCol w:w="1680"/>
        <w:gridCol w:w="1680"/>
      </w:tblGrid>
      <w:tr w:rsidR="00D8112A" w14:paraId="1366898F" w14:textId="77777777">
        <w:tblPrEx>
          <w:tblCellMar>
            <w:top w:w="0" w:type="dxa"/>
            <w:bottom w:w="0" w:type="dxa"/>
          </w:tblCellMar>
        </w:tblPrEx>
        <w:trPr>
          <w:tblHeader/>
        </w:trPr>
        <w:tc>
          <w:tcPr>
            <w:tcW w:w="12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7F123378" w14:textId="77777777" w:rsidR="00D8112A" w:rsidRDefault="00000000">
            <w:pPr>
              <w:jc w:val="center"/>
            </w:pPr>
            <w:r>
              <w:rPr>
                <w:b/>
                <w:bCs/>
                <w:color w:val="FFFFFF"/>
                <w:sz w:val="20"/>
                <w:szCs w:val="20"/>
              </w:rPr>
              <w:t>Year</w:t>
            </w:r>
          </w:p>
        </w:tc>
        <w:tc>
          <w:tcPr>
            <w:tcW w:w="18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784D7C59" w14:textId="77777777" w:rsidR="00D8112A" w:rsidRDefault="00000000">
            <w:pPr>
              <w:jc w:val="center"/>
            </w:pPr>
            <w:r>
              <w:rPr>
                <w:b/>
                <w:bCs/>
                <w:color w:val="FFFFFF"/>
                <w:sz w:val="20"/>
                <w:szCs w:val="20"/>
              </w:rPr>
              <w:t>Revenue ($)</w:t>
            </w:r>
          </w:p>
        </w:tc>
        <w:tc>
          <w:tcPr>
            <w:tcW w:w="15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4FA868FA" w14:textId="77777777" w:rsidR="00D8112A" w:rsidRDefault="00000000">
            <w:pPr>
              <w:jc w:val="center"/>
            </w:pPr>
            <w:r>
              <w:rPr>
                <w:b/>
                <w:bCs/>
                <w:color w:val="FFFFFF"/>
                <w:sz w:val="20"/>
                <w:szCs w:val="20"/>
              </w:rPr>
              <w:t>OC ($)</w:t>
            </w:r>
          </w:p>
        </w:tc>
        <w:tc>
          <w:tcPr>
            <w:tcW w:w="15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0AD02866" w14:textId="77777777" w:rsidR="00D8112A" w:rsidRDefault="00000000">
            <w:pPr>
              <w:jc w:val="center"/>
            </w:pPr>
            <w:r>
              <w:rPr>
                <w:b/>
                <w:bCs/>
                <w:color w:val="FFFFFF"/>
                <w:sz w:val="20"/>
                <w:szCs w:val="20"/>
              </w:rPr>
              <w:t>OC Margin %</w:t>
            </w:r>
          </w:p>
        </w:tc>
        <w:tc>
          <w:tcPr>
            <w:tcW w:w="168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6EAA81E8" w14:textId="77777777" w:rsidR="00D8112A" w:rsidRDefault="00000000">
            <w:pPr>
              <w:jc w:val="center"/>
            </w:pPr>
            <w:r>
              <w:rPr>
                <w:b/>
                <w:bCs/>
                <w:color w:val="FFFFFF"/>
                <w:sz w:val="20"/>
                <w:szCs w:val="20"/>
              </w:rPr>
              <w:t>YoY Revenue</w:t>
            </w:r>
          </w:p>
        </w:tc>
        <w:tc>
          <w:tcPr>
            <w:tcW w:w="168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1E468B9B" w14:textId="77777777" w:rsidR="00D8112A" w:rsidRDefault="00000000">
            <w:pPr>
              <w:jc w:val="center"/>
            </w:pPr>
            <w:r>
              <w:rPr>
                <w:b/>
                <w:bCs/>
                <w:color w:val="FFFFFF"/>
                <w:sz w:val="20"/>
                <w:szCs w:val="20"/>
              </w:rPr>
              <w:t>YoY OC Growth</w:t>
            </w:r>
          </w:p>
        </w:tc>
      </w:tr>
      <w:tr w:rsidR="00D8112A" w14:paraId="39F2431C"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B7FB07" w14:textId="77777777" w:rsidR="00D8112A" w:rsidRDefault="00000000">
            <w:r>
              <w:rPr>
                <w:sz w:val="20"/>
                <w:szCs w:val="20"/>
              </w:rPr>
              <w:t>2011A</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02631B5" w14:textId="77777777" w:rsidR="00D8112A" w:rsidRDefault="00000000">
            <w:pPr>
              <w:jc w:val="center"/>
            </w:pPr>
            <w:r>
              <w:rPr>
                <w:sz w:val="20"/>
                <w:szCs w:val="20"/>
              </w:rPr>
              <w:t>2,259,451</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4DB163" w14:textId="77777777" w:rsidR="00D8112A" w:rsidRDefault="00000000">
            <w:pPr>
              <w:jc w:val="center"/>
            </w:pPr>
            <w:r>
              <w:rPr>
                <w:sz w:val="20"/>
                <w:szCs w:val="20"/>
              </w:rPr>
              <w:t>248,941</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39B0B7D" w14:textId="77777777" w:rsidR="00D8112A" w:rsidRDefault="00000000">
            <w:pPr>
              <w:jc w:val="center"/>
            </w:pPr>
            <w:r>
              <w:rPr>
                <w:sz w:val="20"/>
                <w:szCs w:val="20"/>
              </w:rPr>
              <w:t>11.0%</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E14A32A" w14:textId="77777777" w:rsidR="00D8112A" w:rsidRDefault="00000000">
            <w:pPr>
              <w:jc w:val="center"/>
            </w:pPr>
            <w:r>
              <w:rPr>
                <w:sz w:val="20"/>
                <w:szCs w:val="20"/>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C43357" w14:textId="77777777" w:rsidR="00D8112A" w:rsidRDefault="00000000">
            <w:pPr>
              <w:jc w:val="center"/>
            </w:pPr>
            <w:r>
              <w:rPr>
                <w:sz w:val="20"/>
                <w:szCs w:val="20"/>
              </w:rPr>
              <w:t>—</w:t>
            </w:r>
          </w:p>
        </w:tc>
      </w:tr>
      <w:tr w:rsidR="00D8112A" w14:paraId="75867620"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1E054CFC" w14:textId="77777777" w:rsidR="00D8112A" w:rsidRDefault="00000000">
            <w:r>
              <w:rPr>
                <w:sz w:val="20"/>
                <w:szCs w:val="20"/>
              </w:rPr>
              <w:t>2012A</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C6721C8" w14:textId="77777777" w:rsidR="00D8112A" w:rsidRDefault="00000000">
            <w:pPr>
              <w:jc w:val="center"/>
            </w:pPr>
            <w:r>
              <w:rPr>
                <w:sz w:val="20"/>
                <w:szCs w:val="20"/>
              </w:rPr>
              <w:t>2,677,439</w:t>
            </w:r>
          </w:p>
        </w:tc>
        <w:tc>
          <w:tcPr>
            <w:tcW w:w="15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2B87E560" w14:textId="77777777" w:rsidR="00D8112A" w:rsidRDefault="00000000">
            <w:pPr>
              <w:jc w:val="center"/>
            </w:pPr>
            <w:r>
              <w:rPr>
                <w:sz w:val="20"/>
                <w:szCs w:val="20"/>
              </w:rPr>
              <w:t>307,415</w:t>
            </w:r>
          </w:p>
        </w:tc>
        <w:tc>
          <w:tcPr>
            <w:tcW w:w="15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1777670C" w14:textId="77777777" w:rsidR="00D8112A" w:rsidRDefault="00000000">
            <w:pPr>
              <w:jc w:val="center"/>
            </w:pPr>
            <w:r>
              <w:rPr>
                <w:sz w:val="20"/>
                <w:szCs w:val="20"/>
              </w:rPr>
              <w:t>11.5%</w:t>
            </w:r>
          </w:p>
        </w:tc>
        <w:tc>
          <w:tcPr>
            <w:tcW w:w="168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AB902A9" w14:textId="77777777" w:rsidR="00D8112A" w:rsidRDefault="00000000">
            <w:pPr>
              <w:jc w:val="center"/>
            </w:pPr>
            <w:r>
              <w:rPr>
                <w:sz w:val="20"/>
                <w:szCs w:val="20"/>
              </w:rPr>
              <w:t>+18.5%</w:t>
            </w:r>
          </w:p>
        </w:tc>
        <w:tc>
          <w:tcPr>
            <w:tcW w:w="168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6A7FC4B" w14:textId="77777777" w:rsidR="00D8112A" w:rsidRDefault="00000000">
            <w:pPr>
              <w:jc w:val="center"/>
            </w:pPr>
            <w:r>
              <w:rPr>
                <w:sz w:val="20"/>
                <w:szCs w:val="20"/>
              </w:rPr>
              <w:t>+23.5%</w:t>
            </w:r>
          </w:p>
        </w:tc>
      </w:tr>
      <w:tr w:rsidR="00D8112A" w14:paraId="3F5E942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26EA242" w14:textId="77777777" w:rsidR="00D8112A" w:rsidRDefault="00000000">
            <w:r>
              <w:rPr>
                <w:sz w:val="20"/>
                <w:szCs w:val="20"/>
              </w:rPr>
              <w:t>2013A</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53A8E7" w14:textId="77777777" w:rsidR="00D8112A" w:rsidRDefault="00000000">
            <w:pPr>
              <w:jc w:val="center"/>
            </w:pPr>
            <w:r>
              <w:rPr>
                <w:sz w:val="20"/>
                <w:szCs w:val="20"/>
              </w:rPr>
              <w:t>3,405,746</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83611D" w14:textId="77777777" w:rsidR="00D8112A" w:rsidRDefault="00000000">
            <w:pPr>
              <w:jc w:val="center"/>
            </w:pPr>
            <w:r>
              <w:rPr>
                <w:sz w:val="20"/>
                <w:szCs w:val="20"/>
              </w:rPr>
              <w:t>406,935</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315C0C" w14:textId="77777777" w:rsidR="00D8112A" w:rsidRDefault="00000000">
            <w:pPr>
              <w:jc w:val="center"/>
            </w:pPr>
            <w:r>
              <w:rPr>
                <w:sz w:val="20"/>
                <w:szCs w:val="20"/>
              </w:rPr>
              <w:t>11.9%</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0A4E8EA" w14:textId="77777777" w:rsidR="00D8112A" w:rsidRDefault="00000000">
            <w:pPr>
              <w:jc w:val="center"/>
            </w:pPr>
            <w:r>
              <w:rPr>
                <w:sz w:val="20"/>
                <w:szCs w:val="20"/>
              </w:rPr>
              <w:t>+27.2%</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882775" w14:textId="77777777" w:rsidR="00D8112A" w:rsidRDefault="00000000">
            <w:pPr>
              <w:jc w:val="center"/>
            </w:pPr>
            <w:r>
              <w:rPr>
                <w:sz w:val="20"/>
                <w:szCs w:val="20"/>
              </w:rPr>
              <w:t>+32.3%</w:t>
            </w:r>
          </w:p>
        </w:tc>
      </w:tr>
      <w:tr w:rsidR="00D8112A" w14:paraId="2CE265A1"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2A66CEE0" w14:textId="77777777" w:rsidR="00D8112A" w:rsidRDefault="00000000">
            <w:r>
              <w:rPr>
                <w:sz w:val="20"/>
                <w:szCs w:val="20"/>
              </w:rPr>
              <w:lastRenderedPageBreak/>
              <w:t>2014A</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51B2305" w14:textId="77777777" w:rsidR="00D8112A" w:rsidRDefault="00000000">
            <w:pPr>
              <w:jc w:val="center"/>
            </w:pPr>
            <w:r>
              <w:rPr>
                <w:sz w:val="20"/>
                <w:szCs w:val="20"/>
              </w:rPr>
              <w:t>4,299,866</w:t>
            </w:r>
          </w:p>
        </w:tc>
        <w:tc>
          <w:tcPr>
            <w:tcW w:w="15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D1B40C5" w14:textId="77777777" w:rsidR="00D8112A" w:rsidRDefault="00000000">
            <w:pPr>
              <w:jc w:val="center"/>
            </w:pPr>
            <w:r>
              <w:rPr>
                <w:sz w:val="20"/>
                <w:szCs w:val="20"/>
              </w:rPr>
              <w:t>504,166</w:t>
            </w:r>
          </w:p>
        </w:tc>
        <w:tc>
          <w:tcPr>
            <w:tcW w:w="15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990AA1E" w14:textId="77777777" w:rsidR="00D8112A" w:rsidRDefault="00000000">
            <w:pPr>
              <w:jc w:val="center"/>
            </w:pPr>
            <w:r>
              <w:rPr>
                <w:sz w:val="20"/>
                <w:szCs w:val="20"/>
              </w:rPr>
              <w:t>11.7%</w:t>
            </w:r>
          </w:p>
        </w:tc>
        <w:tc>
          <w:tcPr>
            <w:tcW w:w="168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1DDB37F6" w14:textId="77777777" w:rsidR="00D8112A" w:rsidRDefault="00000000">
            <w:pPr>
              <w:jc w:val="center"/>
            </w:pPr>
            <w:r>
              <w:rPr>
                <w:sz w:val="20"/>
                <w:szCs w:val="20"/>
              </w:rPr>
              <w:t>+26.3%</w:t>
            </w:r>
          </w:p>
        </w:tc>
        <w:tc>
          <w:tcPr>
            <w:tcW w:w="168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7DFEA3E4" w14:textId="77777777" w:rsidR="00D8112A" w:rsidRDefault="00000000">
            <w:pPr>
              <w:jc w:val="center"/>
            </w:pPr>
            <w:r>
              <w:rPr>
                <w:sz w:val="20"/>
                <w:szCs w:val="20"/>
              </w:rPr>
              <w:t>+23.9%</w:t>
            </w:r>
          </w:p>
        </w:tc>
      </w:tr>
    </w:tbl>
    <w:p w14:paraId="04619873" w14:textId="77777777" w:rsidR="00D8112A" w:rsidRDefault="00D8112A">
      <w:pPr>
        <w:spacing w:before="120" w:after="120"/>
      </w:pPr>
    </w:p>
    <w:p w14:paraId="2F2227C7" w14:textId="77777777" w:rsidR="00D8112A" w:rsidRDefault="00000000">
      <w:pPr>
        <w:pStyle w:val="ListParagraph"/>
        <w:numPr>
          <w:ilvl w:val="0"/>
          <w:numId w:val="2"/>
        </w:numPr>
        <w:spacing w:before="60" w:after="60"/>
      </w:pPr>
      <w:r>
        <w:t>Revenue grew at a 24% compound annual growth rate (CAGR) over the three-year period 2011–2014</w:t>
      </w:r>
    </w:p>
    <w:p w14:paraId="4C5CD961" w14:textId="77777777" w:rsidR="00D8112A" w:rsidRDefault="00000000">
      <w:pPr>
        <w:pStyle w:val="ListParagraph"/>
        <w:numPr>
          <w:ilvl w:val="0"/>
          <w:numId w:val="2"/>
        </w:numPr>
        <w:spacing w:before="60" w:after="60"/>
      </w:pPr>
      <w:r>
        <w:t>Operating Contribution margin held stable in a narrow band of 11.0–11.9%, indicating a predominantly variable cost structure</w:t>
      </w:r>
    </w:p>
    <w:p w14:paraId="210C4125" w14:textId="77777777" w:rsidR="00D8112A" w:rsidRDefault="00000000">
      <w:pPr>
        <w:pStyle w:val="ListParagraph"/>
        <w:numPr>
          <w:ilvl w:val="0"/>
          <w:numId w:val="2"/>
        </w:numPr>
        <w:spacing w:before="60" w:after="60"/>
      </w:pPr>
      <w:r>
        <w:t>Profit growth outpaced revenue growth in 2012 and 2013, suggesting early operating leverage. This reversed in 2014, indicating potential cost pressure or mix deterioration</w:t>
      </w:r>
    </w:p>
    <w:p w14:paraId="6E2BF949" w14:textId="77777777" w:rsidR="00D8112A" w:rsidRDefault="00000000">
      <w:pPr>
        <w:pStyle w:val="ListParagraph"/>
        <w:numPr>
          <w:ilvl w:val="0"/>
          <w:numId w:val="2"/>
        </w:numPr>
        <w:spacing w:before="60" w:after="60"/>
      </w:pPr>
      <w:r>
        <w:t>The margin stability despite significant revenue growth indicates the business has not yet achieved operating leverage — fixed cost absorption is limited</w:t>
      </w:r>
    </w:p>
    <w:p w14:paraId="28076559" w14:textId="77777777" w:rsidR="00D8112A" w:rsidRDefault="00D8112A">
      <w:pPr>
        <w:spacing w:before="120" w:after="120"/>
      </w:pPr>
    </w:p>
    <w:p w14:paraId="3EC7DCAD" w14:textId="77777777" w:rsidR="00D8112A" w:rsidRDefault="00000000">
      <w:pPr>
        <w:pStyle w:val="Heading3"/>
      </w:pPr>
      <w:r>
        <w:t>Query 02.5 — Time Series Analysis by Category (02_5_analysis_time_series_category.sql)</w:t>
      </w:r>
    </w:p>
    <w:p w14:paraId="1469AE6B" w14:textId="77777777" w:rsidR="00D8112A" w:rsidRDefault="00000000">
      <w:pPr>
        <w:spacing w:before="80" w:after="80"/>
      </w:pPr>
      <w:r>
        <w:t>Purpose: Decompose the annual revenue trend by product category to identify whether growth is broad-based or concentrated in specific categories.</w:t>
      </w:r>
    </w:p>
    <w:p w14:paraId="355502FB" w14:textId="77777777" w:rsidR="00D8112A" w:rsidRDefault="00000000">
      <w:pPr>
        <w:spacing w:before="80" w:after="80"/>
      </w:pPr>
      <w:r>
        <w:t>Logic: Extends the time series query by adding Category as a grouping dimension. Calculates revenue and OC margin per category per year, enabling trend comparison across Technology, Office Supplies, and Furniture.</w:t>
      </w:r>
    </w:p>
    <w:p w14:paraId="1960354C" w14:textId="77777777" w:rsidR="00D8112A" w:rsidRDefault="00000000">
      <w:pPr>
        <w:spacing w:before="80" w:after="80"/>
      </w:pPr>
      <w:r>
        <w:t xml:space="preserve">Finding: Technology drove </w:t>
      </w:r>
      <w:proofErr w:type="gramStart"/>
      <w:r>
        <w:t>the majority of</w:t>
      </w:r>
      <w:proofErr w:type="gramEnd"/>
      <w:r>
        <w:t xml:space="preserve"> revenue growth across all four years and consistently delivered the highest margins. Office Supplies showed stable but unspectacular growth. Furniture grew in revenue </w:t>
      </w:r>
      <w:proofErr w:type="gramStart"/>
      <w:r>
        <w:t>terms</w:t>
      </w:r>
      <w:proofErr w:type="gramEnd"/>
      <w:r>
        <w:t xml:space="preserve"> but margin remained consistently weak, indicating volume growth without profitability improvement.</w:t>
      </w:r>
    </w:p>
    <w:p w14:paraId="1AE95D7C" w14:textId="77777777" w:rsidR="00D8112A" w:rsidRDefault="00D8112A">
      <w:pPr>
        <w:spacing w:before="120" w:after="120"/>
      </w:pPr>
    </w:p>
    <w:p w14:paraId="05B40C5B" w14:textId="77777777" w:rsidR="00D8112A" w:rsidRDefault="00000000">
      <w:pPr>
        <w:pStyle w:val="Heading3"/>
      </w:pPr>
      <w:r>
        <w:t>Query 03 — Product Category Analysis (03_product_category_analysis.sql)</w:t>
      </w:r>
    </w:p>
    <w:p w14:paraId="674ABC46" w14:textId="77777777" w:rsidR="00D8112A" w:rsidRDefault="00000000">
      <w:pPr>
        <w:spacing w:before="80" w:after="80"/>
      </w:pPr>
      <w:r>
        <w:t>Purpose: Assess commercial performance at the category level to identify which categories drive value and which consume capacity without proportionate return.</w:t>
      </w:r>
    </w:p>
    <w:p w14:paraId="3925B2A1" w14:textId="77777777" w:rsidR="00D8112A" w:rsidRDefault="00000000">
      <w:pPr>
        <w:spacing w:before="80" w:after="80"/>
      </w:pPr>
      <w:r>
        <w:t>Logic: Groups by Category. Calculates revenue, OC, OC margin %, revenue share as a percentage of total company revenue, and profit contribution as a percentage of total company OC.</w:t>
      </w:r>
    </w:p>
    <w:p w14:paraId="7642A539" w14:textId="77777777" w:rsidR="00D8112A" w:rsidRDefault="00D8112A">
      <w:pPr>
        <w:spacing w:before="120" w:after="120"/>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200"/>
        <w:gridCol w:w="1300"/>
        <w:gridCol w:w="1500"/>
        <w:gridCol w:w="1460"/>
      </w:tblGrid>
      <w:tr w:rsidR="00D8112A" w14:paraId="58470C8E" w14:textId="77777777">
        <w:tblPrEx>
          <w:tblCellMar>
            <w:top w:w="0" w:type="dxa"/>
            <w:bottom w:w="0" w:type="dxa"/>
          </w:tblCellMar>
        </w:tblPrEx>
        <w:trPr>
          <w:tblHeader/>
        </w:trPr>
        <w:tc>
          <w:tcPr>
            <w:tcW w:w="18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75C97AA2" w14:textId="77777777" w:rsidR="00D8112A" w:rsidRDefault="00000000">
            <w:pPr>
              <w:jc w:val="center"/>
            </w:pPr>
            <w:r>
              <w:rPr>
                <w:b/>
                <w:bCs/>
                <w:color w:val="FFFFFF"/>
                <w:sz w:val="20"/>
                <w:szCs w:val="20"/>
              </w:rPr>
              <w:t>Category</w:t>
            </w:r>
          </w:p>
        </w:tc>
        <w:tc>
          <w:tcPr>
            <w:tcW w:w="16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4D728DAA" w14:textId="77777777" w:rsidR="00D8112A" w:rsidRDefault="00000000">
            <w:pPr>
              <w:jc w:val="center"/>
            </w:pPr>
            <w:r>
              <w:rPr>
                <w:b/>
                <w:bCs/>
                <w:color w:val="FFFFFF"/>
                <w:sz w:val="20"/>
                <w:szCs w:val="20"/>
              </w:rPr>
              <w:t>Revenue ($)</w:t>
            </w:r>
          </w:p>
        </w:tc>
        <w:tc>
          <w:tcPr>
            <w:tcW w:w="12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3EB1937E" w14:textId="77777777" w:rsidR="00D8112A" w:rsidRDefault="00000000">
            <w:pPr>
              <w:jc w:val="center"/>
            </w:pPr>
            <w:r>
              <w:rPr>
                <w:b/>
                <w:bCs/>
                <w:color w:val="FFFFFF"/>
                <w:sz w:val="20"/>
                <w:szCs w:val="20"/>
              </w:rPr>
              <w:t>Rev Share</w:t>
            </w:r>
          </w:p>
        </w:tc>
        <w:tc>
          <w:tcPr>
            <w:tcW w:w="13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3D740F5B" w14:textId="77777777" w:rsidR="00D8112A" w:rsidRDefault="00000000">
            <w:pPr>
              <w:jc w:val="center"/>
            </w:pPr>
            <w:r>
              <w:rPr>
                <w:b/>
                <w:bCs/>
                <w:color w:val="FFFFFF"/>
                <w:sz w:val="20"/>
                <w:szCs w:val="20"/>
              </w:rPr>
              <w:t>OC Margin</w:t>
            </w:r>
          </w:p>
        </w:tc>
        <w:tc>
          <w:tcPr>
            <w:tcW w:w="15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287DF3F2" w14:textId="77777777" w:rsidR="00D8112A" w:rsidRDefault="00000000">
            <w:pPr>
              <w:jc w:val="center"/>
            </w:pPr>
            <w:r>
              <w:rPr>
                <w:b/>
                <w:bCs/>
                <w:color w:val="FFFFFF"/>
                <w:sz w:val="20"/>
                <w:szCs w:val="20"/>
              </w:rPr>
              <w:t>OC ($)</w:t>
            </w:r>
          </w:p>
        </w:tc>
        <w:tc>
          <w:tcPr>
            <w:tcW w:w="146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0304553F" w14:textId="77777777" w:rsidR="00D8112A" w:rsidRDefault="00000000">
            <w:pPr>
              <w:jc w:val="center"/>
            </w:pPr>
            <w:r>
              <w:rPr>
                <w:b/>
                <w:bCs/>
                <w:color w:val="FFFFFF"/>
                <w:sz w:val="20"/>
                <w:szCs w:val="20"/>
              </w:rPr>
              <w:t>Profit Contrib.</w:t>
            </w:r>
          </w:p>
        </w:tc>
      </w:tr>
      <w:tr w:rsidR="00D8112A" w14:paraId="0E6E65EF"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8B9860B" w14:textId="77777777" w:rsidR="00D8112A" w:rsidRDefault="00000000">
            <w:r>
              <w:rPr>
                <w:sz w:val="20"/>
                <w:szCs w:val="20"/>
              </w:rPr>
              <w:t>Technology</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583866" w14:textId="77777777" w:rsidR="00D8112A" w:rsidRDefault="00000000">
            <w:pPr>
              <w:jc w:val="center"/>
            </w:pPr>
            <w:r>
              <w:rPr>
                <w:sz w:val="20"/>
                <w:szCs w:val="20"/>
              </w:rPr>
              <w:t>4,744,558</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788A2F" w14:textId="77777777" w:rsidR="00D8112A" w:rsidRDefault="00000000">
            <w:pPr>
              <w:jc w:val="center"/>
            </w:pPr>
            <w:r>
              <w:rPr>
                <w:sz w:val="20"/>
                <w:szCs w:val="20"/>
              </w:rPr>
              <w:t>37.5%</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59DA7C" w14:textId="77777777" w:rsidR="00D8112A" w:rsidRDefault="00000000">
            <w:pPr>
              <w:jc w:val="center"/>
            </w:pPr>
            <w:r>
              <w:rPr>
                <w:sz w:val="20"/>
                <w:szCs w:val="20"/>
              </w:rPr>
              <w:t>14.0%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1F7D5F" w14:textId="77777777" w:rsidR="00D8112A" w:rsidRDefault="00000000">
            <w:pPr>
              <w:jc w:val="center"/>
            </w:pPr>
            <w:r>
              <w:rPr>
                <w:sz w:val="20"/>
                <w:szCs w:val="20"/>
              </w:rPr>
              <w:t>663,779</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F19736F" w14:textId="77777777" w:rsidR="00D8112A" w:rsidRDefault="00000000">
            <w:pPr>
              <w:jc w:val="center"/>
            </w:pPr>
            <w:r>
              <w:rPr>
                <w:sz w:val="20"/>
                <w:szCs w:val="20"/>
              </w:rPr>
              <w:t>45.2%</w:t>
            </w:r>
          </w:p>
        </w:tc>
      </w:tr>
      <w:tr w:rsidR="00D8112A" w14:paraId="6633D253"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C4937FF" w14:textId="77777777" w:rsidR="00D8112A" w:rsidRDefault="00000000">
            <w:r>
              <w:rPr>
                <w:sz w:val="20"/>
                <w:szCs w:val="20"/>
              </w:rPr>
              <w:t>Office Supplies</w:t>
            </w:r>
          </w:p>
        </w:tc>
        <w:tc>
          <w:tcPr>
            <w:tcW w:w="1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FF617FD" w14:textId="77777777" w:rsidR="00D8112A" w:rsidRDefault="00000000">
            <w:pPr>
              <w:jc w:val="center"/>
            </w:pPr>
            <w:r>
              <w:rPr>
                <w:sz w:val="20"/>
                <w:szCs w:val="20"/>
              </w:rPr>
              <w:t>4,110,874</w:t>
            </w:r>
          </w:p>
        </w:tc>
        <w:tc>
          <w:tcPr>
            <w:tcW w:w="1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7F032364" w14:textId="77777777" w:rsidR="00D8112A" w:rsidRDefault="00000000">
            <w:pPr>
              <w:jc w:val="center"/>
            </w:pPr>
            <w:r>
              <w:rPr>
                <w:sz w:val="20"/>
                <w:szCs w:val="20"/>
              </w:rPr>
              <w:t>32.5%</w:t>
            </w:r>
          </w:p>
        </w:tc>
        <w:tc>
          <w:tcPr>
            <w:tcW w:w="13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671B568" w14:textId="77777777" w:rsidR="00D8112A" w:rsidRDefault="00000000">
            <w:pPr>
              <w:jc w:val="center"/>
            </w:pPr>
            <w:r>
              <w:rPr>
                <w:sz w:val="20"/>
                <w:szCs w:val="20"/>
              </w:rPr>
              <w:t>7.0%</w:t>
            </w:r>
          </w:p>
        </w:tc>
        <w:tc>
          <w:tcPr>
            <w:tcW w:w="15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34916D8" w14:textId="77777777" w:rsidR="00D8112A" w:rsidRDefault="00000000">
            <w:pPr>
              <w:jc w:val="center"/>
            </w:pPr>
            <w:r>
              <w:rPr>
                <w:sz w:val="20"/>
                <w:szCs w:val="20"/>
              </w:rPr>
              <w:t>285,205</w:t>
            </w:r>
          </w:p>
        </w:tc>
        <w:tc>
          <w:tcPr>
            <w:tcW w:w="14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65FE41EB" w14:textId="77777777" w:rsidR="00D8112A" w:rsidRDefault="00000000">
            <w:pPr>
              <w:jc w:val="center"/>
            </w:pPr>
            <w:r>
              <w:rPr>
                <w:sz w:val="20"/>
                <w:szCs w:val="20"/>
              </w:rPr>
              <w:t>19.4%</w:t>
            </w:r>
          </w:p>
        </w:tc>
      </w:tr>
      <w:tr w:rsidR="00D8112A" w14:paraId="4A148E24"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18A0F4" w14:textId="77777777" w:rsidR="00D8112A" w:rsidRDefault="00000000">
            <w:r>
              <w:rPr>
                <w:sz w:val="20"/>
                <w:szCs w:val="20"/>
              </w:rPr>
              <w:t>Furniture</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E39292" w14:textId="77777777" w:rsidR="00D8112A" w:rsidRDefault="00000000">
            <w:pPr>
              <w:jc w:val="center"/>
            </w:pPr>
            <w:r>
              <w:rPr>
                <w:sz w:val="20"/>
                <w:szCs w:val="20"/>
              </w:rPr>
              <w:t>3,787,070</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7AD478" w14:textId="77777777" w:rsidR="00D8112A" w:rsidRDefault="00000000">
            <w:pPr>
              <w:jc w:val="center"/>
            </w:pPr>
            <w:r>
              <w:rPr>
                <w:sz w:val="20"/>
                <w:szCs w:val="20"/>
              </w:rPr>
              <w:t>30.0%</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35A283" w14:textId="77777777" w:rsidR="00D8112A" w:rsidRDefault="00000000">
            <w:pPr>
              <w:jc w:val="center"/>
            </w:pPr>
            <w:r>
              <w:rPr>
                <w:sz w:val="20"/>
                <w:szCs w:val="20"/>
              </w:rPr>
              <w:t>14.0%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A847CB" w14:textId="77777777" w:rsidR="00D8112A" w:rsidRDefault="00000000">
            <w:pPr>
              <w:jc w:val="center"/>
            </w:pPr>
            <w:r>
              <w:rPr>
                <w:sz w:val="20"/>
                <w:szCs w:val="20"/>
              </w:rPr>
              <w:t>518,474</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ED7062B" w14:textId="77777777" w:rsidR="00D8112A" w:rsidRDefault="00000000">
            <w:pPr>
              <w:jc w:val="center"/>
            </w:pPr>
            <w:r>
              <w:rPr>
                <w:sz w:val="20"/>
                <w:szCs w:val="20"/>
              </w:rPr>
              <w:t>35.3%</w:t>
            </w:r>
          </w:p>
        </w:tc>
      </w:tr>
    </w:tbl>
    <w:p w14:paraId="119DD1EC" w14:textId="77777777" w:rsidR="00D8112A" w:rsidRDefault="00D8112A">
      <w:pPr>
        <w:spacing w:before="120" w:after="120"/>
      </w:pPr>
    </w:p>
    <w:p w14:paraId="6E8B1237" w14:textId="77777777" w:rsidR="00D8112A" w:rsidRDefault="00000000">
      <w:pPr>
        <w:pStyle w:val="ListParagraph"/>
        <w:numPr>
          <w:ilvl w:val="0"/>
          <w:numId w:val="2"/>
        </w:numPr>
        <w:spacing w:before="60" w:after="60"/>
      </w:pPr>
      <w:r>
        <w:t>Technology and Furniture share an identical OC margin of 14%, both materially above the company average of 11.7%</w:t>
      </w:r>
    </w:p>
    <w:p w14:paraId="6846ACC2" w14:textId="77777777" w:rsidR="00D8112A" w:rsidRDefault="00000000">
      <w:pPr>
        <w:pStyle w:val="ListParagraph"/>
        <w:numPr>
          <w:ilvl w:val="0"/>
          <w:numId w:val="2"/>
        </w:numPr>
        <w:spacing w:before="60" w:after="60"/>
      </w:pPr>
      <w:r>
        <w:lastRenderedPageBreak/>
        <w:t>Office Supplies is the underperforming category at 7% OC margin — half the company average and less than half the margin of Technology and Furniture</w:t>
      </w:r>
    </w:p>
    <w:p w14:paraId="7A5E7427" w14:textId="77777777" w:rsidR="00D8112A" w:rsidRDefault="00000000">
      <w:pPr>
        <w:pStyle w:val="ListParagraph"/>
        <w:numPr>
          <w:ilvl w:val="0"/>
          <w:numId w:val="2"/>
        </w:numPr>
        <w:spacing w:before="60" w:after="60"/>
      </w:pPr>
      <w:r>
        <w:t>Office Supplies generates 32.5% of revenue but only 19.4% of Operating Contribution, indicating significant portfolio inefficiency</w:t>
      </w:r>
    </w:p>
    <w:p w14:paraId="149AE8AB" w14:textId="77777777" w:rsidR="00D8112A" w:rsidRDefault="00000000">
      <w:pPr>
        <w:pStyle w:val="ListParagraph"/>
        <w:numPr>
          <w:ilvl w:val="0"/>
          <w:numId w:val="2"/>
        </w:numPr>
        <w:spacing w:before="60" w:after="60"/>
      </w:pPr>
      <w:r>
        <w:t xml:space="preserve">This is the primary commercial finding of the analysis: Office Supplies </w:t>
      </w:r>
      <w:proofErr w:type="gramStart"/>
      <w:r>
        <w:t>is consuming</w:t>
      </w:r>
      <w:proofErr w:type="gramEnd"/>
      <w:r>
        <w:t xml:space="preserve"> one third of the company’s commercial capacity while generating less than one fifth of its profit</w:t>
      </w:r>
    </w:p>
    <w:p w14:paraId="15DC9C33" w14:textId="77777777" w:rsidR="00D8112A" w:rsidRDefault="00D8112A">
      <w:pPr>
        <w:spacing w:before="120" w:after="120"/>
      </w:pPr>
    </w:p>
    <w:p w14:paraId="4B610D38" w14:textId="77777777" w:rsidR="00D8112A" w:rsidRDefault="00000000">
      <w:pPr>
        <w:pStyle w:val="Heading3"/>
      </w:pPr>
      <w:r>
        <w:t>Query 04 — Product Sub-Category Analysis (04_product_subcategory_analysis.sql)</w:t>
      </w:r>
    </w:p>
    <w:p w14:paraId="6544FC20" w14:textId="77777777" w:rsidR="00D8112A" w:rsidRDefault="00000000">
      <w:pPr>
        <w:spacing w:before="80" w:after="80"/>
      </w:pPr>
      <w:r>
        <w:t>Purpose: Identify performance at the sub-category level to pinpoint specific products driving or destroying value within each category.</w:t>
      </w:r>
    </w:p>
    <w:p w14:paraId="22894F36" w14:textId="77777777" w:rsidR="00D8112A" w:rsidRDefault="00000000">
      <w:pPr>
        <w:spacing w:before="80" w:after="80"/>
      </w:pPr>
      <w:r>
        <w:t>Logic: Groups by Category and Sub-Category. Calculates revenue, OC, and OC margin %, sorted by margin descending to create a ranked performance view.</w:t>
      </w:r>
    </w:p>
    <w:p w14:paraId="08B0A090" w14:textId="77777777" w:rsidR="00D8112A" w:rsidRDefault="00000000">
      <w:pPr>
        <w:spacing w:before="80" w:after="80"/>
      </w:pPr>
      <w:r>
        <w:t>Key findings:</w:t>
      </w:r>
    </w:p>
    <w:p w14:paraId="7B0C74E6" w14:textId="77777777" w:rsidR="00D8112A" w:rsidRDefault="00000000">
      <w:pPr>
        <w:pStyle w:val="ListParagraph"/>
        <w:numPr>
          <w:ilvl w:val="0"/>
          <w:numId w:val="2"/>
        </w:numPr>
        <w:spacing w:before="60" w:after="60"/>
      </w:pPr>
      <w:r>
        <w:t xml:space="preserve">Paper (Office Supplies): highest OC margin at </w:t>
      </w:r>
      <w:proofErr w:type="gramStart"/>
      <w:r>
        <w:t>24% —</w:t>
      </w:r>
      <w:proofErr w:type="gramEnd"/>
      <w:r>
        <w:t xml:space="preserve"> a standout performer within the weakest category</w:t>
      </w:r>
    </w:p>
    <w:p w14:paraId="27ED8B6D" w14:textId="77777777" w:rsidR="00D8112A" w:rsidRDefault="00000000">
      <w:pPr>
        <w:pStyle w:val="ListParagraph"/>
        <w:numPr>
          <w:ilvl w:val="0"/>
          <w:numId w:val="2"/>
        </w:numPr>
        <w:spacing w:before="60" w:after="60"/>
      </w:pPr>
      <w:r>
        <w:t>Labels (Office Supplies): 20% margin, second highest across all sub-categories</w:t>
      </w:r>
    </w:p>
    <w:p w14:paraId="5F0A8F6A" w14:textId="77777777" w:rsidR="00D8112A" w:rsidRDefault="00000000">
      <w:pPr>
        <w:pStyle w:val="ListParagraph"/>
        <w:numPr>
          <w:ilvl w:val="0"/>
          <w:numId w:val="2"/>
        </w:numPr>
        <w:spacing w:before="60" w:after="60"/>
      </w:pPr>
      <w:r>
        <w:t>Copiers (Technology): strong margin contributor</w:t>
      </w:r>
    </w:p>
    <w:p w14:paraId="332CC5E7" w14:textId="77777777" w:rsidR="00D8112A" w:rsidRDefault="00000000">
      <w:pPr>
        <w:pStyle w:val="ListParagraph"/>
        <w:numPr>
          <w:ilvl w:val="0"/>
          <w:numId w:val="2"/>
        </w:numPr>
        <w:spacing w:before="60" w:after="60"/>
      </w:pPr>
      <w:r>
        <w:t>Tables (Furniture): the only loss-making sub-category at -8% OC margin</w:t>
      </w:r>
    </w:p>
    <w:p w14:paraId="57B0F413" w14:textId="77777777" w:rsidR="00D8112A" w:rsidRDefault="00000000">
      <w:pPr>
        <w:pStyle w:val="ListParagraph"/>
        <w:numPr>
          <w:ilvl w:val="0"/>
          <w:numId w:val="2"/>
        </w:numPr>
        <w:spacing w:before="60" w:after="60"/>
      </w:pPr>
      <w:r>
        <w:t>Machines (Technology): weakest Technology sub-category at 8% margin but still profitable</w:t>
      </w:r>
    </w:p>
    <w:p w14:paraId="3A906FD8" w14:textId="77777777" w:rsidR="00D8112A" w:rsidRDefault="00D8112A">
      <w:pPr>
        <w:spacing w:before="120" w:after="120"/>
      </w:pPr>
    </w:p>
    <w:p w14:paraId="521F7D5F" w14:textId="77777777" w:rsidR="00D8112A" w:rsidRDefault="00000000">
      <w:pPr>
        <w:pStyle w:val="Heading3"/>
      </w:pPr>
      <w:r>
        <w:t>Query 05 — Regional Analysis (05_regional_analysis.sql)</w:t>
      </w:r>
    </w:p>
    <w:p w14:paraId="1D197F6E" w14:textId="77777777" w:rsidR="00D8112A" w:rsidRDefault="00000000">
      <w:pPr>
        <w:spacing w:before="80" w:after="80"/>
      </w:pPr>
      <w:r>
        <w:t>Purpose: Assess geographic performance to identify revenue concentration risk and margin variance across regions.</w:t>
      </w:r>
    </w:p>
    <w:p w14:paraId="763A513C" w14:textId="77777777" w:rsidR="00D8112A" w:rsidRDefault="00000000">
      <w:pPr>
        <w:spacing w:before="80" w:after="80"/>
      </w:pPr>
      <w:r>
        <w:t xml:space="preserve">Logic: Groups by Region. </w:t>
      </w:r>
      <w:proofErr w:type="gramStart"/>
      <w:r>
        <w:t>Calculates</w:t>
      </w:r>
      <w:proofErr w:type="gramEnd"/>
      <w:r>
        <w:t xml:space="preserve"> revenue, OC margin %, and revenue share. Results sorted by revenue descending.</w:t>
      </w:r>
    </w:p>
    <w:p w14:paraId="364B666E" w14:textId="77777777" w:rsidR="00D8112A" w:rsidRDefault="00000000">
      <w:pPr>
        <w:spacing w:before="80" w:after="80"/>
      </w:pPr>
      <w:r>
        <w:t>Key findings:</w:t>
      </w:r>
    </w:p>
    <w:p w14:paraId="05A558B7" w14:textId="77777777" w:rsidR="00D8112A" w:rsidRDefault="00000000">
      <w:pPr>
        <w:pStyle w:val="ListParagraph"/>
        <w:numPr>
          <w:ilvl w:val="0"/>
          <w:numId w:val="2"/>
        </w:numPr>
        <w:spacing w:before="60" w:after="60"/>
      </w:pPr>
      <w:r>
        <w:t>Revenue is concentrated in a small number of high-volume regions, creating geographic concentration risk</w:t>
      </w:r>
    </w:p>
    <w:p w14:paraId="33491449" w14:textId="77777777" w:rsidR="00D8112A" w:rsidRDefault="00000000">
      <w:pPr>
        <w:pStyle w:val="ListParagraph"/>
        <w:numPr>
          <w:ilvl w:val="0"/>
          <w:numId w:val="2"/>
        </w:numPr>
        <w:spacing w:before="60" w:after="60"/>
      </w:pPr>
      <w:r>
        <w:t>Margin varies significantly across regions, from below 5% in underperforming markets to above 20% in high-efficiency regions</w:t>
      </w:r>
    </w:p>
    <w:p w14:paraId="159C0A04" w14:textId="77777777" w:rsidR="00D8112A" w:rsidRDefault="00000000">
      <w:pPr>
        <w:pStyle w:val="ListParagraph"/>
        <w:numPr>
          <w:ilvl w:val="0"/>
          <w:numId w:val="2"/>
        </w:numPr>
        <w:spacing w:before="60" w:after="60"/>
      </w:pPr>
      <w:r>
        <w:t>Canada emerges as an outlier with exceptionally high margin relative to its revenue contribution, warranting further investigation</w:t>
      </w:r>
    </w:p>
    <w:p w14:paraId="1E38F899" w14:textId="77777777" w:rsidR="00D8112A" w:rsidRDefault="00000000">
      <w:pPr>
        <w:pStyle w:val="ListParagraph"/>
        <w:numPr>
          <w:ilvl w:val="0"/>
          <w:numId w:val="2"/>
        </w:numPr>
        <w:spacing w:before="60" w:after="60"/>
      </w:pPr>
      <w:r>
        <w:t>Southeast Asia shows weak margin performance suggesting cost-to-serve challenges or pricing pressure in that market</w:t>
      </w:r>
    </w:p>
    <w:p w14:paraId="0AA5C174" w14:textId="77777777" w:rsidR="00D8112A" w:rsidRDefault="00D8112A">
      <w:pPr>
        <w:spacing w:before="120" w:after="120"/>
      </w:pPr>
    </w:p>
    <w:p w14:paraId="13FB37A4" w14:textId="77777777" w:rsidR="00D8112A" w:rsidRDefault="00000000">
      <w:pPr>
        <w:pStyle w:val="Heading3"/>
      </w:pPr>
      <w:r>
        <w:t>Query 06 — Customer Segment Analysis (06_customer_segment_analysis.sql)</w:t>
      </w:r>
    </w:p>
    <w:p w14:paraId="27924068" w14:textId="77777777" w:rsidR="00D8112A" w:rsidRDefault="00000000">
      <w:pPr>
        <w:spacing w:before="80" w:after="80"/>
      </w:pPr>
      <w:r>
        <w:t>Purpose: Assess customer mix to identify concentration risk and segment-level profitability differences.</w:t>
      </w:r>
    </w:p>
    <w:p w14:paraId="30BDA79B" w14:textId="77777777" w:rsidR="00D8112A" w:rsidRDefault="00000000">
      <w:pPr>
        <w:spacing w:before="80" w:after="80"/>
      </w:pPr>
      <w:r>
        <w:lastRenderedPageBreak/>
        <w:t>Logic: Groups by customer Segment (Consumer, Corporate, Home Office). Calculates revenue, OC margin %, and revenue share per segment.</w:t>
      </w:r>
    </w:p>
    <w:p w14:paraId="76D3A645" w14:textId="77777777" w:rsidR="00D8112A" w:rsidRDefault="00D8112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700"/>
        <w:gridCol w:w="3860"/>
      </w:tblGrid>
      <w:tr w:rsidR="00D8112A" w14:paraId="1391AEA8" w14:textId="77777777">
        <w:tblPrEx>
          <w:tblCellMar>
            <w:top w:w="0" w:type="dxa"/>
            <w:bottom w:w="0" w:type="dxa"/>
          </w:tblCellMar>
        </w:tblPrEx>
        <w:trPr>
          <w:tblHeader/>
        </w:trPr>
        <w:tc>
          <w:tcPr>
            <w:tcW w:w="20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309E916A" w14:textId="77777777" w:rsidR="00D8112A" w:rsidRDefault="00000000">
            <w:pPr>
              <w:jc w:val="center"/>
            </w:pPr>
            <w:r>
              <w:rPr>
                <w:b/>
                <w:bCs/>
                <w:color w:val="FFFFFF"/>
                <w:sz w:val="20"/>
                <w:szCs w:val="20"/>
              </w:rPr>
              <w:t>Segment</w:t>
            </w:r>
          </w:p>
        </w:tc>
        <w:tc>
          <w:tcPr>
            <w:tcW w:w="18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4E3D5C29" w14:textId="77777777" w:rsidR="00D8112A" w:rsidRDefault="00000000">
            <w:pPr>
              <w:jc w:val="center"/>
            </w:pPr>
            <w:r>
              <w:rPr>
                <w:b/>
                <w:bCs/>
                <w:color w:val="FFFFFF"/>
                <w:sz w:val="20"/>
                <w:szCs w:val="20"/>
              </w:rPr>
              <w:t>Revenue Share</w:t>
            </w:r>
          </w:p>
        </w:tc>
        <w:tc>
          <w:tcPr>
            <w:tcW w:w="17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230563C4" w14:textId="77777777" w:rsidR="00D8112A" w:rsidRDefault="00000000">
            <w:pPr>
              <w:jc w:val="center"/>
            </w:pPr>
            <w:r>
              <w:rPr>
                <w:b/>
                <w:bCs/>
                <w:color w:val="FFFFFF"/>
                <w:sz w:val="20"/>
                <w:szCs w:val="20"/>
              </w:rPr>
              <w:t>OC Margin</w:t>
            </w:r>
          </w:p>
        </w:tc>
        <w:tc>
          <w:tcPr>
            <w:tcW w:w="386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20D12C00" w14:textId="77777777" w:rsidR="00D8112A" w:rsidRDefault="00000000">
            <w:pPr>
              <w:jc w:val="center"/>
            </w:pPr>
            <w:r>
              <w:rPr>
                <w:b/>
                <w:bCs/>
                <w:color w:val="FFFFFF"/>
                <w:sz w:val="20"/>
                <w:szCs w:val="20"/>
              </w:rPr>
              <w:t>Risk Assessment</w:t>
            </w:r>
          </w:p>
        </w:tc>
      </w:tr>
      <w:tr w:rsidR="00D8112A" w14:paraId="1AA020FB"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6E60E6A" w14:textId="77777777" w:rsidR="00D8112A" w:rsidRDefault="00000000">
            <w:r>
              <w:rPr>
                <w:sz w:val="20"/>
                <w:szCs w:val="20"/>
              </w:rPr>
              <w:t>Consumer</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2C3D8DD" w14:textId="77777777" w:rsidR="00D8112A" w:rsidRDefault="00000000">
            <w:pPr>
              <w:jc w:val="center"/>
            </w:pPr>
            <w:r>
              <w:rPr>
                <w:sz w:val="20"/>
                <w:szCs w:val="20"/>
              </w:rPr>
              <w:t>51.5%</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E6386C1" w14:textId="77777777" w:rsidR="00D8112A" w:rsidRDefault="00000000">
            <w:pPr>
              <w:jc w:val="center"/>
            </w:pPr>
            <w:r>
              <w:rPr>
                <w:sz w:val="20"/>
                <w:szCs w:val="20"/>
              </w:rPr>
              <w:t>~11.7%</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35663E" w14:textId="77777777" w:rsidR="00D8112A" w:rsidRDefault="00000000">
            <w:pPr>
              <w:jc w:val="center"/>
            </w:pPr>
            <w:r>
              <w:rPr>
                <w:sz w:val="20"/>
                <w:szCs w:val="20"/>
              </w:rPr>
              <w:t>Dominant segment — monitor concentration</w:t>
            </w:r>
          </w:p>
        </w:tc>
      </w:tr>
      <w:tr w:rsidR="00D8112A" w14:paraId="64303ECE"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C1E0977" w14:textId="77777777" w:rsidR="00D8112A" w:rsidRDefault="00000000">
            <w:r>
              <w:rPr>
                <w:sz w:val="20"/>
                <w:szCs w:val="20"/>
              </w:rPr>
              <w:t>Corporate</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775DCA42" w14:textId="77777777" w:rsidR="00D8112A" w:rsidRDefault="00000000">
            <w:pPr>
              <w:jc w:val="center"/>
            </w:pPr>
            <w:r>
              <w:rPr>
                <w:sz w:val="20"/>
                <w:szCs w:val="20"/>
              </w:rPr>
              <w:t>30.3%</w:t>
            </w:r>
          </w:p>
        </w:tc>
        <w:tc>
          <w:tcPr>
            <w:tcW w:w="17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6425305F" w14:textId="77777777" w:rsidR="00D8112A" w:rsidRDefault="00000000">
            <w:pPr>
              <w:jc w:val="center"/>
            </w:pPr>
            <w:r>
              <w:rPr>
                <w:sz w:val="20"/>
                <w:szCs w:val="20"/>
              </w:rPr>
              <w:t>~11.7%</w:t>
            </w:r>
          </w:p>
        </w:tc>
        <w:tc>
          <w:tcPr>
            <w:tcW w:w="38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1BDAA05" w14:textId="77777777" w:rsidR="00D8112A" w:rsidRDefault="00000000">
            <w:pPr>
              <w:jc w:val="center"/>
            </w:pPr>
            <w:r>
              <w:rPr>
                <w:sz w:val="20"/>
                <w:szCs w:val="20"/>
              </w:rPr>
              <w:t>Balanced contributor</w:t>
            </w:r>
          </w:p>
        </w:tc>
      </w:tr>
      <w:tr w:rsidR="00D8112A" w14:paraId="2859BECF"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E65F7F" w14:textId="77777777" w:rsidR="00D8112A" w:rsidRDefault="00000000">
            <w:r>
              <w:rPr>
                <w:sz w:val="20"/>
                <w:szCs w:val="20"/>
              </w:rPr>
              <w:t>Home Office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5EA62E2" w14:textId="77777777" w:rsidR="00D8112A" w:rsidRDefault="00000000">
            <w:pPr>
              <w:jc w:val="center"/>
            </w:pPr>
            <w:r>
              <w:rPr>
                <w:sz w:val="20"/>
                <w:szCs w:val="20"/>
              </w:rPr>
              <w:t>18.3%</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E0201E" w14:textId="77777777" w:rsidR="00D8112A" w:rsidRDefault="00000000">
            <w:pPr>
              <w:jc w:val="center"/>
            </w:pPr>
            <w:r>
              <w:rPr>
                <w:sz w:val="20"/>
                <w:szCs w:val="20"/>
              </w:rPr>
              <w:t>~11.7%</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03CD23A" w14:textId="77777777" w:rsidR="00D8112A" w:rsidRDefault="00000000">
            <w:pPr>
              <w:jc w:val="center"/>
            </w:pPr>
            <w:r>
              <w:rPr>
                <w:sz w:val="20"/>
                <w:szCs w:val="20"/>
              </w:rPr>
              <w:t>Smallest segment, stable margins</w:t>
            </w:r>
          </w:p>
        </w:tc>
      </w:tr>
    </w:tbl>
    <w:p w14:paraId="15F9C678" w14:textId="77777777" w:rsidR="00D8112A" w:rsidRDefault="00D8112A">
      <w:pPr>
        <w:spacing w:before="120" w:after="120"/>
      </w:pPr>
    </w:p>
    <w:p w14:paraId="2A3FB712" w14:textId="77777777" w:rsidR="00D8112A" w:rsidRDefault="00000000">
      <w:pPr>
        <w:pStyle w:val="ListParagraph"/>
        <w:numPr>
          <w:ilvl w:val="0"/>
          <w:numId w:val="2"/>
        </w:numPr>
        <w:spacing w:before="60" w:after="60"/>
      </w:pPr>
      <w:r>
        <w:t>No segment exceeds 55% of revenue, indicating a reasonably diversified customer base</w:t>
      </w:r>
    </w:p>
    <w:p w14:paraId="695F0055" w14:textId="77777777" w:rsidR="00D8112A" w:rsidRDefault="00000000">
      <w:pPr>
        <w:pStyle w:val="ListParagraph"/>
        <w:numPr>
          <w:ilvl w:val="0"/>
          <w:numId w:val="2"/>
        </w:numPr>
        <w:spacing w:before="60" w:after="60"/>
      </w:pPr>
      <w:r>
        <w:t>Margins are broadly consistent across all three segments, indicating no significant customer-mix profitability risk</w:t>
      </w:r>
    </w:p>
    <w:p w14:paraId="7C9CB210" w14:textId="77777777" w:rsidR="00D8112A" w:rsidRDefault="00000000">
      <w:pPr>
        <w:pStyle w:val="ListParagraph"/>
        <w:numPr>
          <w:ilvl w:val="0"/>
          <w:numId w:val="2"/>
        </w:numPr>
        <w:spacing w:before="60" w:after="60"/>
      </w:pPr>
      <w:r>
        <w:t>Consumer segment at 51.5% is the largest single segment and warrants monitoring for concentration risk in any acquisition scenario</w:t>
      </w:r>
    </w:p>
    <w:p w14:paraId="22681350" w14:textId="77777777" w:rsidR="00D8112A" w:rsidRDefault="00D8112A">
      <w:pPr>
        <w:spacing w:before="120" w:after="120"/>
      </w:pPr>
    </w:p>
    <w:p w14:paraId="0DB9B583" w14:textId="77777777" w:rsidR="00D8112A" w:rsidRDefault="00000000">
      <w:pPr>
        <w:pStyle w:val="Heading3"/>
      </w:pPr>
      <w:r>
        <w:t>Query 07 — Profit Contribution Analysis (07_profit_contribution.sql)</w:t>
      </w:r>
    </w:p>
    <w:p w14:paraId="28752713" w14:textId="77777777" w:rsidR="00D8112A" w:rsidRDefault="00000000">
      <w:pPr>
        <w:spacing w:before="80" w:after="80"/>
      </w:pPr>
      <w:r>
        <w:t xml:space="preserve">Purpose: Directly compare each category’s revenue share with its profit contribution to identify portfolio efficiency gaps. This is the </w:t>
      </w:r>
      <w:proofErr w:type="gramStart"/>
      <w:r>
        <w:t>most analytically</w:t>
      </w:r>
      <w:proofErr w:type="gramEnd"/>
      <w:r>
        <w:t xml:space="preserve"> significant query in the project.</w:t>
      </w:r>
    </w:p>
    <w:p w14:paraId="3168DE7E" w14:textId="77777777" w:rsidR="00D8112A" w:rsidRDefault="00000000">
      <w:pPr>
        <w:spacing w:before="80" w:after="80"/>
      </w:pPr>
      <w:r>
        <w:t>Logic: Uses a CTE to calculate category-level OC, then divides by company-total OC to derive profit contribution percentage. The gap between revenue share and profit contribution is calculated as a signed percentage point figure.</w:t>
      </w:r>
    </w:p>
    <w:p w14:paraId="1F2C5268" w14:textId="77777777" w:rsidR="00D8112A" w:rsidRDefault="00000000">
      <w:pPr>
        <w:pStyle w:val="ListParagraph"/>
        <w:numPr>
          <w:ilvl w:val="0"/>
          <w:numId w:val="2"/>
        </w:numPr>
        <w:spacing w:before="60" w:after="60"/>
      </w:pPr>
      <w:r>
        <w:t>Technology: +7.7 ppts over-contribution (45.2% profit from 37.5% revenue)</w:t>
      </w:r>
    </w:p>
    <w:p w14:paraId="02620FF7" w14:textId="77777777" w:rsidR="00D8112A" w:rsidRDefault="00000000">
      <w:pPr>
        <w:pStyle w:val="ListParagraph"/>
        <w:numPr>
          <w:ilvl w:val="0"/>
          <w:numId w:val="2"/>
        </w:numPr>
        <w:spacing w:before="60" w:after="60"/>
      </w:pPr>
      <w:r>
        <w:t>Furniture: +5.3 ppts over-contribution (35.3% profit from 30.0% revenue)</w:t>
      </w:r>
    </w:p>
    <w:p w14:paraId="070B2258" w14:textId="77777777" w:rsidR="00D8112A" w:rsidRDefault="00000000">
      <w:pPr>
        <w:pStyle w:val="ListParagraph"/>
        <w:numPr>
          <w:ilvl w:val="0"/>
          <w:numId w:val="2"/>
        </w:numPr>
        <w:spacing w:before="60" w:after="60"/>
      </w:pPr>
      <w:r>
        <w:t>Office Supplies: -13.1 ppts under-contribution (19.4% profit from 32.5% revenue)</w:t>
      </w:r>
    </w:p>
    <w:p w14:paraId="51313282" w14:textId="77777777" w:rsidR="00D8112A" w:rsidRDefault="00000000">
      <w:pPr>
        <w:spacing w:before="80" w:after="80"/>
      </w:pPr>
      <w:r>
        <w:t>This query provides the quantitative foundation for the portfolio inefficiency finding and directly informs Value Creation Scenario B.</w:t>
      </w:r>
    </w:p>
    <w:p w14:paraId="676B79F6" w14:textId="77777777" w:rsidR="00D8112A" w:rsidRDefault="00D8112A">
      <w:pPr>
        <w:spacing w:before="120" w:after="120"/>
      </w:pPr>
    </w:p>
    <w:p w14:paraId="2132ADA2" w14:textId="77777777" w:rsidR="00D8112A" w:rsidRDefault="00000000">
      <w:pPr>
        <w:pStyle w:val="Heading3"/>
      </w:pPr>
      <w:r>
        <w:t>Query 08 — Discount Analysis (08_discount_analysis.sql)</w:t>
      </w:r>
    </w:p>
    <w:p w14:paraId="303BDC78" w14:textId="77777777" w:rsidR="00D8112A" w:rsidRDefault="00000000">
      <w:pPr>
        <w:spacing w:before="80" w:after="80"/>
      </w:pPr>
      <w:r>
        <w:t>Purpose: Assess discount rates by category and identify whether margin weakness is attributable to excessive discounting (a pricing problem) or structural cost issues.</w:t>
      </w:r>
    </w:p>
    <w:p w14:paraId="0385BF6A" w14:textId="77777777" w:rsidR="00D8112A" w:rsidRDefault="00000000">
      <w:pPr>
        <w:spacing w:before="80" w:after="80"/>
      </w:pPr>
      <w:r>
        <w:t>Logic: Calculates average discount rate using AVG(Discount) grouped by Category. Company average calculated separately using a subquery.</w:t>
      </w:r>
    </w:p>
    <w:p w14:paraId="3D0CF47D" w14:textId="77777777" w:rsidR="00D8112A" w:rsidRDefault="00D8112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20"/>
        <w:gridCol w:w="4120"/>
      </w:tblGrid>
      <w:tr w:rsidR="00D8112A" w14:paraId="5FE67E4A" w14:textId="77777777">
        <w:tblPrEx>
          <w:tblCellMar>
            <w:top w:w="0" w:type="dxa"/>
            <w:bottom w:w="0" w:type="dxa"/>
          </w:tblCellMar>
        </w:tblPrEx>
        <w:trPr>
          <w:tblHeader/>
        </w:trPr>
        <w:tc>
          <w:tcPr>
            <w:tcW w:w="312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350C34FB" w14:textId="77777777" w:rsidR="00D8112A" w:rsidRDefault="00000000">
            <w:pPr>
              <w:jc w:val="center"/>
            </w:pPr>
            <w:r>
              <w:rPr>
                <w:b/>
                <w:bCs/>
                <w:color w:val="FFFFFF"/>
                <w:sz w:val="20"/>
                <w:szCs w:val="20"/>
              </w:rPr>
              <w:t>Category / Level</w:t>
            </w:r>
          </w:p>
        </w:tc>
        <w:tc>
          <w:tcPr>
            <w:tcW w:w="212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3059454B" w14:textId="77777777" w:rsidR="00D8112A" w:rsidRDefault="00000000">
            <w:pPr>
              <w:jc w:val="center"/>
            </w:pPr>
            <w:r>
              <w:rPr>
                <w:b/>
                <w:bCs/>
                <w:color w:val="FFFFFF"/>
                <w:sz w:val="20"/>
                <w:szCs w:val="20"/>
              </w:rPr>
              <w:t>Average Discount Rate</w:t>
            </w:r>
          </w:p>
        </w:tc>
        <w:tc>
          <w:tcPr>
            <w:tcW w:w="412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6BC42C5B" w14:textId="77777777" w:rsidR="00D8112A" w:rsidRDefault="00000000">
            <w:pPr>
              <w:jc w:val="center"/>
            </w:pPr>
            <w:r>
              <w:rPr>
                <w:b/>
                <w:bCs/>
                <w:color w:val="FFFFFF"/>
                <w:sz w:val="20"/>
                <w:szCs w:val="20"/>
              </w:rPr>
              <w:t>vs Company Average</w:t>
            </w:r>
          </w:p>
        </w:tc>
      </w:tr>
      <w:tr w:rsidR="00D8112A" w14:paraId="266A6F52"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887D7FE" w14:textId="77777777" w:rsidR="00D8112A" w:rsidRDefault="00000000">
            <w:r>
              <w:rPr>
                <w:sz w:val="20"/>
                <w:szCs w:val="20"/>
              </w:rPr>
              <w:t>Company Average</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E75EF74" w14:textId="77777777" w:rsidR="00D8112A" w:rsidRDefault="00000000">
            <w:pPr>
              <w:jc w:val="center"/>
            </w:pPr>
            <w:r>
              <w:rPr>
                <w:sz w:val="20"/>
                <w:szCs w:val="20"/>
              </w:rPr>
              <w:t>14.3%</w:t>
            </w:r>
          </w:p>
        </w:tc>
        <w:tc>
          <w:tcPr>
            <w:tcW w:w="4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704096" w14:textId="77777777" w:rsidR="00D8112A" w:rsidRDefault="00000000">
            <w:pPr>
              <w:jc w:val="center"/>
            </w:pPr>
            <w:r>
              <w:rPr>
                <w:sz w:val="20"/>
                <w:szCs w:val="20"/>
              </w:rPr>
              <w:t>—</w:t>
            </w:r>
          </w:p>
        </w:tc>
      </w:tr>
      <w:tr w:rsidR="00D8112A" w14:paraId="41C602CF"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C3D5270" w14:textId="77777777" w:rsidR="00D8112A" w:rsidRDefault="00000000">
            <w:r>
              <w:rPr>
                <w:sz w:val="20"/>
                <w:szCs w:val="20"/>
              </w:rPr>
              <w:t>Technology</w:t>
            </w:r>
          </w:p>
        </w:tc>
        <w:tc>
          <w:tcPr>
            <w:tcW w:w="212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7906EA0" w14:textId="77777777" w:rsidR="00D8112A" w:rsidRDefault="00000000">
            <w:pPr>
              <w:jc w:val="center"/>
            </w:pPr>
            <w:r>
              <w:rPr>
                <w:sz w:val="20"/>
                <w:szCs w:val="20"/>
              </w:rPr>
              <w:t>14.4%</w:t>
            </w:r>
          </w:p>
        </w:tc>
        <w:tc>
          <w:tcPr>
            <w:tcW w:w="412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AF0C518" w14:textId="77777777" w:rsidR="00D8112A" w:rsidRDefault="00000000">
            <w:pPr>
              <w:jc w:val="center"/>
            </w:pPr>
            <w:r>
              <w:rPr>
                <w:sz w:val="20"/>
                <w:szCs w:val="20"/>
              </w:rPr>
              <w:t>+0.1 ppts</w:t>
            </w:r>
          </w:p>
        </w:tc>
      </w:tr>
      <w:tr w:rsidR="00D8112A" w14:paraId="5D8355C1"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6697EA" w14:textId="77777777" w:rsidR="00D8112A" w:rsidRDefault="00000000">
            <w:r>
              <w:rPr>
                <w:sz w:val="20"/>
                <w:szCs w:val="20"/>
              </w:rPr>
              <w:t>Office Supplies</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EDEC83E" w14:textId="77777777" w:rsidR="00D8112A" w:rsidRDefault="00000000">
            <w:pPr>
              <w:jc w:val="center"/>
            </w:pPr>
            <w:r>
              <w:rPr>
                <w:sz w:val="20"/>
                <w:szCs w:val="20"/>
              </w:rPr>
              <w:t>13.7%</w:t>
            </w:r>
          </w:p>
        </w:tc>
        <w:tc>
          <w:tcPr>
            <w:tcW w:w="4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B4E35D" w14:textId="77777777" w:rsidR="00D8112A" w:rsidRDefault="00000000">
            <w:pPr>
              <w:jc w:val="center"/>
            </w:pPr>
            <w:r>
              <w:rPr>
                <w:sz w:val="20"/>
                <w:szCs w:val="20"/>
              </w:rPr>
              <w:t>-0.6 ppts</w:t>
            </w:r>
          </w:p>
        </w:tc>
      </w:tr>
      <w:tr w:rsidR="00D8112A" w14:paraId="78A9AF87"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127DA754" w14:textId="77777777" w:rsidR="00D8112A" w:rsidRDefault="00000000">
            <w:r>
              <w:rPr>
                <w:sz w:val="20"/>
                <w:szCs w:val="20"/>
              </w:rPr>
              <w:lastRenderedPageBreak/>
              <w:t>Furniture</w:t>
            </w:r>
          </w:p>
        </w:tc>
        <w:tc>
          <w:tcPr>
            <w:tcW w:w="212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79890FAA" w14:textId="77777777" w:rsidR="00D8112A" w:rsidRDefault="00000000">
            <w:pPr>
              <w:jc w:val="center"/>
            </w:pPr>
            <w:r>
              <w:rPr>
                <w:sz w:val="20"/>
                <w:szCs w:val="20"/>
              </w:rPr>
              <w:t>18.75%</w:t>
            </w:r>
          </w:p>
        </w:tc>
        <w:tc>
          <w:tcPr>
            <w:tcW w:w="412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1A2AD7E8" w14:textId="77777777" w:rsidR="00D8112A" w:rsidRDefault="00000000">
            <w:pPr>
              <w:jc w:val="center"/>
            </w:pPr>
            <w:r>
              <w:rPr>
                <w:sz w:val="20"/>
                <w:szCs w:val="20"/>
              </w:rPr>
              <w:t>+4.45 ppts</w:t>
            </w:r>
          </w:p>
        </w:tc>
      </w:tr>
      <w:tr w:rsidR="00D8112A" w14:paraId="13E10EB6"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BFBC7D" w14:textId="77777777" w:rsidR="00D8112A" w:rsidRDefault="00000000">
            <w:r>
              <w:rPr>
                <w:sz w:val="20"/>
                <w:szCs w:val="20"/>
              </w:rPr>
              <w:t>Tables (sub-category)</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6AED75B" w14:textId="77777777" w:rsidR="00D8112A" w:rsidRDefault="00000000">
            <w:pPr>
              <w:jc w:val="center"/>
            </w:pPr>
            <w:r>
              <w:rPr>
                <w:sz w:val="20"/>
                <w:szCs w:val="20"/>
              </w:rPr>
              <w:t>29.0%</w:t>
            </w:r>
          </w:p>
        </w:tc>
        <w:tc>
          <w:tcPr>
            <w:tcW w:w="4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C88B6FF" w14:textId="77777777" w:rsidR="00D8112A" w:rsidRDefault="00000000">
            <w:pPr>
              <w:jc w:val="center"/>
            </w:pPr>
            <w:r>
              <w:rPr>
                <w:sz w:val="20"/>
                <w:szCs w:val="20"/>
              </w:rPr>
              <w:t>+14.7 ppts</w:t>
            </w:r>
          </w:p>
        </w:tc>
      </w:tr>
    </w:tbl>
    <w:p w14:paraId="3BFE06D4" w14:textId="77777777" w:rsidR="00D8112A" w:rsidRDefault="00D8112A">
      <w:pPr>
        <w:spacing w:before="120" w:after="120"/>
      </w:pPr>
    </w:p>
    <w:p w14:paraId="1B58BB06" w14:textId="77777777" w:rsidR="00D8112A" w:rsidRDefault="00000000">
      <w:pPr>
        <w:pStyle w:val="ListParagraph"/>
        <w:numPr>
          <w:ilvl w:val="0"/>
          <w:numId w:val="2"/>
        </w:numPr>
        <w:spacing w:before="60" w:after="60"/>
      </w:pPr>
      <w:r>
        <w:t xml:space="preserve">Office Supplies </w:t>
      </w:r>
      <w:proofErr w:type="gramStart"/>
      <w:r>
        <w:t>has</w:t>
      </w:r>
      <w:proofErr w:type="gramEnd"/>
      <w:r>
        <w:t xml:space="preserve"> below-average discounting at 13.7%, confirming its margin weakness is cost-driven rather than price-driven</w:t>
      </w:r>
    </w:p>
    <w:p w14:paraId="360B9E03" w14:textId="77777777" w:rsidR="00D8112A" w:rsidRDefault="00000000">
      <w:pPr>
        <w:pStyle w:val="ListParagraph"/>
        <w:numPr>
          <w:ilvl w:val="0"/>
          <w:numId w:val="2"/>
        </w:numPr>
        <w:spacing w:before="60" w:after="60"/>
      </w:pPr>
      <w:r>
        <w:t xml:space="preserve">Furniture as a category has above-average </w:t>
      </w:r>
      <w:proofErr w:type="gramStart"/>
      <w:r>
        <w:t>discounting</w:t>
      </w:r>
      <w:proofErr w:type="gramEnd"/>
      <w:r>
        <w:t xml:space="preserve"> at 18.75%, but its overall margin of 14% suggests this is manageable</w:t>
      </w:r>
    </w:p>
    <w:p w14:paraId="76B9A1D8" w14:textId="77777777" w:rsidR="00D8112A" w:rsidRDefault="00000000">
      <w:pPr>
        <w:pStyle w:val="ListParagraph"/>
        <w:numPr>
          <w:ilvl w:val="0"/>
          <w:numId w:val="2"/>
        </w:numPr>
        <w:spacing w:before="60" w:after="60"/>
      </w:pPr>
      <w:r>
        <w:t>Tables at 29% discounting is a severe outlier — nearly double the company average and the direct cause of its loss-making status</w:t>
      </w:r>
    </w:p>
    <w:p w14:paraId="4A82C39E" w14:textId="77777777" w:rsidR="00D8112A" w:rsidRDefault="00D8112A">
      <w:pPr>
        <w:spacing w:before="120" w:after="120"/>
      </w:pPr>
    </w:p>
    <w:p w14:paraId="159770D3" w14:textId="77777777" w:rsidR="00D8112A" w:rsidRDefault="00000000">
      <w:pPr>
        <w:pStyle w:val="Heading3"/>
      </w:pPr>
      <w:r>
        <w:t>Query 09 — Unit Economics Diagnostic (09_unit_economics_diagnostic.sql)</w:t>
      </w:r>
    </w:p>
    <w:p w14:paraId="6DCFFBC2" w14:textId="77777777" w:rsidR="00D8112A" w:rsidRDefault="00000000">
      <w:pPr>
        <w:spacing w:before="80" w:after="80"/>
      </w:pPr>
      <w:r>
        <w:t>Purpose: Diagnose the root cause of margin weakness at the sub-category level by decomposing performance into unit selling price, unit cost, unit profit, and discount rate. Applies a classification framework to distinguish pricing problems from structural cost problems.</w:t>
      </w:r>
    </w:p>
    <w:p w14:paraId="5EFA28A7" w14:textId="77777777" w:rsidR="00D8112A" w:rsidRDefault="00000000">
      <w:pPr>
        <w:spacing w:before="80" w:after="80"/>
      </w:pPr>
      <w:r>
        <w:t>Logic: Calculates average selling price (SUM(Sales)/SUM(</w:t>
      </w:r>
      <w:proofErr w:type="gramStart"/>
      <w:r>
        <w:t>Quantity))</w:t>
      </w:r>
      <w:proofErr w:type="gramEnd"/>
      <w:r>
        <w:t>, average unit cost (SUM(Sales-Profit)/SUM(</w:t>
      </w:r>
      <w:proofErr w:type="gramStart"/>
      <w:r>
        <w:t>Quantity))</w:t>
      </w:r>
      <w:proofErr w:type="gramEnd"/>
      <w:r>
        <w:t>, and average unit profit per sub-category. Applies a CASE statement classification:</w:t>
      </w:r>
    </w:p>
    <w:p w14:paraId="3DF66D27" w14:textId="77777777" w:rsidR="00D8112A" w:rsidRDefault="00000000">
      <w:pPr>
        <w:pStyle w:val="ListParagraph"/>
        <w:numPr>
          <w:ilvl w:val="0"/>
          <w:numId w:val="3"/>
        </w:numPr>
        <w:spacing w:before="40" w:after="40"/>
      </w:pPr>
      <w:r>
        <w:rPr>
          <w:sz w:val="20"/>
          <w:szCs w:val="20"/>
        </w:rPr>
        <w:t>Avg discount &gt; 20% AND negative margin → Pricing Risk — Excessive Discounting</w:t>
      </w:r>
    </w:p>
    <w:p w14:paraId="31C64CE2" w14:textId="77777777" w:rsidR="00D8112A" w:rsidRDefault="00000000">
      <w:pPr>
        <w:pStyle w:val="ListParagraph"/>
        <w:numPr>
          <w:ilvl w:val="0"/>
          <w:numId w:val="3"/>
        </w:numPr>
        <w:spacing w:before="40" w:after="40"/>
      </w:pPr>
      <w:r>
        <w:rPr>
          <w:sz w:val="20"/>
          <w:szCs w:val="20"/>
        </w:rPr>
        <w:t>Avg discount &lt; 10% AND negative margin → Structural Cost Risk</w:t>
      </w:r>
    </w:p>
    <w:p w14:paraId="1F803A2B" w14:textId="77777777" w:rsidR="00D8112A" w:rsidRDefault="00000000">
      <w:pPr>
        <w:pStyle w:val="ListParagraph"/>
        <w:numPr>
          <w:ilvl w:val="0"/>
          <w:numId w:val="3"/>
        </w:numPr>
        <w:spacing w:before="40" w:after="40"/>
      </w:pPr>
      <w:r>
        <w:rPr>
          <w:sz w:val="20"/>
          <w:szCs w:val="20"/>
        </w:rPr>
        <w:t>Avg discount &gt; 20% AND positive margin → Discount Dependency — Monitor</w:t>
      </w:r>
    </w:p>
    <w:p w14:paraId="154442B7" w14:textId="77777777" w:rsidR="00D8112A" w:rsidRDefault="00000000">
      <w:pPr>
        <w:pStyle w:val="ListParagraph"/>
        <w:numPr>
          <w:ilvl w:val="0"/>
          <w:numId w:val="3"/>
        </w:numPr>
        <w:spacing w:before="40" w:after="40"/>
      </w:pPr>
      <w:r>
        <w:rPr>
          <w:sz w:val="20"/>
          <w:szCs w:val="20"/>
        </w:rPr>
        <w:t>All others → Acceptable</w:t>
      </w:r>
    </w:p>
    <w:p w14:paraId="76C017B5" w14:textId="77777777" w:rsidR="00D8112A" w:rsidRDefault="00D8112A">
      <w:pPr>
        <w:spacing w:before="120" w:after="120"/>
      </w:pPr>
    </w:p>
    <w:p w14:paraId="425A618E" w14:textId="77777777" w:rsidR="00D8112A" w:rsidRDefault="00000000">
      <w:pPr>
        <w:spacing w:before="80" w:after="80"/>
      </w:pPr>
      <w:r>
        <w:t>Tables unit economics: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D8112A" w14:paraId="3DCE11A1" w14:textId="77777777">
        <w:tblPrEx>
          <w:tblCellMar>
            <w:top w:w="0" w:type="dxa"/>
            <w:bottom w:w="0" w:type="dxa"/>
          </w:tblCellMar>
        </w:tblPrEx>
        <w:trPr>
          <w:tblHeader/>
        </w:trPr>
        <w:tc>
          <w:tcPr>
            <w:tcW w:w="24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205D6685" w14:textId="77777777" w:rsidR="00D8112A" w:rsidRDefault="00000000">
            <w:pPr>
              <w:jc w:val="center"/>
            </w:pPr>
            <w:r>
              <w:rPr>
                <w:b/>
                <w:bCs/>
                <w:color w:val="FFFFFF"/>
                <w:sz w:val="20"/>
                <w:szCs w:val="20"/>
              </w:rPr>
              <w:t>Metric</w:t>
            </w:r>
          </w:p>
        </w:tc>
        <w:tc>
          <w:tcPr>
            <w:tcW w:w="18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3A32BF4E" w14:textId="77777777" w:rsidR="00D8112A" w:rsidRDefault="00000000">
            <w:pPr>
              <w:jc w:val="center"/>
            </w:pPr>
            <w:r>
              <w:rPr>
                <w:b/>
                <w:bCs/>
                <w:color w:val="FFFFFF"/>
                <w:sz w:val="20"/>
                <w:szCs w:val="20"/>
              </w:rPr>
              <w:t>Value</w:t>
            </w:r>
          </w:p>
        </w:tc>
        <w:tc>
          <w:tcPr>
            <w:tcW w:w="516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47E1D5A6" w14:textId="77777777" w:rsidR="00D8112A" w:rsidRDefault="00000000">
            <w:pPr>
              <w:jc w:val="center"/>
            </w:pPr>
            <w:r>
              <w:rPr>
                <w:b/>
                <w:bCs/>
                <w:color w:val="FFFFFF"/>
                <w:sz w:val="20"/>
                <w:szCs w:val="20"/>
              </w:rPr>
              <w:t>Implication</w:t>
            </w:r>
          </w:p>
        </w:tc>
      </w:tr>
      <w:tr w:rsidR="00D8112A" w14:paraId="27D9830B"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5871C8A" w14:textId="77777777" w:rsidR="00D8112A" w:rsidRDefault="00000000">
            <w:r>
              <w:rPr>
                <w:sz w:val="20"/>
                <w:szCs w:val="20"/>
              </w:rPr>
              <w:t>Avg Selling Price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5EA5CF" w14:textId="77777777" w:rsidR="00D8112A" w:rsidRDefault="00000000">
            <w:pPr>
              <w:jc w:val="center"/>
            </w:pPr>
            <w:r>
              <w:rPr>
                <w:sz w:val="20"/>
                <w:szCs w:val="20"/>
              </w:rPr>
              <w:t>$245.55</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0BE193" w14:textId="77777777" w:rsidR="00D8112A" w:rsidRDefault="00000000">
            <w:pPr>
              <w:jc w:val="center"/>
            </w:pPr>
            <w:r>
              <w:rPr>
                <w:sz w:val="20"/>
                <w:szCs w:val="20"/>
              </w:rPr>
              <w:t>Effective price after 29% discount</w:t>
            </w:r>
          </w:p>
        </w:tc>
      </w:tr>
      <w:tr w:rsidR="00D8112A" w14:paraId="08580E60"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E851124" w14:textId="77777777" w:rsidR="00D8112A" w:rsidRDefault="00000000">
            <w:r>
              <w:rPr>
                <w:sz w:val="20"/>
                <w:szCs w:val="20"/>
              </w:rPr>
              <w:t>Avg Unit Cost</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1EF6B3E" w14:textId="77777777" w:rsidR="00D8112A" w:rsidRDefault="00000000">
            <w:pPr>
              <w:jc w:val="center"/>
            </w:pPr>
            <w:r>
              <w:rPr>
                <w:sz w:val="20"/>
                <w:szCs w:val="20"/>
              </w:rPr>
              <w:t>$266.34</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8F20935" w14:textId="77777777" w:rsidR="00D8112A" w:rsidRDefault="00000000">
            <w:pPr>
              <w:jc w:val="center"/>
            </w:pPr>
            <w:r>
              <w:rPr>
                <w:sz w:val="20"/>
                <w:szCs w:val="20"/>
              </w:rPr>
              <w:t>Cost exceeds selling price</w:t>
            </w:r>
          </w:p>
        </w:tc>
      </w:tr>
      <w:tr w:rsidR="00D8112A" w14:paraId="153FC0E2"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2C1D5E" w14:textId="77777777" w:rsidR="00D8112A" w:rsidRDefault="00000000">
            <w:r>
              <w:rPr>
                <w:sz w:val="20"/>
                <w:szCs w:val="20"/>
              </w:rPr>
              <w:t>Avg Unit Profit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6F643B" w14:textId="77777777" w:rsidR="00D8112A" w:rsidRDefault="00000000">
            <w:pPr>
              <w:jc w:val="center"/>
            </w:pPr>
            <w:r>
              <w:rPr>
                <w:sz w:val="20"/>
                <w:szCs w:val="20"/>
              </w:rPr>
              <w:t>-$20.79</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651767" w14:textId="77777777" w:rsidR="00D8112A" w:rsidRDefault="00000000">
            <w:pPr>
              <w:jc w:val="center"/>
            </w:pPr>
            <w:r>
              <w:rPr>
                <w:sz w:val="20"/>
                <w:szCs w:val="20"/>
              </w:rPr>
              <w:t>Loss on every unit sold</w:t>
            </w:r>
          </w:p>
        </w:tc>
      </w:tr>
      <w:tr w:rsidR="00D8112A" w14:paraId="51A15589"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9D7583F" w14:textId="77777777" w:rsidR="00D8112A" w:rsidRDefault="00000000">
            <w:r>
              <w:rPr>
                <w:sz w:val="20"/>
                <w:szCs w:val="20"/>
              </w:rPr>
              <w:t>Avg Discount Rate</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656140ED" w14:textId="77777777" w:rsidR="00D8112A" w:rsidRDefault="00000000">
            <w:pPr>
              <w:jc w:val="center"/>
            </w:pPr>
            <w:r>
              <w:rPr>
                <w:sz w:val="20"/>
                <w:szCs w:val="20"/>
              </w:rPr>
              <w:t>29.0%</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F04AE58" w14:textId="77777777" w:rsidR="00D8112A" w:rsidRDefault="00000000">
            <w:pPr>
              <w:jc w:val="center"/>
            </w:pPr>
            <w:r>
              <w:rPr>
                <w:sz w:val="20"/>
                <w:szCs w:val="20"/>
              </w:rPr>
              <w:t>Nearly double company average</w:t>
            </w:r>
          </w:p>
        </w:tc>
      </w:tr>
      <w:tr w:rsidR="00D8112A" w14:paraId="7139A8B3"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5B545E" w14:textId="77777777" w:rsidR="00D8112A" w:rsidRDefault="00000000">
            <w:r>
              <w:rPr>
                <w:sz w:val="20"/>
                <w:szCs w:val="20"/>
              </w:rPr>
              <w:t>Implied List Price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C06DB2" w14:textId="77777777" w:rsidR="00D8112A" w:rsidRDefault="00000000">
            <w:pPr>
              <w:jc w:val="center"/>
            </w:pPr>
            <w:r>
              <w:rPr>
                <w:sz w:val="20"/>
                <w:szCs w:val="20"/>
              </w:rPr>
              <w:t>$345.84</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3D0D71" w14:textId="77777777" w:rsidR="00D8112A" w:rsidRDefault="00000000">
            <w:pPr>
              <w:jc w:val="center"/>
            </w:pPr>
            <w:r>
              <w:rPr>
                <w:sz w:val="20"/>
                <w:szCs w:val="20"/>
              </w:rPr>
              <w:t>Pre-discount price</w:t>
            </w:r>
          </w:p>
        </w:tc>
      </w:tr>
      <w:tr w:rsidR="00D8112A" w14:paraId="1D109913"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C09D695" w14:textId="77777777" w:rsidR="00D8112A" w:rsidRDefault="00000000">
            <w:r>
              <w:rPr>
                <w:sz w:val="20"/>
                <w:szCs w:val="20"/>
              </w:rPr>
              <w:t>Classification</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07A0033" w14:textId="77777777" w:rsidR="00D8112A" w:rsidRDefault="00000000">
            <w:pPr>
              <w:jc w:val="center"/>
            </w:pPr>
            <w:r>
              <w:rPr>
                <w:sz w:val="20"/>
                <w:szCs w:val="20"/>
              </w:rPr>
              <w:t>Pricing Risk</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36677D9" w14:textId="77777777" w:rsidR="00D8112A" w:rsidRDefault="00000000">
            <w:pPr>
              <w:jc w:val="center"/>
            </w:pPr>
            <w:r>
              <w:rPr>
                <w:sz w:val="20"/>
                <w:szCs w:val="20"/>
              </w:rPr>
              <w:t>Excessive discounting drives losses</w:t>
            </w:r>
          </w:p>
        </w:tc>
      </w:tr>
    </w:tbl>
    <w:p w14:paraId="20CD2E31" w14:textId="77777777" w:rsidR="00D8112A" w:rsidRDefault="00D8112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12A" w14:paraId="7DF01A55" w14:textId="77777777">
        <w:tblPrEx>
          <w:tblCellMar>
            <w:top w:w="0" w:type="dxa"/>
            <w:bottom w:w="0" w:type="dxa"/>
          </w:tblCellMar>
        </w:tblPrEx>
        <w:tc>
          <w:tcPr>
            <w:tcW w:w="9360" w:type="dxa"/>
            <w:tcBorders>
              <w:top w:val="single" w:sz="6" w:space="0" w:color="2E7D52"/>
              <w:left w:val="thick" w:sz="12" w:space="0" w:color="2E7D52"/>
              <w:bottom w:val="single" w:sz="6" w:space="0" w:color="2E7D52"/>
              <w:right w:val="none" w:sz="0" w:space="0" w:color="FFFFFF"/>
            </w:tcBorders>
            <w:shd w:val="clear" w:color="auto" w:fill="EAF4EE"/>
            <w:tcMar>
              <w:top w:w="120" w:type="dxa"/>
              <w:left w:w="200" w:type="dxa"/>
              <w:bottom w:w="120" w:type="dxa"/>
              <w:right w:w="120" w:type="dxa"/>
            </w:tcMar>
          </w:tcPr>
          <w:p w14:paraId="7A71E1CB" w14:textId="77777777" w:rsidR="00D8112A" w:rsidRDefault="00000000">
            <w:pPr>
              <w:spacing w:before="60" w:after="60"/>
            </w:pPr>
            <w:r>
              <w:t xml:space="preserve">Key diagnostic insight: Tables </w:t>
            </w:r>
            <w:proofErr w:type="gramStart"/>
            <w:r>
              <w:t>is</w:t>
            </w:r>
            <w:proofErr w:type="gramEnd"/>
            <w:r>
              <w:t xml:space="preserve"> loss-making because discounting has driven the effective selling price below unit cost. This is not a structural cost problem — the list price of $345.84 would generate a positive margin. The issue is entirely attributable to pricing discipline, </w:t>
            </w:r>
            <w:r>
              <w:lastRenderedPageBreak/>
              <w:t>making it an immediately correctable problem requiring no capital expenditure or operational restructuring.</w:t>
            </w:r>
          </w:p>
        </w:tc>
      </w:tr>
    </w:tbl>
    <w:p w14:paraId="7F2F3D2A" w14:textId="77777777" w:rsidR="00D8112A" w:rsidRDefault="00000000">
      <w:r>
        <w:lastRenderedPageBreak/>
        <w:br w:type="page"/>
      </w:r>
    </w:p>
    <w:p w14:paraId="524A7210" w14:textId="77777777" w:rsidR="00D8112A" w:rsidRDefault="00000000">
      <w:pPr>
        <w:pStyle w:val="Heading1"/>
        <w:pBdr>
          <w:bottom w:val="single" w:sz="8" w:space="4" w:color="1E5631"/>
        </w:pBdr>
      </w:pPr>
      <w:r>
        <w:lastRenderedPageBreak/>
        <w:t>3. Excel Financial Model — Structure and Assumptions</w:t>
      </w:r>
    </w:p>
    <w:p w14:paraId="0D06A8C1" w14:textId="77777777" w:rsidR="00D8112A" w:rsidRDefault="00000000">
      <w:pPr>
        <w:spacing w:before="80" w:after="80"/>
      </w:pPr>
      <w:r>
        <w:t>The Excel workbook (scenario_model.xlsx) contains four sheets: Cover, Inputs, P&amp;L, and Dashboard. This section documents the structure, assumption rationale, and modelling choices for the Inputs and P&amp;L sheets.</w:t>
      </w:r>
    </w:p>
    <w:p w14:paraId="5384BEE4" w14:textId="77777777" w:rsidR="00D8112A" w:rsidRDefault="00000000">
      <w:pPr>
        <w:pStyle w:val="Heading2"/>
      </w:pPr>
      <w:r>
        <w:t>3.1 Inputs Sheet Structure</w:t>
      </w:r>
    </w:p>
    <w:p w14:paraId="269C154F" w14:textId="77777777" w:rsidR="00D8112A" w:rsidRDefault="00000000">
      <w:pPr>
        <w:spacing w:before="80" w:after="80"/>
      </w:pPr>
      <w:r>
        <w:t xml:space="preserve">The Inputs sheet serves as the control </w:t>
      </w:r>
      <w:proofErr w:type="spellStart"/>
      <w:r>
        <w:t>centre</w:t>
      </w:r>
      <w:proofErr w:type="spellEnd"/>
      <w:r>
        <w:t xml:space="preserve"> of the entire model. All assumptions are entered here and referenced by formula throughout the P&amp;L sheet. No assumptions are hardcoded in any other sheet. The sheet is divided into four sections:</w:t>
      </w:r>
    </w:p>
    <w:p w14:paraId="4CEA416E" w14:textId="77777777" w:rsidR="00D8112A" w:rsidRDefault="00000000">
      <w:pPr>
        <w:pStyle w:val="ListParagraph"/>
        <w:numPr>
          <w:ilvl w:val="0"/>
          <w:numId w:val="2"/>
        </w:numPr>
        <w:spacing w:before="60" w:after="60"/>
      </w:pPr>
      <w:r>
        <w:t>Section 1: Driver Switch and Active Assumptions — controls which scenario the P&amp;L displays</w:t>
      </w:r>
    </w:p>
    <w:p w14:paraId="51DCE89C" w14:textId="77777777" w:rsidR="00D8112A" w:rsidRDefault="00000000">
      <w:pPr>
        <w:pStyle w:val="ListParagraph"/>
        <w:numPr>
          <w:ilvl w:val="0"/>
          <w:numId w:val="2"/>
        </w:numPr>
        <w:spacing w:before="60" w:after="60"/>
      </w:pPr>
      <w:r>
        <w:t>Section 2: Historical Operating Performance — anchors the model in real data from SQL Query 02</w:t>
      </w:r>
    </w:p>
    <w:p w14:paraId="22D485BC" w14:textId="77777777" w:rsidR="00D8112A" w:rsidRDefault="00000000">
      <w:pPr>
        <w:pStyle w:val="ListParagraph"/>
        <w:numPr>
          <w:ilvl w:val="0"/>
          <w:numId w:val="2"/>
        </w:numPr>
        <w:spacing w:before="60" w:after="60"/>
      </w:pPr>
      <w:r>
        <w:t>Section 3: Analytical Insights — category performance, sub-category risk flags, and discount analysis summaries from SQL Queries 03–09</w:t>
      </w:r>
    </w:p>
    <w:p w14:paraId="4E1B47B3" w14:textId="77777777" w:rsidR="00D8112A" w:rsidRDefault="00000000">
      <w:pPr>
        <w:pStyle w:val="ListParagraph"/>
        <w:numPr>
          <w:ilvl w:val="0"/>
          <w:numId w:val="2"/>
        </w:numPr>
        <w:spacing w:before="60" w:after="60"/>
      </w:pPr>
      <w:r>
        <w:t>Section 4: Forward Scenario Assumptions and Value Creation Scenarios</w:t>
      </w:r>
    </w:p>
    <w:p w14:paraId="079A8608" w14:textId="77777777" w:rsidR="00D8112A" w:rsidRDefault="00000000">
      <w:pPr>
        <w:pStyle w:val="Heading2"/>
      </w:pPr>
      <w:r>
        <w:t>3.2 Historical Data Anchor</w:t>
      </w:r>
    </w:p>
    <w:p w14:paraId="4E1498E1" w14:textId="77777777" w:rsidR="00D8112A" w:rsidRDefault="00000000">
      <w:pPr>
        <w:spacing w:before="80" w:after="80"/>
      </w:pPr>
      <w:r>
        <w:t>The historical section of the model uses figures sourced directly from SQL Query 02. These are the only hard-coded figures in the model and are formatted in blue font per standard financial modelling convention to indicate data inputs rather than formulas.</w:t>
      </w:r>
    </w:p>
    <w:p w14:paraId="0739BD85" w14:textId="77777777" w:rsidR="00D8112A" w:rsidRDefault="00000000">
      <w:pPr>
        <w:spacing w:before="80" w:after="80"/>
      </w:pPr>
      <w:r>
        <w:t>The profit figure from the dataset is presented as Operating Contribution throughout to accurately reflect its nature as a blended margin inclusive of variable operating costs, not a standard audited gross profit figure.</w:t>
      </w:r>
    </w:p>
    <w:p w14:paraId="4D283942" w14:textId="77777777" w:rsidR="00D8112A" w:rsidRDefault="00000000">
      <w:pPr>
        <w:pStyle w:val="Heading2"/>
      </w:pPr>
      <w:r>
        <w:t>3.3 Forward Scenario Assumptions</w:t>
      </w:r>
    </w:p>
    <w:p w14:paraId="1B297DAF" w14:textId="77777777" w:rsidR="00D8112A" w:rsidRDefault="00000000">
      <w:pPr>
        <w:spacing w:before="80" w:after="80"/>
      </w:pPr>
      <w:r>
        <w:t>The model projects four forward years (2015F through 2018F) under three scenarios driven by the Inputs sheet assumption table. The Driver Switch cell (set to 1, 2, or 3) controls which scenario assumption set is active across the entire model using INDEX/MATCH logic.</w:t>
      </w:r>
    </w:p>
    <w:p w14:paraId="21C75AD9" w14:textId="77777777" w:rsidR="00D8112A" w:rsidRDefault="00D8112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1185"/>
        <w:gridCol w:w="996"/>
        <w:gridCol w:w="1096"/>
        <w:gridCol w:w="4097"/>
      </w:tblGrid>
      <w:tr w:rsidR="00D8112A" w14:paraId="4772599A" w14:textId="77777777">
        <w:tblPrEx>
          <w:tblCellMar>
            <w:top w:w="0" w:type="dxa"/>
            <w:bottom w:w="0" w:type="dxa"/>
          </w:tblCellMar>
        </w:tblPrEx>
        <w:trPr>
          <w:tblHeader/>
        </w:trPr>
        <w:tc>
          <w:tcPr>
            <w:tcW w:w="20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77F4FA1D" w14:textId="77777777" w:rsidR="00D8112A" w:rsidRDefault="00000000">
            <w:pPr>
              <w:jc w:val="center"/>
            </w:pPr>
            <w:r>
              <w:rPr>
                <w:b/>
                <w:bCs/>
                <w:color w:val="FFFFFF"/>
                <w:sz w:val="20"/>
                <w:szCs w:val="20"/>
              </w:rPr>
              <w:t>Assumption</w:t>
            </w:r>
          </w:p>
        </w:tc>
        <w:tc>
          <w:tcPr>
            <w:tcW w:w="11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0C2C2F16" w14:textId="77777777" w:rsidR="00D8112A" w:rsidRDefault="00000000">
            <w:pPr>
              <w:jc w:val="center"/>
            </w:pPr>
            <w:r>
              <w:rPr>
                <w:b/>
                <w:bCs/>
                <w:color w:val="FFFFFF"/>
                <w:sz w:val="20"/>
                <w:szCs w:val="20"/>
              </w:rPr>
              <w:t>Downside</w:t>
            </w:r>
          </w:p>
        </w:tc>
        <w:tc>
          <w:tcPr>
            <w:tcW w:w="10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16171EE9" w14:textId="77777777" w:rsidR="00D8112A" w:rsidRDefault="00000000">
            <w:pPr>
              <w:jc w:val="center"/>
            </w:pPr>
            <w:r>
              <w:rPr>
                <w:b/>
                <w:bCs/>
                <w:color w:val="FFFFFF"/>
                <w:sz w:val="20"/>
                <w:szCs w:val="20"/>
              </w:rPr>
              <w:t>Base</w:t>
            </w:r>
          </w:p>
        </w:tc>
        <w:tc>
          <w:tcPr>
            <w:tcW w:w="11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100981CD" w14:textId="77777777" w:rsidR="00D8112A" w:rsidRDefault="00000000">
            <w:pPr>
              <w:jc w:val="center"/>
            </w:pPr>
            <w:r>
              <w:rPr>
                <w:b/>
                <w:bCs/>
                <w:color w:val="FFFFFF"/>
                <w:sz w:val="20"/>
                <w:szCs w:val="20"/>
              </w:rPr>
              <w:t>Upside</w:t>
            </w:r>
          </w:p>
        </w:tc>
        <w:tc>
          <w:tcPr>
            <w:tcW w:w="416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57C54EF1" w14:textId="77777777" w:rsidR="00D8112A" w:rsidRDefault="00000000">
            <w:pPr>
              <w:jc w:val="center"/>
            </w:pPr>
            <w:r>
              <w:rPr>
                <w:b/>
                <w:bCs/>
                <w:color w:val="FFFFFF"/>
                <w:sz w:val="20"/>
                <w:szCs w:val="20"/>
              </w:rPr>
              <w:t>Source / Basis</w:t>
            </w:r>
          </w:p>
        </w:tc>
      </w:tr>
      <w:tr w:rsidR="00D8112A" w14:paraId="48083030"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E451EC" w14:textId="77777777" w:rsidR="00D8112A" w:rsidRDefault="00000000">
            <w:r>
              <w:rPr>
                <w:sz w:val="20"/>
                <w:szCs w:val="20"/>
              </w:rPr>
              <w:t>Revenue Growth Rate</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279091" w14:textId="77777777" w:rsidR="00D8112A" w:rsidRDefault="00000000">
            <w:pPr>
              <w:jc w:val="center"/>
            </w:pPr>
            <w:r>
              <w:rPr>
                <w:sz w:val="20"/>
                <w:szCs w:val="20"/>
              </w:rPr>
              <w:t>-5.0%</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AE1EF9B" w14:textId="77777777" w:rsidR="00D8112A" w:rsidRDefault="00000000">
            <w:pPr>
              <w:jc w:val="center"/>
            </w:pPr>
            <w:r>
              <w:rPr>
                <w:sz w:val="20"/>
                <w:szCs w:val="20"/>
              </w:rPr>
              <w:t>0.0%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B1DA7C" w14:textId="77777777" w:rsidR="00D8112A" w:rsidRDefault="00000000">
            <w:pPr>
              <w:jc w:val="center"/>
            </w:pPr>
            <w:r>
              <w:rPr>
                <w:sz w:val="20"/>
                <w:szCs w:val="20"/>
              </w:rPr>
              <w:t>+8.0%</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A17A456" w14:textId="77777777" w:rsidR="00D8112A" w:rsidRDefault="00000000">
            <w:pPr>
              <w:jc w:val="center"/>
            </w:pPr>
            <w:r>
              <w:rPr>
                <w:sz w:val="20"/>
                <w:szCs w:val="20"/>
              </w:rPr>
              <w:t>Conservative vs 24% historical CAGR</w:t>
            </w:r>
          </w:p>
        </w:tc>
      </w:tr>
      <w:tr w:rsidR="00D8112A" w14:paraId="48701FE5"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7D2D7D12" w14:textId="77777777" w:rsidR="00D8112A" w:rsidRDefault="00000000">
            <w:r>
              <w:rPr>
                <w:sz w:val="20"/>
                <w:szCs w:val="20"/>
              </w:rPr>
              <w:t>OC Margin %</w:t>
            </w:r>
          </w:p>
        </w:tc>
        <w:tc>
          <w:tcPr>
            <w:tcW w:w="11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524215C" w14:textId="77777777" w:rsidR="00D8112A" w:rsidRDefault="00000000">
            <w:pPr>
              <w:jc w:val="center"/>
            </w:pPr>
            <w:r>
              <w:rPr>
                <w:sz w:val="20"/>
                <w:szCs w:val="20"/>
              </w:rPr>
              <w:t>11.7%</w:t>
            </w:r>
          </w:p>
        </w:tc>
        <w:tc>
          <w:tcPr>
            <w:tcW w:w="10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6620B025" w14:textId="77777777" w:rsidR="00D8112A" w:rsidRDefault="00000000">
            <w:pPr>
              <w:jc w:val="center"/>
            </w:pPr>
            <w:r>
              <w:rPr>
                <w:sz w:val="20"/>
                <w:szCs w:val="20"/>
              </w:rPr>
              <w:t>11.7%</w:t>
            </w:r>
          </w:p>
        </w:tc>
        <w:tc>
          <w:tcPr>
            <w:tcW w:w="11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F126099" w14:textId="77777777" w:rsidR="00D8112A" w:rsidRDefault="00000000">
            <w:pPr>
              <w:jc w:val="center"/>
            </w:pPr>
            <w:r>
              <w:rPr>
                <w:sz w:val="20"/>
                <w:szCs w:val="20"/>
              </w:rPr>
              <w:t>12.2%</w:t>
            </w:r>
          </w:p>
        </w:tc>
        <w:tc>
          <w:tcPr>
            <w:tcW w:w="4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F10894D" w14:textId="77777777" w:rsidR="00D8112A" w:rsidRDefault="00000000">
            <w:pPr>
              <w:jc w:val="center"/>
            </w:pPr>
            <w:r>
              <w:rPr>
                <w:sz w:val="20"/>
                <w:szCs w:val="20"/>
              </w:rPr>
              <w:t>2014A actual; upside reflects Tables fix</w:t>
            </w:r>
          </w:p>
        </w:tc>
      </w:tr>
      <w:tr w:rsidR="00D8112A" w14:paraId="1D5AB22E"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8474A1" w14:textId="77777777" w:rsidR="00D8112A" w:rsidRDefault="00000000">
            <w:r>
              <w:rPr>
                <w:sz w:val="20"/>
                <w:szCs w:val="20"/>
              </w:rPr>
              <w:t>Fixed Overhead %</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7AEF33" w14:textId="77777777" w:rsidR="00D8112A" w:rsidRDefault="00000000">
            <w:pPr>
              <w:jc w:val="center"/>
            </w:pPr>
            <w:r>
              <w:rPr>
                <w:sz w:val="20"/>
                <w:szCs w:val="20"/>
              </w:rPr>
              <w:t>4.0%</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B373F89" w14:textId="77777777" w:rsidR="00D8112A" w:rsidRDefault="00000000">
            <w:pPr>
              <w:jc w:val="center"/>
            </w:pPr>
            <w:r>
              <w:rPr>
                <w:sz w:val="20"/>
                <w:szCs w:val="20"/>
              </w:rPr>
              <w:t>3.0%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8D3399" w14:textId="77777777" w:rsidR="00D8112A" w:rsidRDefault="00000000">
            <w:pPr>
              <w:jc w:val="center"/>
            </w:pPr>
            <w:r>
              <w:rPr>
                <w:sz w:val="20"/>
                <w:szCs w:val="20"/>
              </w:rPr>
              <w:t>2.0%</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0163B4" w14:textId="77777777" w:rsidR="00D8112A" w:rsidRDefault="00000000">
            <w:pPr>
              <w:jc w:val="center"/>
            </w:pPr>
            <w:r>
              <w:rPr>
                <w:sz w:val="20"/>
                <w:szCs w:val="20"/>
              </w:rPr>
              <w:t>Illustrative residual overhead benchmark</w:t>
            </w:r>
          </w:p>
        </w:tc>
      </w:tr>
      <w:tr w:rsidR="00D8112A" w14:paraId="0DA2C66E"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B72549F" w14:textId="77777777" w:rsidR="00D8112A" w:rsidRDefault="00000000">
            <w:r>
              <w:rPr>
                <w:sz w:val="20"/>
                <w:szCs w:val="20"/>
              </w:rPr>
              <w:t>Tax Rate</w:t>
            </w:r>
          </w:p>
        </w:tc>
        <w:tc>
          <w:tcPr>
            <w:tcW w:w="11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2C251D4C" w14:textId="77777777" w:rsidR="00D8112A" w:rsidRDefault="00000000">
            <w:pPr>
              <w:jc w:val="center"/>
            </w:pPr>
            <w:r>
              <w:rPr>
                <w:sz w:val="20"/>
                <w:szCs w:val="20"/>
              </w:rPr>
              <w:t>25.0%</w:t>
            </w:r>
          </w:p>
        </w:tc>
        <w:tc>
          <w:tcPr>
            <w:tcW w:w="10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26E1B5AB" w14:textId="77777777" w:rsidR="00D8112A" w:rsidRDefault="00000000">
            <w:pPr>
              <w:jc w:val="center"/>
            </w:pPr>
            <w:r>
              <w:rPr>
                <w:sz w:val="20"/>
                <w:szCs w:val="20"/>
              </w:rPr>
              <w:t>25.0%</w:t>
            </w:r>
          </w:p>
        </w:tc>
        <w:tc>
          <w:tcPr>
            <w:tcW w:w="11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C03186B" w14:textId="77777777" w:rsidR="00D8112A" w:rsidRDefault="00000000">
            <w:pPr>
              <w:jc w:val="center"/>
            </w:pPr>
            <w:r>
              <w:rPr>
                <w:sz w:val="20"/>
                <w:szCs w:val="20"/>
              </w:rPr>
              <w:t>25.0%</w:t>
            </w:r>
          </w:p>
        </w:tc>
        <w:tc>
          <w:tcPr>
            <w:tcW w:w="4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DCC9CA8" w14:textId="77777777" w:rsidR="00D8112A" w:rsidRDefault="00000000">
            <w:pPr>
              <w:jc w:val="center"/>
            </w:pPr>
            <w:r>
              <w:rPr>
                <w:sz w:val="20"/>
                <w:szCs w:val="20"/>
              </w:rPr>
              <w:t>US statutory corporate rate</w:t>
            </w:r>
          </w:p>
        </w:tc>
      </w:tr>
    </w:tbl>
    <w:p w14:paraId="38A324EE" w14:textId="77777777" w:rsidR="00D8112A" w:rsidRDefault="00D8112A">
      <w:pPr>
        <w:spacing w:before="120" w:after="120"/>
      </w:pPr>
    </w:p>
    <w:p w14:paraId="65CC966D" w14:textId="77777777" w:rsidR="00D8112A" w:rsidRDefault="00000000">
      <w:pPr>
        <w:pStyle w:val="Heading3"/>
      </w:pPr>
      <w:r>
        <w:t>Revenue Growth Assumption Rationale</w:t>
      </w:r>
    </w:p>
    <w:p w14:paraId="74B3B6E0" w14:textId="77777777" w:rsidR="00D8112A" w:rsidRDefault="00000000">
      <w:pPr>
        <w:pStyle w:val="ListParagraph"/>
        <w:numPr>
          <w:ilvl w:val="0"/>
          <w:numId w:val="2"/>
        </w:numPr>
        <w:spacing w:before="60" w:after="60"/>
      </w:pPr>
      <w:r>
        <w:t>Downside (-5%): Reflects a scenario where Furniture revenue continues to deteriorate and no corrective action is taken on discounting, dragging blended revenue below prior year</w:t>
      </w:r>
    </w:p>
    <w:p w14:paraId="2D7BA311" w14:textId="77777777" w:rsidR="00D8112A" w:rsidRDefault="00000000">
      <w:pPr>
        <w:pStyle w:val="ListParagraph"/>
        <w:numPr>
          <w:ilvl w:val="0"/>
          <w:numId w:val="2"/>
        </w:numPr>
        <w:spacing w:before="60" w:after="60"/>
      </w:pPr>
      <w:r>
        <w:lastRenderedPageBreak/>
        <w:t>Base (0%): Conservative flat revenue assumption reflecting uncertainty in the absence of full market data. The business has grown at 24% CAGR historically, making 0% a deliberate stress test rather than a central forecast</w:t>
      </w:r>
    </w:p>
    <w:p w14:paraId="7B2B8808" w14:textId="77777777" w:rsidR="00D8112A" w:rsidRDefault="00000000">
      <w:pPr>
        <w:pStyle w:val="ListParagraph"/>
        <w:numPr>
          <w:ilvl w:val="0"/>
          <w:numId w:val="2"/>
        </w:numPr>
        <w:spacing w:before="60" w:after="60"/>
      </w:pPr>
      <w:r>
        <w:t>Upside (+8%): Reflects Technology revenue acceleration driven by its superior margin profile, partially offset by continued Furniture softness. Represents a realistic improvement scenario without assuming any structural transformation</w:t>
      </w:r>
    </w:p>
    <w:p w14:paraId="500E9856" w14:textId="77777777" w:rsidR="00D8112A" w:rsidRDefault="00000000">
      <w:pPr>
        <w:pStyle w:val="Heading3"/>
      </w:pPr>
      <w:r>
        <w:t>OC Margin Assumption Rationale</w:t>
      </w:r>
    </w:p>
    <w:p w14:paraId="5AF6F7C7" w14:textId="77777777" w:rsidR="00D8112A" w:rsidRDefault="00000000">
      <w:pPr>
        <w:pStyle w:val="ListParagraph"/>
        <w:numPr>
          <w:ilvl w:val="0"/>
          <w:numId w:val="2"/>
        </w:numPr>
        <w:spacing w:before="60" w:after="60"/>
      </w:pPr>
      <w:r>
        <w:t>Downside and Base both hold OC margin at the 2014A level of 11.7%, reflecting no operational improvement</w:t>
      </w:r>
    </w:p>
    <w:p w14:paraId="4F8C73A5" w14:textId="77777777" w:rsidR="00D8112A" w:rsidRDefault="00000000">
      <w:pPr>
        <w:pStyle w:val="ListParagraph"/>
        <w:numPr>
          <w:ilvl w:val="0"/>
          <w:numId w:val="2"/>
        </w:numPr>
        <w:spacing w:before="60" w:after="60"/>
      </w:pPr>
      <w:r>
        <w:t xml:space="preserve">Upside margin of 12.2% reflects the improvement achievable through Tables discount </w:t>
      </w:r>
      <w:proofErr w:type="spellStart"/>
      <w:r>
        <w:t>rationalisation</w:t>
      </w:r>
      <w:proofErr w:type="spellEnd"/>
      <w:r>
        <w:t>, which eliminates the drag from the only loss-making sub-category without requiring any cost restructuring</w:t>
      </w:r>
    </w:p>
    <w:p w14:paraId="5A3D5F6D" w14:textId="77777777" w:rsidR="00D8112A" w:rsidRDefault="00000000">
      <w:pPr>
        <w:pStyle w:val="Heading3"/>
      </w:pPr>
      <w:r>
        <w:t>Fixed Overhead Assumption Rationale</w:t>
      </w:r>
    </w:p>
    <w:p w14:paraId="7F82B44E" w14:textId="77777777" w:rsidR="00D8112A" w:rsidRDefault="00000000">
      <w:pPr>
        <w:spacing w:before="80" w:after="80"/>
      </w:pPr>
      <w:r>
        <w:t>The dataset profit figure is inclusive of variable operating costs but does not capture fixed overhead such as corporate SG&amp;A, occupancy, or central administrative costs. The fixed overhead assumption represents an estimate of these residual costs not reflected in the transactional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12A" w14:paraId="69CE7E40" w14:textId="77777777">
        <w:tblPrEx>
          <w:tblCellMar>
            <w:top w:w="0" w:type="dxa"/>
            <w:bottom w:w="0" w:type="dxa"/>
          </w:tblCellMar>
        </w:tblPrEx>
        <w:tc>
          <w:tcPr>
            <w:tcW w:w="9360" w:type="dxa"/>
            <w:tcBorders>
              <w:top w:val="single" w:sz="6" w:space="0" w:color="C9A84C"/>
              <w:left w:val="thick" w:sz="12" w:space="0" w:color="C9A84C"/>
              <w:bottom w:val="single" w:sz="6" w:space="0" w:color="C9A84C"/>
              <w:right w:val="none" w:sz="0" w:space="0" w:color="FFFFFF"/>
            </w:tcBorders>
            <w:shd w:val="clear" w:color="auto" w:fill="FFF8E7"/>
            <w:tcMar>
              <w:top w:w="120" w:type="dxa"/>
              <w:left w:w="200" w:type="dxa"/>
              <w:bottom w:w="120" w:type="dxa"/>
              <w:right w:w="120" w:type="dxa"/>
            </w:tcMar>
          </w:tcPr>
          <w:p w14:paraId="544C2120" w14:textId="77777777" w:rsidR="00D8112A" w:rsidRDefault="00000000">
            <w:pPr>
              <w:spacing w:before="60" w:after="60"/>
            </w:pPr>
            <w:r>
              <w:t>Benchmark basis: For a mid-sized international retail business, fixed overhead as a percentage of revenue typically ranges from 2–6% based on publicly available annual reports of comparable listed retailers. The 3% base case assumption is conservative within this range and reflects the limited visibility into the actual cost structure from transactional data alone.</w:t>
            </w:r>
          </w:p>
          <w:p w14:paraId="079FAE28" w14:textId="77777777" w:rsidR="00D8112A" w:rsidRDefault="00D8112A">
            <w:pPr>
              <w:spacing w:before="60" w:after="60"/>
            </w:pPr>
          </w:p>
          <w:p w14:paraId="13E8ECBB" w14:textId="77777777" w:rsidR="00D8112A" w:rsidRDefault="00000000">
            <w:pPr>
              <w:spacing w:before="60" w:after="60"/>
            </w:pPr>
            <w:r>
              <w:rPr>
                <w:i/>
                <w:iCs/>
              </w:rPr>
              <w:t>Source: Cross-referenced against publicly available annual reports of mid-sized retailers. This assumption should be replaced with actual management accounts in any formal due diligence process.</w:t>
            </w:r>
          </w:p>
        </w:tc>
      </w:tr>
    </w:tbl>
    <w:p w14:paraId="31CE3F8F" w14:textId="77777777" w:rsidR="00D8112A" w:rsidRDefault="00000000">
      <w:pPr>
        <w:pStyle w:val="Heading2"/>
      </w:pPr>
      <w:r>
        <w:t>3.4 P&amp;L Structure and Methodology</w:t>
      </w:r>
    </w:p>
    <w:p w14:paraId="5069106A" w14:textId="77777777" w:rsidR="00D8112A" w:rsidRDefault="00000000">
      <w:pPr>
        <w:spacing w:before="80" w:after="80"/>
      </w:pPr>
      <w:r>
        <w:t>The P&amp;L sheet is divided into two clearly separated sections to maintain transparency between data-derived and assumption-driven figures.</w:t>
      </w:r>
    </w:p>
    <w:p w14:paraId="69A78693" w14:textId="77777777" w:rsidR="00D8112A" w:rsidRDefault="00000000">
      <w:pPr>
        <w:pStyle w:val="Heading3"/>
      </w:pPr>
      <w:r>
        <w:t>Section 1: Historical Operating Performance (Data-Derived)</w:t>
      </w:r>
    </w:p>
    <w:p w14:paraId="5AE2ADF6" w14:textId="77777777" w:rsidR="00D8112A" w:rsidRDefault="00000000">
      <w:pPr>
        <w:spacing w:before="80" w:after="80"/>
      </w:pPr>
      <w:r>
        <w:t xml:space="preserve">Presents Revenue, Cost of Sales, and Operating Contribution for 2011A through 2014A. All figures </w:t>
      </w:r>
      <w:proofErr w:type="gramStart"/>
      <w:r>
        <w:t>sourced</w:t>
      </w:r>
      <w:proofErr w:type="gramEnd"/>
      <w:r>
        <w:t xml:space="preserve"> directly from SQL Query 02. Stops at Operating Contribution level — no further P&amp;L lines are presented for historical years as the data does not support them.</w:t>
      </w:r>
    </w:p>
    <w:p w14:paraId="45389A2C" w14:textId="77777777" w:rsidR="00D8112A" w:rsidRDefault="00000000">
      <w:pPr>
        <w:pStyle w:val="Heading3"/>
      </w:pPr>
      <w:r>
        <w:t>Section 2: Illustrative Forward Scenario (Assumption-Driven)</w:t>
      </w:r>
    </w:p>
    <w:p w14:paraId="277F61BA" w14:textId="77777777" w:rsidR="00D8112A" w:rsidRDefault="00000000">
      <w:pPr>
        <w:spacing w:before="80" w:after="80"/>
      </w:pPr>
      <w:r>
        <w:t>Projects Revenue, Operating Contribution, Fixed Overhead, Illustrative EBIT, Tax, and Illustrative Net Profit for 2015F through 2018F under the active scenario. All lines below Operating Contribution are formula-driven from the Inputs assumptions panel.</w:t>
      </w:r>
    </w:p>
    <w:p w14:paraId="5CD4EAF2" w14:textId="77777777" w:rsidR="00D8112A" w:rsidRDefault="00D8112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12A" w14:paraId="5440FAE8" w14:textId="77777777">
        <w:tblPrEx>
          <w:tblCellMar>
            <w:top w:w="0" w:type="dxa"/>
            <w:bottom w:w="0" w:type="dxa"/>
          </w:tblCellMar>
        </w:tblPrEx>
        <w:tc>
          <w:tcPr>
            <w:tcW w:w="9360" w:type="dxa"/>
            <w:tcBorders>
              <w:top w:val="single" w:sz="6" w:space="0" w:color="2E7D52"/>
              <w:left w:val="thick" w:sz="12" w:space="0" w:color="2E7D52"/>
              <w:bottom w:val="single" w:sz="6" w:space="0" w:color="2E7D52"/>
              <w:right w:val="none" w:sz="0" w:space="0" w:color="FFFFFF"/>
            </w:tcBorders>
            <w:shd w:val="clear" w:color="auto" w:fill="EAF4EE"/>
            <w:tcMar>
              <w:top w:w="120" w:type="dxa"/>
              <w:left w:w="200" w:type="dxa"/>
              <w:bottom w:w="120" w:type="dxa"/>
              <w:right w:w="120" w:type="dxa"/>
            </w:tcMar>
          </w:tcPr>
          <w:p w14:paraId="6F461F9A" w14:textId="77777777" w:rsidR="00D8112A" w:rsidRDefault="00000000">
            <w:pPr>
              <w:spacing w:before="60" w:after="60"/>
            </w:pPr>
            <w:r>
              <w:t>On the use of EBIT rather than EBITDA:</w:t>
            </w:r>
          </w:p>
          <w:p w14:paraId="7037410B" w14:textId="77777777" w:rsidR="00D8112A" w:rsidRDefault="00D8112A">
            <w:pPr>
              <w:spacing w:before="60" w:after="60"/>
            </w:pPr>
          </w:p>
          <w:p w14:paraId="12C724A1" w14:textId="77777777" w:rsidR="00D8112A" w:rsidRDefault="00000000">
            <w:pPr>
              <w:spacing w:before="60" w:after="60"/>
            </w:pPr>
            <w:r>
              <w:t>EBIT is used as the primary forward earnings metric rather than the more commonly cited EBITDA. This reflects a deliberate methodological choice: the dataset contains no asset register or depreciation schedule from which to derive a defensible D&amp;A assumption. Applying an arbitrary D&amp;A percentage would add a layer of assumption without analytical basis.</w:t>
            </w:r>
          </w:p>
          <w:p w14:paraId="7CD50209" w14:textId="77777777" w:rsidR="00D8112A" w:rsidRDefault="00D8112A">
            <w:pPr>
              <w:spacing w:before="60" w:after="60"/>
            </w:pPr>
          </w:p>
          <w:p w14:paraId="12BC1366" w14:textId="77777777" w:rsidR="00D8112A" w:rsidRDefault="00000000">
            <w:pPr>
              <w:spacing w:before="60" w:after="60"/>
            </w:pPr>
            <w:r>
              <w:t>For asset-intensive sub-categories such as Furniture, EBITDA would be the more appropriate M&amp;A valuation metric as it captures earnings before the significant depreciation charges associated with physical inventory and logistics assets. Any acquirer conducting formal financial due diligence should recalculate the forward scenario on an EBITDA basis once asset register data is available from the target.</w:t>
            </w:r>
          </w:p>
        </w:tc>
      </w:tr>
    </w:tbl>
    <w:p w14:paraId="5BE681BA" w14:textId="77777777" w:rsidR="00D8112A" w:rsidRDefault="00D8112A">
      <w:pPr>
        <w:spacing w:before="120" w:after="120"/>
      </w:pPr>
    </w:p>
    <w:p w14:paraId="350BA88B" w14:textId="77777777" w:rsidR="00D8112A" w:rsidRDefault="00000000">
      <w:pPr>
        <w:spacing w:before="80" w:after="80"/>
      </w:pPr>
      <w:r>
        <w:t>Illustrative forward figures (Base Case):</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300"/>
        <w:gridCol w:w="1300"/>
        <w:gridCol w:w="1300"/>
        <w:gridCol w:w="1260"/>
        <w:gridCol w:w="1300"/>
      </w:tblGrid>
      <w:tr w:rsidR="00D8112A" w14:paraId="1DDB7FD0" w14:textId="77777777">
        <w:tblPrEx>
          <w:tblCellMar>
            <w:top w:w="0" w:type="dxa"/>
            <w:bottom w:w="0" w:type="dxa"/>
          </w:tblCellMar>
        </w:tblPrEx>
        <w:trPr>
          <w:tblHeader/>
        </w:trPr>
        <w:tc>
          <w:tcPr>
            <w:tcW w:w="9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1B4DAC86" w14:textId="77777777" w:rsidR="00D8112A" w:rsidRDefault="00000000">
            <w:pPr>
              <w:jc w:val="center"/>
            </w:pPr>
            <w:r>
              <w:rPr>
                <w:b/>
                <w:bCs/>
                <w:color w:val="FFFFFF"/>
                <w:sz w:val="20"/>
                <w:szCs w:val="20"/>
              </w:rPr>
              <w:t>Year</w:t>
            </w:r>
          </w:p>
        </w:tc>
        <w:tc>
          <w:tcPr>
            <w:tcW w:w="14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0DE043DC" w14:textId="77777777" w:rsidR="00D8112A" w:rsidRDefault="00000000">
            <w:pPr>
              <w:jc w:val="center"/>
            </w:pPr>
            <w:r>
              <w:rPr>
                <w:b/>
                <w:bCs/>
                <w:color w:val="FFFFFF"/>
                <w:sz w:val="20"/>
                <w:szCs w:val="20"/>
              </w:rPr>
              <w:t>Revenue ($)</w:t>
            </w:r>
          </w:p>
        </w:tc>
        <w:tc>
          <w:tcPr>
            <w:tcW w:w="13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6F9804B8" w14:textId="77777777" w:rsidR="00D8112A" w:rsidRDefault="00000000">
            <w:pPr>
              <w:jc w:val="center"/>
            </w:pPr>
            <w:r>
              <w:rPr>
                <w:b/>
                <w:bCs/>
                <w:color w:val="FFFFFF"/>
                <w:sz w:val="20"/>
                <w:szCs w:val="20"/>
              </w:rPr>
              <w:t>OC ($)</w:t>
            </w:r>
          </w:p>
        </w:tc>
        <w:tc>
          <w:tcPr>
            <w:tcW w:w="13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35F9F0B8" w14:textId="77777777" w:rsidR="00D8112A" w:rsidRDefault="00000000">
            <w:pPr>
              <w:jc w:val="center"/>
            </w:pPr>
            <w:r>
              <w:rPr>
                <w:b/>
                <w:bCs/>
                <w:color w:val="FFFFFF"/>
                <w:sz w:val="20"/>
                <w:szCs w:val="20"/>
              </w:rPr>
              <w:t>Fixed OH ($)</w:t>
            </w:r>
          </w:p>
        </w:tc>
        <w:tc>
          <w:tcPr>
            <w:tcW w:w="13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50948FA5" w14:textId="77777777" w:rsidR="00D8112A" w:rsidRDefault="00000000">
            <w:pPr>
              <w:jc w:val="center"/>
            </w:pPr>
            <w:r>
              <w:rPr>
                <w:b/>
                <w:bCs/>
                <w:color w:val="FFFFFF"/>
                <w:sz w:val="20"/>
                <w:szCs w:val="20"/>
              </w:rPr>
              <w:t>EBIT ($)</w:t>
            </w:r>
          </w:p>
        </w:tc>
        <w:tc>
          <w:tcPr>
            <w:tcW w:w="126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6E578DBF" w14:textId="77777777" w:rsidR="00D8112A" w:rsidRDefault="00000000">
            <w:pPr>
              <w:jc w:val="center"/>
            </w:pPr>
            <w:r>
              <w:rPr>
                <w:b/>
                <w:bCs/>
                <w:color w:val="FFFFFF"/>
                <w:sz w:val="20"/>
                <w:szCs w:val="20"/>
              </w:rPr>
              <w:t>EBIT Margin</w:t>
            </w:r>
          </w:p>
        </w:tc>
        <w:tc>
          <w:tcPr>
            <w:tcW w:w="13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2FE5CC4D" w14:textId="77777777" w:rsidR="00D8112A" w:rsidRDefault="00000000">
            <w:pPr>
              <w:jc w:val="center"/>
            </w:pPr>
            <w:r>
              <w:rPr>
                <w:b/>
                <w:bCs/>
                <w:color w:val="FFFFFF"/>
                <w:sz w:val="20"/>
                <w:szCs w:val="20"/>
              </w:rPr>
              <w:t>Net Profit ($)</w:t>
            </w:r>
          </w:p>
        </w:tc>
      </w:tr>
      <w:tr w:rsidR="00D8112A" w14:paraId="0B89F671"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C3203D" w14:textId="77777777" w:rsidR="00D8112A" w:rsidRDefault="00000000">
            <w:r>
              <w:rPr>
                <w:sz w:val="20"/>
                <w:szCs w:val="20"/>
              </w:rPr>
              <w:t>2015F</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B87730" w14:textId="77777777" w:rsidR="00D8112A" w:rsidRDefault="00000000">
            <w:pPr>
              <w:jc w:val="center"/>
            </w:pPr>
            <w:r>
              <w:rPr>
                <w:sz w:val="20"/>
                <w:szCs w:val="20"/>
              </w:rPr>
              <w:t>4,299,866</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FC13AA9" w14:textId="77777777" w:rsidR="00D8112A" w:rsidRDefault="00000000">
            <w:pPr>
              <w:jc w:val="center"/>
            </w:pPr>
            <w:r>
              <w:rPr>
                <w:sz w:val="20"/>
                <w:szCs w:val="20"/>
              </w:rPr>
              <w:t>503,084</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2F45783" w14:textId="77777777" w:rsidR="00D8112A" w:rsidRDefault="00000000">
            <w:pPr>
              <w:jc w:val="center"/>
            </w:pPr>
            <w:r>
              <w:rPr>
                <w:sz w:val="20"/>
                <w:szCs w:val="20"/>
              </w:rPr>
              <w:t>(128,996)</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2CE08A4" w14:textId="77777777" w:rsidR="00D8112A" w:rsidRDefault="00000000">
            <w:pPr>
              <w:jc w:val="center"/>
            </w:pPr>
            <w:r>
              <w:rPr>
                <w:sz w:val="20"/>
                <w:szCs w:val="20"/>
              </w:rPr>
              <w:t>374,088</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52E636F" w14:textId="77777777" w:rsidR="00D8112A" w:rsidRDefault="00000000">
            <w:pPr>
              <w:jc w:val="center"/>
            </w:pPr>
            <w:r>
              <w:rPr>
                <w:sz w:val="20"/>
                <w:szCs w:val="20"/>
              </w:rPr>
              <w:t>8.7%</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FA9435C" w14:textId="77777777" w:rsidR="00D8112A" w:rsidRDefault="00000000">
            <w:pPr>
              <w:jc w:val="center"/>
            </w:pPr>
            <w:r>
              <w:rPr>
                <w:sz w:val="20"/>
                <w:szCs w:val="20"/>
              </w:rPr>
              <w:t>280,566</w:t>
            </w:r>
          </w:p>
        </w:tc>
      </w:tr>
      <w:tr w:rsidR="00D8112A" w14:paraId="4D0952C3"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6C0149B" w14:textId="77777777" w:rsidR="00D8112A" w:rsidRDefault="00000000">
            <w:r>
              <w:rPr>
                <w:sz w:val="20"/>
                <w:szCs w:val="20"/>
              </w:rPr>
              <w:t>2016F</w:t>
            </w:r>
          </w:p>
        </w:tc>
        <w:tc>
          <w:tcPr>
            <w:tcW w:w="1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1E36A0E" w14:textId="77777777" w:rsidR="00D8112A" w:rsidRDefault="00000000">
            <w:pPr>
              <w:jc w:val="center"/>
            </w:pPr>
            <w:r>
              <w:rPr>
                <w:sz w:val="20"/>
                <w:szCs w:val="20"/>
              </w:rPr>
              <w:t>4,299,866</w:t>
            </w:r>
          </w:p>
        </w:tc>
        <w:tc>
          <w:tcPr>
            <w:tcW w:w="13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1C687C92" w14:textId="77777777" w:rsidR="00D8112A" w:rsidRDefault="00000000">
            <w:pPr>
              <w:jc w:val="center"/>
            </w:pPr>
            <w:r>
              <w:rPr>
                <w:sz w:val="20"/>
                <w:szCs w:val="20"/>
              </w:rPr>
              <w:t>503,084</w:t>
            </w:r>
          </w:p>
        </w:tc>
        <w:tc>
          <w:tcPr>
            <w:tcW w:w="13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6F7FAC93" w14:textId="77777777" w:rsidR="00D8112A" w:rsidRDefault="00000000">
            <w:pPr>
              <w:jc w:val="center"/>
            </w:pPr>
            <w:r>
              <w:rPr>
                <w:sz w:val="20"/>
                <w:szCs w:val="20"/>
              </w:rPr>
              <w:t>(128,996)</w:t>
            </w:r>
          </w:p>
        </w:tc>
        <w:tc>
          <w:tcPr>
            <w:tcW w:w="13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100C84CF" w14:textId="77777777" w:rsidR="00D8112A" w:rsidRDefault="00000000">
            <w:pPr>
              <w:jc w:val="center"/>
            </w:pPr>
            <w:r>
              <w:rPr>
                <w:sz w:val="20"/>
                <w:szCs w:val="20"/>
              </w:rPr>
              <w:t>374,088</w:t>
            </w:r>
          </w:p>
        </w:tc>
        <w:tc>
          <w:tcPr>
            <w:tcW w:w="12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B4FA0FC" w14:textId="77777777" w:rsidR="00D8112A" w:rsidRDefault="00000000">
            <w:pPr>
              <w:jc w:val="center"/>
            </w:pPr>
            <w:r>
              <w:rPr>
                <w:sz w:val="20"/>
                <w:szCs w:val="20"/>
              </w:rPr>
              <w:t>8.7%</w:t>
            </w:r>
          </w:p>
        </w:tc>
        <w:tc>
          <w:tcPr>
            <w:tcW w:w="13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8DFCEB2" w14:textId="77777777" w:rsidR="00D8112A" w:rsidRDefault="00000000">
            <w:pPr>
              <w:jc w:val="center"/>
            </w:pPr>
            <w:r>
              <w:rPr>
                <w:sz w:val="20"/>
                <w:szCs w:val="20"/>
              </w:rPr>
              <w:t>280,566</w:t>
            </w:r>
          </w:p>
        </w:tc>
      </w:tr>
      <w:tr w:rsidR="00D8112A" w14:paraId="780D5ABD"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9B8E358" w14:textId="77777777" w:rsidR="00D8112A" w:rsidRDefault="00000000">
            <w:r>
              <w:rPr>
                <w:sz w:val="20"/>
                <w:szCs w:val="20"/>
              </w:rPr>
              <w:t>2017F</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F6A55F" w14:textId="77777777" w:rsidR="00D8112A" w:rsidRDefault="00000000">
            <w:pPr>
              <w:jc w:val="center"/>
            </w:pPr>
            <w:r>
              <w:rPr>
                <w:sz w:val="20"/>
                <w:szCs w:val="20"/>
              </w:rPr>
              <w:t>4,299,866</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3317D6" w14:textId="77777777" w:rsidR="00D8112A" w:rsidRDefault="00000000">
            <w:pPr>
              <w:jc w:val="center"/>
            </w:pPr>
            <w:r>
              <w:rPr>
                <w:sz w:val="20"/>
                <w:szCs w:val="20"/>
              </w:rPr>
              <w:t>503,084</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4263CEA" w14:textId="77777777" w:rsidR="00D8112A" w:rsidRDefault="00000000">
            <w:pPr>
              <w:jc w:val="center"/>
            </w:pPr>
            <w:r>
              <w:rPr>
                <w:sz w:val="20"/>
                <w:szCs w:val="20"/>
              </w:rPr>
              <w:t>(128,996)</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FBC47C" w14:textId="77777777" w:rsidR="00D8112A" w:rsidRDefault="00000000">
            <w:pPr>
              <w:jc w:val="center"/>
            </w:pPr>
            <w:r>
              <w:rPr>
                <w:sz w:val="20"/>
                <w:szCs w:val="20"/>
              </w:rPr>
              <w:t>374,088</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AD9CF8" w14:textId="77777777" w:rsidR="00D8112A" w:rsidRDefault="00000000">
            <w:pPr>
              <w:jc w:val="center"/>
            </w:pPr>
            <w:r>
              <w:rPr>
                <w:sz w:val="20"/>
                <w:szCs w:val="20"/>
              </w:rPr>
              <w:t>8.7%</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6B9A5A" w14:textId="77777777" w:rsidR="00D8112A" w:rsidRDefault="00000000">
            <w:pPr>
              <w:jc w:val="center"/>
            </w:pPr>
            <w:r>
              <w:rPr>
                <w:sz w:val="20"/>
                <w:szCs w:val="20"/>
              </w:rPr>
              <w:t>280,566</w:t>
            </w:r>
          </w:p>
        </w:tc>
      </w:tr>
      <w:tr w:rsidR="00D8112A" w14:paraId="0D7CDB9D"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35F0204" w14:textId="77777777" w:rsidR="00D8112A" w:rsidRDefault="00000000">
            <w:r>
              <w:rPr>
                <w:sz w:val="20"/>
                <w:szCs w:val="20"/>
              </w:rPr>
              <w:t>2018F</w:t>
            </w:r>
          </w:p>
        </w:tc>
        <w:tc>
          <w:tcPr>
            <w:tcW w:w="1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EDD28F2" w14:textId="77777777" w:rsidR="00D8112A" w:rsidRDefault="00000000">
            <w:pPr>
              <w:jc w:val="center"/>
            </w:pPr>
            <w:r>
              <w:rPr>
                <w:sz w:val="20"/>
                <w:szCs w:val="20"/>
              </w:rPr>
              <w:t>4,299,866</w:t>
            </w:r>
          </w:p>
        </w:tc>
        <w:tc>
          <w:tcPr>
            <w:tcW w:w="13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6578AF6B" w14:textId="77777777" w:rsidR="00D8112A" w:rsidRDefault="00000000">
            <w:pPr>
              <w:jc w:val="center"/>
            </w:pPr>
            <w:r>
              <w:rPr>
                <w:sz w:val="20"/>
                <w:szCs w:val="20"/>
              </w:rPr>
              <w:t>503,084</w:t>
            </w:r>
          </w:p>
        </w:tc>
        <w:tc>
          <w:tcPr>
            <w:tcW w:w="13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61EE7E1A" w14:textId="77777777" w:rsidR="00D8112A" w:rsidRDefault="00000000">
            <w:pPr>
              <w:jc w:val="center"/>
            </w:pPr>
            <w:r>
              <w:rPr>
                <w:sz w:val="20"/>
                <w:szCs w:val="20"/>
              </w:rPr>
              <w:t>(128,996)</w:t>
            </w:r>
          </w:p>
        </w:tc>
        <w:tc>
          <w:tcPr>
            <w:tcW w:w="13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15688A4F" w14:textId="77777777" w:rsidR="00D8112A" w:rsidRDefault="00000000">
            <w:pPr>
              <w:jc w:val="center"/>
            </w:pPr>
            <w:r>
              <w:rPr>
                <w:sz w:val="20"/>
                <w:szCs w:val="20"/>
              </w:rPr>
              <w:t>374,088</w:t>
            </w:r>
          </w:p>
        </w:tc>
        <w:tc>
          <w:tcPr>
            <w:tcW w:w="12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668EAA86" w14:textId="77777777" w:rsidR="00D8112A" w:rsidRDefault="00000000">
            <w:pPr>
              <w:jc w:val="center"/>
            </w:pPr>
            <w:r>
              <w:rPr>
                <w:sz w:val="20"/>
                <w:szCs w:val="20"/>
              </w:rPr>
              <w:t>8.7%</w:t>
            </w:r>
          </w:p>
        </w:tc>
        <w:tc>
          <w:tcPr>
            <w:tcW w:w="13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A30CEDE" w14:textId="77777777" w:rsidR="00D8112A" w:rsidRDefault="00000000">
            <w:pPr>
              <w:jc w:val="center"/>
            </w:pPr>
            <w:r>
              <w:rPr>
                <w:sz w:val="20"/>
                <w:szCs w:val="20"/>
              </w:rPr>
              <w:t>280,566</w:t>
            </w:r>
          </w:p>
        </w:tc>
      </w:tr>
    </w:tbl>
    <w:p w14:paraId="0A01DC06" w14:textId="77777777" w:rsidR="00D8112A" w:rsidRDefault="00D8112A">
      <w:pPr>
        <w:spacing w:before="120" w:after="120"/>
      </w:pPr>
    </w:p>
    <w:p w14:paraId="04627852" w14:textId="77777777" w:rsidR="00D8112A" w:rsidRDefault="00000000">
      <w:pPr>
        <w:spacing w:before="80" w:after="80"/>
      </w:pPr>
      <w:r>
        <w:t>Note: Base case assumes 0% revenue growth, producing identical figures across all forward years. In the upside scenario (8% compound growth), revenue and profit increase each year on a compounding basis.</w:t>
      </w:r>
    </w:p>
    <w:p w14:paraId="50AEA6B9" w14:textId="77777777" w:rsidR="00D8112A" w:rsidRDefault="00000000">
      <w:r>
        <w:br w:type="page"/>
      </w:r>
    </w:p>
    <w:p w14:paraId="573EE53E" w14:textId="77777777" w:rsidR="00D8112A" w:rsidRDefault="00000000">
      <w:pPr>
        <w:pStyle w:val="Heading1"/>
        <w:pBdr>
          <w:bottom w:val="single" w:sz="8" w:space="4" w:color="1E5631"/>
        </w:pBdr>
      </w:pPr>
      <w:r>
        <w:lastRenderedPageBreak/>
        <w:t>4. Value Creation Scenarios</w:t>
      </w:r>
    </w:p>
    <w:p w14:paraId="22ED53CB" w14:textId="77777777" w:rsidR="00D8112A" w:rsidRDefault="00000000">
      <w:pPr>
        <w:spacing w:before="80" w:after="80"/>
      </w:pPr>
      <w:r>
        <w:t>Three value creation scenarios were constructed to quantify the profit improvement available through specific operational actions identified by the SQL analysis. These are distinct from the Downside/Base/Upside revenue scenarios — they represent deal-specific value creation levers evidenced directly from transactional data.</w:t>
      </w:r>
    </w:p>
    <w:p w14:paraId="05B4452D" w14:textId="77777777" w:rsidR="00D8112A" w:rsidRDefault="00D8112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12A" w14:paraId="61E4FA28" w14:textId="77777777">
        <w:tblPrEx>
          <w:tblCellMar>
            <w:top w:w="0" w:type="dxa"/>
            <w:bottom w:w="0" w:type="dxa"/>
          </w:tblCellMar>
        </w:tblPrEx>
        <w:tc>
          <w:tcPr>
            <w:tcW w:w="9360" w:type="dxa"/>
            <w:tcBorders>
              <w:top w:val="single" w:sz="6" w:space="0" w:color="C9A84C"/>
              <w:left w:val="thick" w:sz="12" w:space="0" w:color="C9A84C"/>
              <w:bottom w:val="single" w:sz="6" w:space="0" w:color="C9A84C"/>
              <w:right w:val="none" w:sz="0" w:space="0" w:color="FFFFFF"/>
            </w:tcBorders>
            <w:shd w:val="clear" w:color="auto" w:fill="FFF8E7"/>
            <w:tcMar>
              <w:top w:w="120" w:type="dxa"/>
              <w:left w:w="200" w:type="dxa"/>
              <w:bottom w:w="120" w:type="dxa"/>
              <w:right w:w="120" w:type="dxa"/>
            </w:tcMar>
          </w:tcPr>
          <w:p w14:paraId="6FCE8C30" w14:textId="77777777" w:rsidR="00D8112A" w:rsidRDefault="00000000">
            <w:pPr>
              <w:spacing w:before="60" w:after="60"/>
            </w:pPr>
            <w:r>
              <w:t xml:space="preserve">Important: Each scenario is calculated independently and assumes no interaction effects between levers. In practice, simultaneous implementation may produce different outcomes due to operational interdependencies, market responses, and management capacity constraints. The combined </w:t>
            </w:r>
            <w:proofErr w:type="spellStart"/>
            <w:r>
              <w:t>optimisation</w:t>
            </w:r>
            <w:proofErr w:type="spellEnd"/>
            <w:r>
              <w:t xml:space="preserve"> scenario presents the arithmetic sum of all three levers and should be treated as a theoretical maximum rather than a realistic implementation target.</w:t>
            </w:r>
          </w:p>
        </w:tc>
      </w:tr>
    </w:tbl>
    <w:p w14:paraId="285DBFF4" w14:textId="77777777" w:rsidR="00D8112A" w:rsidRDefault="00000000">
      <w:pPr>
        <w:pStyle w:val="Heading2"/>
      </w:pPr>
      <w:r>
        <w:t xml:space="preserve">4.1 Scenario A — Tables Discount </w:t>
      </w:r>
      <w:proofErr w:type="spellStart"/>
      <w:r>
        <w:t>Rationalisation</w:t>
      </w:r>
      <w:proofErr w:type="spellEnd"/>
    </w:p>
    <w:p w14:paraId="2F99AAF0" w14:textId="77777777" w:rsidR="00D8112A" w:rsidRDefault="00000000">
      <w:pPr>
        <w:spacing w:before="80" w:after="80"/>
      </w:pPr>
      <w:r>
        <w:t>Source query: Query 09 (Unit Economics Diagnostic)</w:t>
      </w:r>
    </w:p>
    <w:p w14:paraId="353F94FA" w14:textId="77777777" w:rsidR="00D8112A" w:rsidRDefault="00000000">
      <w:pPr>
        <w:spacing w:before="80" w:after="80"/>
      </w:pPr>
      <w:r>
        <w:t>Hypothesis: If Tables discounting is reduced from 29% to the company average of 14.3%, the effective selling price will exceed unit cost, converting a loss-making sub-category into a profitable one.</w:t>
      </w:r>
    </w:p>
    <w:p w14:paraId="634301DA" w14:textId="77777777" w:rsidR="00D8112A" w:rsidRDefault="00D8112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2160"/>
        <w:gridCol w:w="2400"/>
      </w:tblGrid>
      <w:tr w:rsidR="00D8112A" w14:paraId="7D3C97F1" w14:textId="77777777">
        <w:tblPrEx>
          <w:tblCellMar>
            <w:top w:w="0" w:type="dxa"/>
            <w:bottom w:w="0" w:type="dxa"/>
          </w:tblCellMar>
        </w:tblPrEx>
        <w:trPr>
          <w:tblHeader/>
        </w:trPr>
        <w:tc>
          <w:tcPr>
            <w:tcW w:w="30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1CAAE988" w14:textId="77777777" w:rsidR="00D8112A" w:rsidRDefault="00000000">
            <w:pPr>
              <w:jc w:val="center"/>
            </w:pPr>
            <w:r>
              <w:rPr>
                <w:b/>
                <w:bCs/>
                <w:color w:val="FFFFFF"/>
                <w:sz w:val="20"/>
                <w:szCs w:val="20"/>
              </w:rPr>
              <w:t>Metric</w:t>
            </w:r>
          </w:p>
        </w:tc>
        <w:tc>
          <w:tcPr>
            <w:tcW w:w="18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63CDB802" w14:textId="77777777" w:rsidR="00D8112A" w:rsidRDefault="00000000">
            <w:pPr>
              <w:jc w:val="center"/>
            </w:pPr>
            <w:r>
              <w:rPr>
                <w:b/>
                <w:bCs/>
                <w:color w:val="FFFFFF"/>
                <w:sz w:val="20"/>
                <w:szCs w:val="20"/>
              </w:rPr>
              <w:t>Current</w:t>
            </w:r>
          </w:p>
        </w:tc>
        <w:tc>
          <w:tcPr>
            <w:tcW w:w="216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66190801" w14:textId="77777777" w:rsidR="00D8112A" w:rsidRDefault="00000000">
            <w:pPr>
              <w:jc w:val="center"/>
            </w:pPr>
            <w:r>
              <w:rPr>
                <w:b/>
                <w:bCs/>
                <w:color w:val="FFFFFF"/>
                <w:sz w:val="20"/>
                <w:szCs w:val="20"/>
              </w:rPr>
              <w:t>Post-</w:t>
            </w:r>
            <w:proofErr w:type="spellStart"/>
            <w:r>
              <w:rPr>
                <w:b/>
                <w:bCs/>
                <w:color w:val="FFFFFF"/>
                <w:sz w:val="20"/>
                <w:szCs w:val="20"/>
              </w:rPr>
              <w:t>Rationalisation</w:t>
            </w:r>
            <w:proofErr w:type="spellEnd"/>
          </w:p>
        </w:tc>
        <w:tc>
          <w:tcPr>
            <w:tcW w:w="24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6955020D" w14:textId="77777777" w:rsidR="00D8112A" w:rsidRDefault="00000000">
            <w:pPr>
              <w:jc w:val="center"/>
            </w:pPr>
            <w:r>
              <w:rPr>
                <w:b/>
                <w:bCs/>
                <w:color w:val="FFFFFF"/>
                <w:sz w:val="20"/>
                <w:szCs w:val="20"/>
              </w:rPr>
              <w:t>Improvement</w:t>
            </w:r>
          </w:p>
        </w:tc>
      </w:tr>
      <w:tr w:rsidR="00D8112A" w14:paraId="6A614AC2"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9DF5FC" w14:textId="77777777" w:rsidR="00D8112A" w:rsidRDefault="00000000">
            <w:r>
              <w:rPr>
                <w:sz w:val="20"/>
                <w:szCs w:val="20"/>
              </w:rPr>
              <w:t>Average Discount Rate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EF27AB7" w14:textId="77777777" w:rsidR="00D8112A" w:rsidRDefault="00000000">
            <w:pPr>
              <w:jc w:val="center"/>
            </w:pPr>
            <w:r>
              <w:rPr>
                <w:sz w:val="20"/>
                <w:szCs w:val="20"/>
              </w:rPr>
              <w:t>29.0%</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75ACB32" w14:textId="77777777" w:rsidR="00D8112A" w:rsidRDefault="00000000">
            <w:pPr>
              <w:jc w:val="center"/>
            </w:pPr>
            <w:r>
              <w:rPr>
                <w:sz w:val="20"/>
                <w:szCs w:val="20"/>
              </w:rPr>
              <w:t>14.3%</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321BCD" w14:textId="77777777" w:rsidR="00D8112A" w:rsidRDefault="00000000">
            <w:pPr>
              <w:jc w:val="center"/>
            </w:pPr>
            <w:r>
              <w:rPr>
                <w:sz w:val="20"/>
                <w:szCs w:val="20"/>
              </w:rPr>
              <w:t>-14.7 ppts</w:t>
            </w:r>
          </w:p>
        </w:tc>
      </w:tr>
      <w:tr w:rsidR="00D8112A" w14:paraId="311D213B"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17DD2AA" w14:textId="77777777" w:rsidR="00D8112A" w:rsidRDefault="00000000">
            <w:r>
              <w:rPr>
                <w:sz w:val="20"/>
                <w:szCs w:val="20"/>
              </w:rPr>
              <w:t>Implied List Price</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3078399" w14:textId="77777777" w:rsidR="00D8112A" w:rsidRDefault="00000000">
            <w:pPr>
              <w:jc w:val="center"/>
            </w:pPr>
            <w:r>
              <w:rPr>
                <w:sz w:val="20"/>
                <w:szCs w:val="20"/>
              </w:rPr>
              <w:t>$345.84</w:t>
            </w:r>
          </w:p>
        </w:tc>
        <w:tc>
          <w:tcPr>
            <w:tcW w:w="2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12505522" w14:textId="77777777" w:rsidR="00D8112A" w:rsidRDefault="00000000">
            <w:pPr>
              <w:jc w:val="center"/>
            </w:pPr>
            <w:r>
              <w:rPr>
                <w:sz w:val="20"/>
                <w:szCs w:val="20"/>
              </w:rPr>
              <w:t>$345.84</w:t>
            </w:r>
          </w:p>
        </w:tc>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2EDEB6F2" w14:textId="77777777" w:rsidR="00D8112A" w:rsidRDefault="00000000">
            <w:pPr>
              <w:jc w:val="center"/>
            </w:pPr>
            <w:r>
              <w:rPr>
                <w:sz w:val="20"/>
                <w:szCs w:val="20"/>
              </w:rPr>
              <w:t>Unchanged</w:t>
            </w:r>
          </w:p>
        </w:tc>
      </w:tr>
      <w:tr w:rsidR="00D8112A" w14:paraId="4E137DCD"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909A91" w14:textId="77777777" w:rsidR="00D8112A" w:rsidRDefault="00000000">
            <w:r>
              <w:rPr>
                <w:sz w:val="20"/>
                <w:szCs w:val="20"/>
              </w:rPr>
              <w:t>Effective Selling Price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786871D" w14:textId="77777777" w:rsidR="00D8112A" w:rsidRDefault="00000000">
            <w:pPr>
              <w:jc w:val="center"/>
            </w:pPr>
            <w:r>
              <w:rPr>
                <w:sz w:val="20"/>
                <w:szCs w:val="20"/>
              </w:rPr>
              <w:t>$245.55</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FA4697" w14:textId="77777777" w:rsidR="00D8112A" w:rsidRDefault="00000000">
            <w:pPr>
              <w:jc w:val="center"/>
            </w:pPr>
            <w:r>
              <w:rPr>
                <w:sz w:val="20"/>
                <w:szCs w:val="20"/>
              </w:rPr>
              <w:t>$296.39</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272EDA4" w14:textId="77777777" w:rsidR="00D8112A" w:rsidRDefault="00000000">
            <w:pPr>
              <w:jc w:val="center"/>
            </w:pPr>
            <w:r>
              <w:rPr>
                <w:sz w:val="20"/>
                <w:szCs w:val="20"/>
              </w:rPr>
              <w:t>+$50.84</w:t>
            </w:r>
          </w:p>
        </w:tc>
      </w:tr>
      <w:tr w:rsidR="00D8112A" w14:paraId="7DEFEBD2"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CCDF76A" w14:textId="77777777" w:rsidR="00D8112A" w:rsidRDefault="00000000">
            <w:r>
              <w:rPr>
                <w:sz w:val="20"/>
                <w:szCs w:val="20"/>
              </w:rPr>
              <w:t>Average Unit Cost</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64998475" w14:textId="77777777" w:rsidR="00D8112A" w:rsidRDefault="00000000">
            <w:pPr>
              <w:jc w:val="center"/>
            </w:pPr>
            <w:r>
              <w:rPr>
                <w:sz w:val="20"/>
                <w:szCs w:val="20"/>
              </w:rPr>
              <w:t>$266.34</w:t>
            </w:r>
          </w:p>
        </w:tc>
        <w:tc>
          <w:tcPr>
            <w:tcW w:w="2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707B6C5F" w14:textId="77777777" w:rsidR="00D8112A" w:rsidRDefault="00000000">
            <w:pPr>
              <w:jc w:val="center"/>
            </w:pPr>
            <w:r>
              <w:rPr>
                <w:sz w:val="20"/>
                <w:szCs w:val="20"/>
              </w:rPr>
              <w:t>$266.34</w:t>
            </w:r>
          </w:p>
        </w:tc>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9F9599E" w14:textId="77777777" w:rsidR="00D8112A" w:rsidRDefault="00000000">
            <w:pPr>
              <w:jc w:val="center"/>
            </w:pPr>
            <w:r>
              <w:rPr>
                <w:sz w:val="20"/>
                <w:szCs w:val="20"/>
              </w:rPr>
              <w:t>Unchanged</w:t>
            </w:r>
          </w:p>
        </w:tc>
      </w:tr>
      <w:tr w:rsidR="00D8112A" w14:paraId="10930C51"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36C6EE" w14:textId="77777777" w:rsidR="00D8112A" w:rsidRDefault="00000000">
            <w:r>
              <w:rPr>
                <w:sz w:val="20"/>
                <w:szCs w:val="20"/>
              </w:rPr>
              <w:t>Unit Profit / (Loss)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7A8B2D" w14:textId="77777777" w:rsidR="00D8112A" w:rsidRDefault="00000000">
            <w:pPr>
              <w:jc w:val="center"/>
            </w:pPr>
            <w:r>
              <w:rPr>
                <w:sz w:val="20"/>
                <w:szCs w:val="20"/>
              </w:rPr>
              <w:t>($20.79)</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3A1AC9" w14:textId="77777777" w:rsidR="00D8112A" w:rsidRDefault="00000000">
            <w:pPr>
              <w:jc w:val="center"/>
            </w:pPr>
            <w:r>
              <w:rPr>
                <w:sz w:val="20"/>
                <w:szCs w:val="20"/>
              </w:rPr>
              <w:t>$30.05</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2257E8" w14:textId="77777777" w:rsidR="00D8112A" w:rsidRDefault="00000000">
            <w:pPr>
              <w:jc w:val="center"/>
            </w:pPr>
            <w:r>
              <w:rPr>
                <w:sz w:val="20"/>
                <w:szCs w:val="20"/>
              </w:rPr>
              <w:t>+$50.84</w:t>
            </w:r>
          </w:p>
        </w:tc>
      </w:tr>
      <w:tr w:rsidR="00D8112A" w14:paraId="5512BA8B"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744C3944" w14:textId="77777777" w:rsidR="00D8112A" w:rsidRDefault="00000000">
            <w:r>
              <w:rPr>
                <w:sz w:val="20"/>
                <w:szCs w:val="20"/>
              </w:rPr>
              <w:t>Total Units Sold (4yr)</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2B3DEE99" w14:textId="77777777" w:rsidR="00D8112A" w:rsidRDefault="00000000">
            <w:pPr>
              <w:jc w:val="center"/>
            </w:pPr>
            <w:r>
              <w:rPr>
                <w:sz w:val="20"/>
                <w:szCs w:val="20"/>
              </w:rPr>
              <w:t>3,083</w:t>
            </w:r>
          </w:p>
        </w:tc>
        <w:tc>
          <w:tcPr>
            <w:tcW w:w="2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1F73808" w14:textId="77777777" w:rsidR="00D8112A" w:rsidRDefault="00000000">
            <w:pPr>
              <w:jc w:val="center"/>
            </w:pPr>
            <w:r>
              <w:rPr>
                <w:sz w:val="20"/>
                <w:szCs w:val="20"/>
              </w:rPr>
              <w:t>3,083</w:t>
            </w:r>
          </w:p>
        </w:tc>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42D3339" w14:textId="77777777" w:rsidR="00D8112A" w:rsidRDefault="00000000">
            <w:pPr>
              <w:jc w:val="center"/>
            </w:pPr>
            <w:r>
              <w:rPr>
                <w:sz w:val="20"/>
                <w:szCs w:val="20"/>
              </w:rPr>
              <w:t>—</w:t>
            </w:r>
          </w:p>
        </w:tc>
      </w:tr>
      <w:tr w:rsidR="00D8112A" w14:paraId="55957616"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8B571B" w14:textId="77777777" w:rsidR="00D8112A" w:rsidRDefault="00000000">
            <w:r>
              <w:rPr>
                <w:sz w:val="20"/>
                <w:szCs w:val="20"/>
              </w:rPr>
              <w:t>Annual Profit Improvement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997196" w14:textId="77777777" w:rsidR="00D8112A" w:rsidRDefault="00000000">
            <w:pPr>
              <w:jc w:val="center"/>
            </w:pPr>
            <w:r>
              <w:rPr>
                <w:sz w:val="20"/>
                <w:szCs w:val="20"/>
              </w:rPr>
              <w:t>—</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FA76BF9" w14:textId="77777777" w:rsidR="00D8112A" w:rsidRDefault="00000000">
            <w:pPr>
              <w:jc w:val="center"/>
            </w:pPr>
            <w:r>
              <w:rPr>
                <w:sz w:val="20"/>
                <w:szCs w:val="20"/>
              </w:rPr>
              <w:t>—</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E5F930" w14:textId="77777777" w:rsidR="00D8112A" w:rsidRDefault="00000000">
            <w:pPr>
              <w:jc w:val="center"/>
            </w:pPr>
            <w:r>
              <w:rPr>
                <w:sz w:val="20"/>
                <w:szCs w:val="20"/>
              </w:rPr>
              <w:t>$156,740</w:t>
            </w:r>
          </w:p>
        </w:tc>
      </w:tr>
    </w:tbl>
    <w:p w14:paraId="61E0070D" w14:textId="77777777" w:rsidR="00D8112A" w:rsidRDefault="00D8112A">
      <w:pPr>
        <w:spacing w:before="120" w:after="120"/>
      </w:pPr>
    </w:p>
    <w:p w14:paraId="6A7B6E7D" w14:textId="77777777" w:rsidR="00D8112A" w:rsidRDefault="00000000">
      <w:pPr>
        <w:pStyle w:val="ListParagraph"/>
        <w:numPr>
          <w:ilvl w:val="0"/>
          <w:numId w:val="2"/>
        </w:numPr>
        <w:spacing w:before="60" w:after="60"/>
      </w:pPr>
      <w:r>
        <w:t>This is the most immediately actionable value creation lever — it requires no capital expenditure, no operational restructuring, and no product changes</w:t>
      </w:r>
    </w:p>
    <w:p w14:paraId="1C4A996A" w14:textId="77777777" w:rsidR="00D8112A" w:rsidRDefault="00000000">
      <w:pPr>
        <w:pStyle w:val="ListParagraph"/>
        <w:numPr>
          <w:ilvl w:val="0"/>
          <w:numId w:val="2"/>
        </w:numPr>
        <w:spacing w:before="60" w:after="60"/>
      </w:pPr>
      <w:r>
        <w:t>The entire improvement is achievable through pricing discipline alone: removing the excessive discount applied to Tables transactions</w:t>
      </w:r>
    </w:p>
    <w:p w14:paraId="74EC2F7A" w14:textId="77777777" w:rsidR="00D8112A" w:rsidRDefault="00000000">
      <w:pPr>
        <w:pStyle w:val="ListParagraph"/>
        <w:numPr>
          <w:ilvl w:val="0"/>
          <w:numId w:val="2"/>
        </w:numPr>
        <w:spacing w:before="60" w:after="60"/>
      </w:pPr>
      <w:r>
        <w:t>The $156,740 improvement represents a 41.9% uplift on the base case EBIT of $374,088</w:t>
      </w:r>
    </w:p>
    <w:p w14:paraId="23E64F76" w14:textId="77777777" w:rsidR="00D8112A" w:rsidRDefault="00000000">
      <w:pPr>
        <w:pStyle w:val="Heading2"/>
      </w:pPr>
      <w:r>
        <w:t>4.2 Scenario B — Office Supplies Margin Recovery</w:t>
      </w:r>
    </w:p>
    <w:p w14:paraId="55832A52" w14:textId="77777777" w:rsidR="00D8112A" w:rsidRDefault="00000000">
      <w:pPr>
        <w:spacing w:before="80" w:after="80"/>
      </w:pPr>
      <w:r>
        <w:lastRenderedPageBreak/>
        <w:t>Source queries: Query 03 (Category Analysis), Query 07 (Profit Contribution), Query 08 (Discount Analysis)</w:t>
      </w:r>
    </w:p>
    <w:p w14:paraId="23FB7E6E" w14:textId="77777777" w:rsidR="00D8112A" w:rsidRDefault="00000000">
      <w:pPr>
        <w:spacing w:before="80" w:after="80"/>
      </w:pPr>
      <w:r>
        <w:t xml:space="preserve">Hypothesis: Office </w:t>
      </w:r>
      <w:proofErr w:type="gramStart"/>
      <w:r>
        <w:t>Supplies</w:t>
      </w:r>
      <w:proofErr w:type="gramEnd"/>
      <w:r>
        <w:t xml:space="preserve"> margin of 7% is significantly below the category average of 14%. Since Office Supplies </w:t>
      </w:r>
      <w:proofErr w:type="gramStart"/>
      <w:r>
        <w:t>has</w:t>
      </w:r>
      <w:proofErr w:type="gramEnd"/>
      <w:r>
        <w:t xml:space="preserve"> below-average </w:t>
      </w:r>
      <w:proofErr w:type="gramStart"/>
      <w:r>
        <w:t>discounting</w:t>
      </w:r>
      <w:proofErr w:type="gramEnd"/>
      <w:r>
        <w:t xml:space="preserve"> (13.7%), the weakness is cost-driven rather than price-driven. A recovery to 10% margin — halfway toward the category average — is a conservative and defensible target.</w:t>
      </w:r>
    </w:p>
    <w:p w14:paraId="022E185B" w14:textId="77777777" w:rsidR="00D8112A" w:rsidRDefault="00D8112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5200"/>
      </w:tblGrid>
      <w:tr w:rsidR="00D8112A" w14:paraId="550C9C47" w14:textId="77777777">
        <w:tblPrEx>
          <w:tblCellMar>
            <w:top w:w="0" w:type="dxa"/>
            <w:bottom w:w="0" w:type="dxa"/>
          </w:tblCellMar>
        </w:tblPrEx>
        <w:trPr>
          <w:tblHeader/>
        </w:trPr>
        <w:tc>
          <w:tcPr>
            <w:tcW w:w="416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3D691F18" w14:textId="77777777" w:rsidR="00D8112A" w:rsidRDefault="00000000">
            <w:pPr>
              <w:jc w:val="center"/>
            </w:pPr>
            <w:r>
              <w:rPr>
                <w:b/>
                <w:bCs/>
                <w:color w:val="FFFFFF"/>
                <w:sz w:val="20"/>
                <w:szCs w:val="20"/>
              </w:rPr>
              <w:t>Metric</w:t>
            </w:r>
          </w:p>
        </w:tc>
        <w:tc>
          <w:tcPr>
            <w:tcW w:w="52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04DAB2DE" w14:textId="77777777" w:rsidR="00D8112A" w:rsidRDefault="00000000">
            <w:pPr>
              <w:jc w:val="center"/>
            </w:pPr>
            <w:r>
              <w:rPr>
                <w:b/>
                <w:bCs/>
                <w:color w:val="FFFFFF"/>
                <w:sz w:val="20"/>
                <w:szCs w:val="20"/>
              </w:rPr>
              <w:t>Value</w:t>
            </w:r>
          </w:p>
        </w:tc>
      </w:tr>
      <w:tr w:rsidR="00D8112A" w14:paraId="7D34F668" w14:textId="77777777">
        <w:tblPrEx>
          <w:tblCellMar>
            <w:top w:w="0" w:type="dxa"/>
            <w:bottom w:w="0" w:type="dxa"/>
          </w:tblCellMar>
        </w:tblPrEx>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D44162" w14:textId="77777777" w:rsidR="00D8112A" w:rsidRDefault="00000000">
            <w:r>
              <w:rPr>
                <w:sz w:val="20"/>
                <w:szCs w:val="20"/>
              </w:rPr>
              <w:t>Office Supplies Total Revenue (4yr)</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CDD3486" w14:textId="77777777" w:rsidR="00D8112A" w:rsidRDefault="00000000">
            <w:pPr>
              <w:jc w:val="center"/>
            </w:pPr>
            <w:r>
              <w:rPr>
                <w:sz w:val="20"/>
                <w:szCs w:val="20"/>
              </w:rPr>
              <w:t>$4,110,874</w:t>
            </w:r>
          </w:p>
        </w:tc>
      </w:tr>
      <w:tr w:rsidR="00D8112A" w14:paraId="54A6050D" w14:textId="77777777">
        <w:tblPrEx>
          <w:tblCellMar>
            <w:top w:w="0" w:type="dxa"/>
            <w:bottom w:w="0" w:type="dxa"/>
          </w:tblCellMar>
        </w:tblPrEx>
        <w:tc>
          <w:tcPr>
            <w:tcW w:w="4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73DDEC30" w14:textId="77777777" w:rsidR="00D8112A" w:rsidRDefault="00000000">
            <w:r>
              <w:rPr>
                <w:sz w:val="20"/>
                <w:szCs w:val="20"/>
              </w:rPr>
              <w:t>Current OC at 7% margin</w:t>
            </w:r>
          </w:p>
        </w:tc>
        <w:tc>
          <w:tcPr>
            <w:tcW w:w="5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23BAE9BF" w14:textId="77777777" w:rsidR="00D8112A" w:rsidRDefault="00000000">
            <w:pPr>
              <w:jc w:val="center"/>
            </w:pPr>
            <w:r>
              <w:rPr>
                <w:sz w:val="20"/>
                <w:szCs w:val="20"/>
              </w:rPr>
              <w:t>$285,205</w:t>
            </w:r>
          </w:p>
        </w:tc>
      </w:tr>
      <w:tr w:rsidR="00D8112A" w14:paraId="12ADDE9C" w14:textId="77777777">
        <w:tblPrEx>
          <w:tblCellMar>
            <w:top w:w="0" w:type="dxa"/>
            <w:bottom w:w="0" w:type="dxa"/>
          </w:tblCellMar>
        </w:tblPrEx>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1C9433" w14:textId="77777777" w:rsidR="00D8112A" w:rsidRDefault="00000000">
            <w:r>
              <w:rPr>
                <w:sz w:val="20"/>
                <w:szCs w:val="20"/>
              </w:rPr>
              <w:t>Target OC at 10% margin</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36E1F26" w14:textId="77777777" w:rsidR="00D8112A" w:rsidRDefault="00000000">
            <w:pPr>
              <w:jc w:val="center"/>
            </w:pPr>
            <w:r>
              <w:rPr>
                <w:sz w:val="20"/>
                <w:szCs w:val="20"/>
              </w:rPr>
              <w:t>$411,087</w:t>
            </w:r>
          </w:p>
        </w:tc>
      </w:tr>
      <w:tr w:rsidR="00D8112A" w14:paraId="7E505304" w14:textId="77777777">
        <w:tblPrEx>
          <w:tblCellMar>
            <w:top w:w="0" w:type="dxa"/>
            <w:bottom w:w="0" w:type="dxa"/>
          </w:tblCellMar>
        </w:tblPrEx>
        <w:tc>
          <w:tcPr>
            <w:tcW w:w="4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341B474" w14:textId="77777777" w:rsidR="00D8112A" w:rsidRDefault="00000000">
            <w:r>
              <w:rPr>
                <w:sz w:val="20"/>
                <w:szCs w:val="20"/>
              </w:rPr>
              <w:t>Profit Improvement (annual equivalent)</w:t>
            </w:r>
          </w:p>
        </w:tc>
        <w:tc>
          <w:tcPr>
            <w:tcW w:w="5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7AB49F4D" w14:textId="77777777" w:rsidR="00D8112A" w:rsidRDefault="00000000">
            <w:pPr>
              <w:jc w:val="center"/>
            </w:pPr>
            <w:r>
              <w:rPr>
                <w:sz w:val="20"/>
                <w:szCs w:val="20"/>
              </w:rPr>
              <w:t>$113,612</w:t>
            </w:r>
          </w:p>
        </w:tc>
      </w:tr>
      <w:tr w:rsidR="00D8112A" w14:paraId="31AA9F0F" w14:textId="77777777">
        <w:tblPrEx>
          <w:tblCellMar>
            <w:top w:w="0" w:type="dxa"/>
            <w:bottom w:w="0" w:type="dxa"/>
          </w:tblCellMar>
        </w:tblPrEx>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8DBF01" w14:textId="77777777" w:rsidR="00D8112A" w:rsidRDefault="00000000">
            <w:r>
              <w:rPr>
                <w:sz w:val="20"/>
                <w:szCs w:val="20"/>
              </w:rPr>
              <w:t>Basis for 10% target</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AE5819F" w14:textId="77777777" w:rsidR="00D8112A" w:rsidRDefault="00000000">
            <w:pPr>
              <w:jc w:val="center"/>
            </w:pPr>
            <w:r>
              <w:rPr>
                <w:sz w:val="20"/>
                <w:szCs w:val="20"/>
              </w:rPr>
              <w:t>Conservative midpoint between current 7% and category average 14%</w:t>
            </w:r>
          </w:p>
        </w:tc>
      </w:tr>
    </w:tbl>
    <w:p w14:paraId="79A4C44F" w14:textId="77777777" w:rsidR="00D8112A" w:rsidRDefault="00D8112A">
      <w:pPr>
        <w:spacing w:before="120" w:after="120"/>
      </w:pPr>
    </w:p>
    <w:p w14:paraId="410BFDF0" w14:textId="77777777" w:rsidR="00D8112A" w:rsidRDefault="00000000">
      <w:pPr>
        <w:pStyle w:val="ListParagraph"/>
        <w:numPr>
          <w:ilvl w:val="0"/>
          <w:numId w:val="2"/>
        </w:numPr>
        <w:spacing w:before="60" w:after="60"/>
      </w:pPr>
      <w:r>
        <w:t>This is the largest potential value creation lever by dollar amount at $113,612</w:t>
      </w:r>
    </w:p>
    <w:p w14:paraId="0419C81E" w14:textId="77777777" w:rsidR="00D8112A" w:rsidRDefault="00000000">
      <w:pPr>
        <w:pStyle w:val="ListParagraph"/>
        <w:numPr>
          <w:ilvl w:val="0"/>
          <w:numId w:val="2"/>
        </w:numPr>
        <w:spacing w:before="60" w:after="60"/>
      </w:pPr>
      <w:r>
        <w:t>Unlike Scenario A, this improvement is not immediately actionable — it requires investigation into the cost structure of Office Supplies, which cannot be determined from transactional data alone</w:t>
      </w:r>
    </w:p>
    <w:p w14:paraId="6C1ED7E6" w14:textId="77777777" w:rsidR="00D8112A" w:rsidRDefault="00000000">
      <w:pPr>
        <w:pStyle w:val="ListParagraph"/>
        <w:numPr>
          <w:ilvl w:val="0"/>
          <w:numId w:val="2"/>
        </w:numPr>
        <w:spacing w:before="60" w:after="60"/>
      </w:pPr>
      <w:r>
        <w:t xml:space="preserve">Possible drivers of the margin gap </w:t>
      </w:r>
      <w:proofErr w:type="gramStart"/>
      <w:r>
        <w:t>include:</w:t>
      </w:r>
      <w:proofErr w:type="gramEnd"/>
      <w:r>
        <w:t xml:space="preserve"> higher supplier costs, </w:t>
      </w:r>
      <w:proofErr w:type="spellStart"/>
      <w:r>
        <w:t>unfavourable</w:t>
      </w:r>
      <w:proofErr w:type="spellEnd"/>
      <w:r>
        <w:t xml:space="preserve"> product mix within the category, higher fulfilment costs for low-value items, or pricing below market rates</w:t>
      </w:r>
    </w:p>
    <w:p w14:paraId="764D8AD0" w14:textId="77777777" w:rsidR="00D8112A" w:rsidRDefault="00000000">
      <w:pPr>
        <w:pStyle w:val="ListParagraph"/>
        <w:numPr>
          <w:ilvl w:val="0"/>
          <w:numId w:val="2"/>
        </w:numPr>
        <w:spacing w:before="60" w:after="60"/>
      </w:pPr>
      <w:r>
        <w:t xml:space="preserve">Full </w:t>
      </w:r>
      <w:proofErr w:type="spellStart"/>
      <w:r>
        <w:t>realisation</w:t>
      </w:r>
      <w:proofErr w:type="spellEnd"/>
      <w:r>
        <w:t xml:space="preserve"> of this scenario requires cost structure analysis as part of financial due diligence</w:t>
      </w:r>
    </w:p>
    <w:p w14:paraId="17D33BEF" w14:textId="77777777" w:rsidR="00D8112A" w:rsidRDefault="00000000">
      <w:pPr>
        <w:pStyle w:val="Heading2"/>
      </w:pPr>
      <w:r>
        <w:t>4.3 Scenario C — Technology Revenue Acceleration</w:t>
      </w:r>
    </w:p>
    <w:p w14:paraId="1DAF08BB" w14:textId="77777777" w:rsidR="00D8112A" w:rsidRDefault="00000000">
      <w:pPr>
        <w:spacing w:before="80" w:after="80"/>
      </w:pPr>
      <w:r>
        <w:t>Source query: Query 03 (Category Analysis)</w:t>
      </w:r>
    </w:p>
    <w:p w14:paraId="5EEEBDA8" w14:textId="77777777" w:rsidR="00D8112A" w:rsidRDefault="00000000">
      <w:pPr>
        <w:spacing w:before="80" w:after="80"/>
      </w:pPr>
      <w:r>
        <w:t>Hypothesis: Technology is the highest-quality category in the portfolio at 14% margin and 45.2% profit contribution. Accelerating Technology revenue growth from the base case of 8% to 15% generates incremental high-margin revenue, improving blended portfolio profitability.</w:t>
      </w:r>
    </w:p>
    <w:p w14:paraId="07EEBA10" w14:textId="77777777" w:rsidR="00D8112A" w:rsidRDefault="00D8112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D8112A" w14:paraId="20947E9C" w14:textId="77777777">
        <w:tblPrEx>
          <w:tblCellMar>
            <w:top w:w="0" w:type="dxa"/>
            <w:bottom w:w="0" w:type="dxa"/>
          </w:tblCellMar>
        </w:tblPrEx>
        <w:trPr>
          <w:tblHeader/>
        </w:trPr>
        <w:tc>
          <w:tcPr>
            <w:tcW w:w="456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6C64BE18" w14:textId="77777777" w:rsidR="00D8112A" w:rsidRDefault="00000000">
            <w:pPr>
              <w:jc w:val="center"/>
            </w:pPr>
            <w:r>
              <w:rPr>
                <w:b/>
                <w:bCs/>
                <w:color w:val="FFFFFF"/>
                <w:sz w:val="20"/>
                <w:szCs w:val="20"/>
              </w:rPr>
              <w:t>Metric</w:t>
            </w:r>
          </w:p>
        </w:tc>
        <w:tc>
          <w:tcPr>
            <w:tcW w:w="48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6FDD8717" w14:textId="77777777" w:rsidR="00D8112A" w:rsidRDefault="00000000">
            <w:pPr>
              <w:jc w:val="center"/>
            </w:pPr>
            <w:r>
              <w:rPr>
                <w:b/>
                <w:bCs/>
                <w:color w:val="FFFFFF"/>
                <w:sz w:val="20"/>
                <w:szCs w:val="20"/>
              </w:rPr>
              <w:t>Value</w:t>
            </w:r>
          </w:p>
        </w:tc>
      </w:tr>
      <w:tr w:rsidR="00D8112A" w14:paraId="487B341F" w14:textId="77777777">
        <w:tblPrEx>
          <w:tblCellMar>
            <w:top w:w="0" w:type="dxa"/>
            <w:bottom w:w="0" w:type="dxa"/>
          </w:tblCellMar>
        </w:tblPrEx>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C9E6E2" w14:textId="77777777" w:rsidR="00D8112A" w:rsidRDefault="00000000">
            <w:r>
              <w:rPr>
                <w:sz w:val="20"/>
                <w:szCs w:val="20"/>
              </w:rPr>
              <w:t>2014A Technology Revenue</w:t>
            </w:r>
          </w:p>
        </w:tc>
        <w:tc>
          <w:tcPr>
            <w:tcW w:w="4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AB5F7F" w14:textId="77777777" w:rsidR="00D8112A" w:rsidRDefault="00000000">
            <w:pPr>
              <w:jc w:val="center"/>
            </w:pPr>
            <w:r>
              <w:rPr>
                <w:sz w:val="20"/>
                <w:szCs w:val="20"/>
              </w:rPr>
              <w:t>$4,744,558</w:t>
            </w:r>
          </w:p>
        </w:tc>
      </w:tr>
      <w:tr w:rsidR="00D8112A" w14:paraId="332B4048" w14:textId="77777777">
        <w:tblPrEx>
          <w:tblCellMar>
            <w:top w:w="0" w:type="dxa"/>
            <w:bottom w:w="0" w:type="dxa"/>
          </w:tblCellMar>
        </w:tblPrEx>
        <w:tc>
          <w:tcPr>
            <w:tcW w:w="45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98B70D0" w14:textId="77777777" w:rsidR="00D8112A" w:rsidRDefault="00000000">
            <w:r>
              <w:rPr>
                <w:sz w:val="20"/>
                <w:szCs w:val="20"/>
              </w:rPr>
              <w:t>Technology Revenue at 8% growth (base)</w:t>
            </w:r>
          </w:p>
        </w:tc>
        <w:tc>
          <w:tcPr>
            <w:tcW w:w="4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573B674" w14:textId="77777777" w:rsidR="00D8112A" w:rsidRDefault="00000000">
            <w:pPr>
              <w:jc w:val="center"/>
            </w:pPr>
            <w:r>
              <w:rPr>
                <w:sz w:val="20"/>
                <w:szCs w:val="20"/>
              </w:rPr>
              <w:t>$5,124,122</w:t>
            </w:r>
          </w:p>
        </w:tc>
      </w:tr>
      <w:tr w:rsidR="00D8112A" w14:paraId="36F39FF4" w14:textId="77777777">
        <w:tblPrEx>
          <w:tblCellMar>
            <w:top w:w="0" w:type="dxa"/>
            <w:bottom w:w="0" w:type="dxa"/>
          </w:tblCellMar>
        </w:tblPrEx>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D4DD037" w14:textId="77777777" w:rsidR="00D8112A" w:rsidRDefault="00000000">
            <w:r>
              <w:rPr>
                <w:sz w:val="20"/>
                <w:szCs w:val="20"/>
              </w:rPr>
              <w:t>Technology Revenue at 15% growth (accelerated)</w:t>
            </w:r>
          </w:p>
        </w:tc>
        <w:tc>
          <w:tcPr>
            <w:tcW w:w="4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D39A173" w14:textId="77777777" w:rsidR="00D8112A" w:rsidRDefault="00000000">
            <w:pPr>
              <w:jc w:val="center"/>
            </w:pPr>
            <w:r>
              <w:rPr>
                <w:sz w:val="20"/>
                <w:szCs w:val="20"/>
              </w:rPr>
              <w:t>$5,456,241</w:t>
            </w:r>
          </w:p>
        </w:tc>
      </w:tr>
      <w:tr w:rsidR="00D8112A" w14:paraId="3EC44CC7" w14:textId="77777777">
        <w:tblPrEx>
          <w:tblCellMar>
            <w:top w:w="0" w:type="dxa"/>
            <w:bottom w:w="0" w:type="dxa"/>
          </w:tblCellMar>
        </w:tblPrEx>
        <w:tc>
          <w:tcPr>
            <w:tcW w:w="45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B4C320D" w14:textId="77777777" w:rsidR="00D8112A" w:rsidRDefault="00000000">
            <w:r>
              <w:rPr>
                <w:sz w:val="20"/>
                <w:szCs w:val="20"/>
              </w:rPr>
              <w:t>Incremental Revenue</w:t>
            </w:r>
          </w:p>
        </w:tc>
        <w:tc>
          <w:tcPr>
            <w:tcW w:w="4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7528F177" w14:textId="77777777" w:rsidR="00D8112A" w:rsidRDefault="00000000">
            <w:pPr>
              <w:jc w:val="center"/>
            </w:pPr>
            <w:r>
              <w:rPr>
                <w:sz w:val="20"/>
                <w:szCs w:val="20"/>
              </w:rPr>
              <w:t>$332,119</w:t>
            </w:r>
          </w:p>
        </w:tc>
      </w:tr>
      <w:tr w:rsidR="00D8112A" w14:paraId="75CD28F2" w14:textId="77777777">
        <w:tblPrEx>
          <w:tblCellMar>
            <w:top w:w="0" w:type="dxa"/>
            <w:bottom w:w="0" w:type="dxa"/>
          </w:tblCellMar>
        </w:tblPrEx>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C25386" w14:textId="77777777" w:rsidR="00D8112A" w:rsidRDefault="00000000">
            <w:r>
              <w:rPr>
                <w:sz w:val="20"/>
                <w:szCs w:val="20"/>
              </w:rPr>
              <w:t>Technology OC Margin</w:t>
            </w:r>
          </w:p>
        </w:tc>
        <w:tc>
          <w:tcPr>
            <w:tcW w:w="4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0AFE5E" w14:textId="77777777" w:rsidR="00D8112A" w:rsidRDefault="00000000">
            <w:pPr>
              <w:jc w:val="center"/>
            </w:pPr>
            <w:r>
              <w:rPr>
                <w:sz w:val="20"/>
                <w:szCs w:val="20"/>
              </w:rPr>
              <w:t>14.0%</w:t>
            </w:r>
          </w:p>
        </w:tc>
      </w:tr>
      <w:tr w:rsidR="00D8112A" w14:paraId="13056E43" w14:textId="77777777">
        <w:tblPrEx>
          <w:tblCellMar>
            <w:top w:w="0" w:type="dxa"/>
            <w:bottom w:w="0" w:type="dxa"/>
          </w:tblCellMar>
        </w:tblPrEx>
        <w:tc>
          <w:tcPr>
            <w:tcW w:w="45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AA8D315" w14:textId="77777777" w:rsidR="00D8112A" w:rsidRDefault="00000000">
            <w:r>
              <w:rPr>
                <w:sz w:val="20"/>
                <w:szCs w:val="20"/>
              </w:rPr>
              <w:t>Additional OC Generated</w:t>
            </w:r>
          </w:p>
        </w:tc>
        <w:tc>
          <w:tcPr>
            <w:tcW w:w="4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19B6C08C" w14:textId="77777777" w:rsidR="00D8112A" w:rsidRDefault="00000000">
            <w:pPr>
              <w:jc w:val="center"/>
            </w:pPr>
            <w:r>
              <w:rPr>
                <w:sz w:val="20"/>
                <w:szCs w:val="20"/>
              </w:rPr>
              <w:t>$46,497</w:t>
            </w:r>
          </w:p>
        </w:tc>
      </w:tr>
    </w:tbl>
    <w:p w14:paraId="5263CB0B" w14:textId="77777777" w:rsidR="00D8112A" w:rsidRDefault="00D8112A">
      <w:pPr>
        <w:spacing w:before="120" w:after="120"/>
      </w:pPr>
    </w:p>
    <w:p w14:paraId="59714281" w14:textId="77777777" w:rsidR="00D8112A" w:rsidRDefault="00000000">
      <w:pPr>
        <w:pStyle w:val="ListParagraph"/>
        <w:numPr>
          <w:ilvl w:val="0"/>
          <w:numId w:val="2"/>
        </w:numPr>
        <w:spacing w:before="60" w:after="60"/>
      </w:pPr>
      <w:r>
        <w:t>The incremental profit of $46,497 reflects the additional Operating Contribution on the marginal revenue only — not the total Technology revenue</w:t>
      </w:r>
    </w:p>
    <w:p w14:paraId="69114313" w14:textId="77777777" w:rsidR="00D8112A" w:rsidRDefault="00000000">
      <w:pPr>
        <w:pStyle w:val="ListParagraph"/>
        <w:numPr>
          <w:ilvl w:val="0"/>
          <w:numId w:val="2"/>
        </w:numPr>
        <w:spacing w:before="60" w:after="60"/>
      </w:pPr>
      <w:r>
        <w:t>This is the smallest of the three levers in absolute dollar terms but requires no cost intervention — it is a revenue acceleration scenario assuming the existing margin structure is maintained</w:t>
      </w:r>
    </w:p>
    <w:p w14:paraId="5647258A" w14:textId="77777777" w:rsidR="00D8112A" w:rsidRDefault="00000000">
      <w:pPr>
        <w:pStyle w:val="ListParagraph"/>
        <w:numPr>
          <w:ilvl w:val="0"/>
          <w:numId w:val="2"/>
        </w:numPr>
        <w:spacing w:before="60" w:after="60"/>
      </w:pPr>
      <w:r>
        <w:t>An acquirer with Technology distribution capabilities or digital channel expertise could potentially accelerate this lever further</w:t>
      </w:r>
    </w:p>
    <w:p w14:paraId="0277FFB8" w14:textId="77777777" w:rsidR="00D8112A" w:rsidRDefault="00000000">
      <w:pPr>
        <w:pStyle w:val="Heading2"/>
      </w:pPr>
      <w:r>
        <w:t xml:space="preserve">4.4 Combined </w:t>
      </w:r>
      <w:proofErr w:type="spellStart"/>
      <w:r>
        <w:t>Optimisation</w:t>
      </w:r>
      <w:proofErr w:type="spellEnd"/>
    </w:p>
    <w:p w14:paraId="5099EE7D" w14:textId="77777777" w:rsidR="00D8112A" w:rsidRDefault="00000000">
      <w:pPr>
        <w:spacing w:before="80" w:after="80"/>
      </w:pPr>
      <w:r>
        <w:t>The combined scenario represents the arithmetic sum of all three value creation levers applied simultaneously to the base case EBIT.</w:t>
      </w:r>
    </w:p>
    <w:p w14:paraId="3C5F178A" w14:textId="77777777" w:rsidR="00D8112A" w:rsidRDefault="00D8112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2560"/>
      </w:tblGrid>
      <w:tr w:rsidR="00D8112A" w14:paraId="47818231" w14:textId="77777777">
        <w:tblPrEx>
          <w:tblCellMar>
            <w:top w:w="0" w:type="dxa"/>
            <w:bottom w:w="0" w:type="dxa"/>
          </w:tblCellMar>
        </w:tblPrEx>
        <w:trPr>
          <w:tblHeader/>
        </w:trPr>
        <w:tc>
          <w:tcPr>
            <w:tcW w:w="32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2716E9B8" w14:textId="77777777" w:rsidR="00D8112A" w:rsidRDefault="00000000">
            <w:pPr>
              <w:jc w:val="center"/>
            </w:pPr>
            <w:r>
              <w:rPr>
                <w:b/>
                <w:bCs/>
                <w:color w:val="FFFFFF"/>
                <w:sz w:val="20"/>
                <w:szCs w:val="20"/>
              </w:rPr>
              <w:t>Component</w:t>
            </w:r>
          </w:p>
        </w:tc>
        <w:tc>
          <w:tcPr>
            <w:tcW w:w="18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3510F07E" w14:textId="77777777" w:rsidR="00D8112A" w:rsidRDefault="00000000">
            <w:pPr>
              <w:jc w:val="center"/>
            </w:pPr>
            <w:r>
              <w:rPr>
                <w:b/>
                <w:bCs/>
                <w:color w:val="FFFFFF"/>
                <w:sz w:val="20"/>
                <w:szCs w:val="20"/>
              </w:rPr>
              <w:t>EBIT ($)</w:t>
            </w:r>
          </w:p>
        </w:tc>
        <w:tc>
          <w:tcPr>
            <w:tcW w:w="18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65E6D189" w14:textId="77777777" w:rsidR="00D8112A" w:rsidRDefault="00000000">
            <w:pPr>
              <w:jc w:val="center"/>
            </w:pPr>
            <w:r>
              <w:rPr>
                <w:b/>
                <w:bCs/>
                <w:color w:val="FFFFFF"/>
                <w:sz w:val="20"/>
                <w:szCs w:val="20"/>
              </w:rPr>
              <w:t>Uplift ($)</w:t>
            </w:r>
          </w:p>
        </w:tc>
        <w:tc>
          <w:tcPr>
            <w:tcW w:w="256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630164B6" w14:textId="77777777" w:rsidR="00D8112A" w:rsidRDefault="00000000">
            <w:pPr>
              <w:jc w:val="center"/>
            </w:pPr>
            <w:r>
              <w:rPr>
                <w:b/>
                <w:bCs/>
                <w:color w:val="FFFFFF"/>
                <w:sz w:val="20"/>
                <w:szCs w:val="20"/>
              </w:rPr>
              <w:t>Uplift %</w:t>
            </w:r>
          </w:p>
        </w:tc>
      </w:tr>
      <w:tr w:rsidR="00D8112A" w14:paraId="62C7E30B"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E6C771A" w14:textId="77777777" w:rsidR="00D8112A" w:rsidRDefault="00000000">
            <w:r>
              <w:rPr>
                <w:sz w:val="20"/>
                <w:szCs w:val="20"/>
              </w:rPr>
              <w:t>Base Case 2015F EBIT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2221077" w14:textId="77777777" w:rsidR="00D8112A" w:rsidRDefault="00000000">
            <w:pPr>
              <w:jc w:val="center"/>
            </w:pPr>
            <w:r>
              <w:rPr>
                <w:sz w:val="20"/>
                <w:szCs w:val="20"/>
              </w:rPr>
              <w:t>374,088</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DE6DE9" w14:textId="77777777" w:rsidR="00D8112A" w:rsidRDefault="00000000">
            <w:pPr>
              <w:jc w:val="center"/>
            </w:pPr>
            <w:r>
              <w:rPr>
                <w:sz w:val="20"/>
                <w:szCs w:val="20"/>
              </w:rPr>
              <w:t>—</w:t>
            </w:r>
          </w:p>
        </w:tc>
        <w:tc>
          <w:tcPr>
            <w:tcW w:w="2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32B64D3" w14:textId="77777777" w:rsidR="00D8112A" w:rsidRDefault="00000000">
            <w:pPr>
              <w:jc w:val="center"/>
            </w:pPr>
            <w:r>
              <w:rPr>
                <w:sz w:val="20"/>
                <w:szCs w:val="20"/>
              </w:rPr>
              <w:t>—</w:t>
            </w:r>
          </w:p>
        </w:tc>
      </w:tr>
      <w:tr w:rsidR="00D8112A" w14:paraId="2661787E"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295E0885" w14:textId="77777777" w:rsidR="00D8112A" w:rsidRDefault="00000000">
            <w:r>
              <w:rPr>
                <w:sz w:val="20"/>
                <w:szCs w:val="20"/>
              </w:rPr>
              <w:t>+ Scenario A: Tables Pricing Fix</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1779A2E5" w14:textId="77777777" w:rsidR="00D8112A" w:rsidRDefault="00000000">
            <w:pPr>
              <w:jc w:val="center"/>
            </w:pPr>
            <w:r>
              <w:rPr>
                <w:sz w:val="20"/>
                <w:szCs w:val="20"/>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06AF718" w14:textId="77777777" w:rsidR="00D8112A" w:rsidRDefault="00000000">
            <w:pPr>
              <w:jc w:val="center"/>
            </w:pPr>
            <w:r>
              <w:rPr>
                <w:sz w:val="20"/>
                <w:szCs w:val="20"/>
              </w:rPr>
              <w:t>+156,740</w:t>
            </w:r>
          </w:p>
        </w:tc>
        <w:tc>
          <w:tcPr>
            <w:tcW w:w="25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12962DA3" w14:textId="77777777" w:rsidR="00D8112A" w:rsidRDefault="00000000">
            <w:pPr>
              <w:jc w:val="center"/>
            </w:pPr>
            <w:r>
              <w:rPr>
                <w:sz w:val="20"/>
                <w:szCs w:val="20"/>
              </w:rPr>
              <w:t>+41.9%</w:t>
            </w:r>
          </w:p>
        </w:tc>
      </w:tr>
      <w:tr w:rsidR="00D8112A" w14:paraId="1BE16B5E"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4584F0C" w14:textId="77777777" w:rsidR="00D8112A" w:rsidRDefault="00000000">
            <w:r>
              <w:rPr>
                <w:sz w:val="20"/>
                <w:szCs w:val="20"/>
              </w:rPr>
              <w:t>+ Scenario B: Office Supplies Recovery</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DD2798" w14:textId="77777777" w:rsidR="00D8112A" w:rsidRDefault="00000000">
            <w:pPr>
              <w:jc w:val="center"/>
            </w:pPr>
            <w:r>
              <w:rPr>
                <w:sz w:val="20"/>
                <w:szCs w:val="20"/>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44E0D1" w14:textId="77777777" w:rsidR="00D8112A" w:rsidRDefault="00000000">
            <w:pPr>
              <w:jc w:val="center"/>
            </w:pPr>
            <w:r>
              <w:rPr>
                <w:sz w:val="20"/>
                <w:szCs w:val="20"/>
              </w:rPr>
              <w:t>+113,612</w:t>
            </w:r>
          </w:p>
        </w:tc>
        <w:tc>
          <w:tcPr>
            <w:tcW w:w="2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71694C" w14:textId="77777777" w:rsidR="00D8112A" w:rsidRDefault="00000000">
            <w:pPr>
              <w:jc w:val="center"/>
            </w:pPr>
            <w:r>
              <w:rPr>
                <w:sz w:val="20"/>
                <w:szCs w:val="20"/>
              </w:rPr>
              <w:t>+30.4%</w:t>
            </w:r>
          </w:p>
        </w:tc>
      </w:tr>
      <w:tr w:rsidR="00D8112A" w14:paraId="7603A755"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1E0B810" w14:textId="77777777" w:rsidR="00D8112A" w:rsidRDefault="00000000">
            <w:r>
              <w:rPr>
                <w:sz w:val="20"/>
                <w:szCs w:val="20"/>
              </w:rPr>
              <w:t>+ Scenario C: Technology Acceleration</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1501F929" w14:textId="77777777" w:rsidR="00D8112A" w:rsidRDefault="00000000">
            <w:pPr>
              <w:jc w:val="center"/>
            </w:pPr>
            <w:r>
              <w:rPr>
                <w:sz w:val="20"/>
                <w:szCs w:val="20"/>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7C047FB" w14:textId="77777777" w:rsidR="00D8112A" w:rsidRDefault="00000000">
            <w:pPr>
              <w:jc w:val="center"/>
            </w:pPr>
            <w:r>
              <w:rPr>
                <w:sz w:val="20"/>
                <w:szCs w:val="20"/>
              </w:rPr>
              <w:t>+46,497</w:t>
            </w:r>
          </w:p>
        </w:tc>
        <w:tc>
          <w:tcPr>
            <w:tcW w:w="25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7696107E" w14:textId="77777777" w:rsidR="00D8112A" w:rsidRDefault="00000000">
            <w:pPr>
              <w:jc w:val="center"/>
            </w:pPr>
            <w:r>
              <w:rPr>
                <w:sz w:val="20"/>
                <w:szCs w:val="20"/>
              </w:rPr>
              <w:t>+12.4%</w:t>
            </w:r>
          </w:p>
        </w:tc>
      </w:tr>
      <w:tr w:rsidR="00D8112A" w14:paraId="289B5C4F"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53767EF" w14:textId="77777777" w:rsidR="00D8112A" w:rsidRDefault="00000000">
            <w:r>
              <w:rPr>
                <w:sz w:val="20"/>
                <w:szCs w:val="20"/>
              </w:rPr>
              <w:t xml:space="preserve">= </w:t>
            </w:r>
            <w:proofErr w:type="spellStart"/>
            <w:r>
              <w:rPr>
                <w:sz w:val="20"/>
                <w:szCs w:val="20"/>
              </w:rPr>
              <w:t>Optimised</w:t>
            </w:r>
            <w:proofErr w:type="spellEnd"/>
            <w:r>
              <w:rPr>
                <w:sz w:val="20"/>
                <w:szCs w:val="20"/>
              </w:rPr>
              <w:t xml:space="preserve"> EBIT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9AFFA3" w14:textId="77777777" w:rsidR="00D8112A" w:rsidRDefault="00000000">
            <w:pPr>
              <w:jc w:val="center"/>
            </w:pPr>
            <w:r>
              <w:rPr>
                <w:sz w:val="20"/>
                <w:szCs w:val="20"/>
              </w:rPr>
              <w:t>690,937</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A4DD274" w14:textId="77777777" w:rsidR="00D8112A" w:rsidRDefault="00000000">
            <w:pPr>
              <w:jc w:val="center"/>
            </w:pPr>
            <w:r>
              <w:rPr>
                <w:sz w:val="20"/>
                <w:szCs w:val="20"/>
              </w:rPr>
              <w:t>+316,849</w:t>
            </w:r>
          </w:p>
        </w:tc>
        <w:tc>
          <w:tcPr>
            <w:tcW w:w="2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68F757E" w14:textId="77777777" w:rsidR="00D8112A" w:rsidRDefault="00000000">
            <w:pPr>
              <w:jc w:val="center"/>
            </w:pPr>
            <w:r>
              <w:rPr>
                <w:sz w:val="20"/>
                <w:szCs w:val="20"/>
              </w:rPr>
              <w:t>+84.7%</w:t>
            </w:r>
          </w:p>
        </w:tc>
      </w:tr>
    </w:tbl>
    <w:p w14:paraId="6B310E00" w14:textId="77777777" w:rsidR="00D8112A" w:rsidRDefault="00D8112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12A" w14:paraId="7396026F" w14:textId="77777777">
        <w:tblPrEx>
          <w:tblCellMar>
            <w:top w:w="0" w:type="dxa"/>
            <w:bottom w:w="0" w:type="dxa"/>
          </w:tblCellMar>
        </w:tblPrEx>
        <w:tc>
          <w:tcPr>
            <w:tcW w:w="9360" w:type="dxa"/>
            <w:tcBorders>
              <w:top w:val="single" w:sz="6" w:space="0" w:color="2E7D52"/>
              <w:left w:val="thick" w:sz="12" w:space="0" w:color="2E7D52"/>
              <w:bottom w:val="single" w:sz="6" w:space="0" w:color="2E7D52"/>
              <w:right w:val="none" w:sz="0" w:space="0" w:color="FFFFFF"/>
            </w:tcBorders>
            <w:shd w:val="clear" w:color="auto" w:fill="EAF4EE"/>
            <w:tcMar>
              <w:top w:w="120" w:type="dxa"/>
              <w:left w:w="200" w:type="dxa"/>
              <w:bottom w:w="120" w:type="dxa"/>
              <w:right w:w="120" w:type="dxa"/>
            </w:tcMar>
          </w:tcPr>
          <w:p w14:paraId="53F304E5" w14:textId="77777777" w:rsidR="00D8112A" w:rsidRDefault="00000000">
            <w:pPr>
              <w:spacing w:before="60" w:after="60"/>
            </w:pPr>
            <w:r>
              <w:t xml:space="preserve">Investment implication: The combined </w:t>
            </w:r>
            <w:proofErr w:type="spellStart"/>
            <w:r>
              <w:t>optimisation</w:t>
            </w:r>
            <w:proofErr w:type="spellEnd"/>
            <w:r>
              <w:t xml:space="preserve"> scenario demonstrates that $316,849 of additional annual EBIT — an 84.7% uplift — is theoretically available through three operationally distinct levers, each evidenced directly from transactional data analysis. Of this total:</w:t>
            </w:r>
          </w:p>
          <w:p w14:paraId="2D0F9870" w14:textId="77777777" w:rsidR="00D8112A" w:rsidRDefault="00D8112A">
            <w:pPr>
              <w:spacing w:before="60" w:after="60"/>
            </w:pPr>
          </w:p>
          <w:p w14:paraId="4A57D2F5" w14:textId="77777777" w:rsidR="00D8112A" w:rsidRDefault="00000000">
            <w:pPr>
              <w:spacing w:before="60" w:after="60"/>
            </w:pPr>
            <w:r>
              <w:t xml:space="preserve">  •  $156,740 (49.5% of total uplift) is immediately actionable through pricing discipline alone</w:t>
            </w:r>
          </w:p>
          <w:p w14:paraId="2644EBC7" w14:textId="77777777" w:rsidR="00D8112A" w:rsidRDefault="00000000">
            <w:pPr>
              <w:spacing w:before="60" w:after="60"/>
            </w:pPr>
            <w:r>
              <w:t xml:space="preserve">  •  $113,612 (35.8% of total uplift) requires cost structure investigation but is supported by the data</w:t>
            </w:r>
          </w:p>
          <w:p w14:paraId="3D1604EA" w14:textId="77777777" w:rsidR="00D8112A" w:rsidRDefault="00000000">
            <w:pPr>
              <w:spacing w:before="60" w:after="60"/>
            </w:pPr>
            <w:r>
              <w:t xml:space="preserve">  •  $46,497 (14.7% of total uplift) requires revenue execution capability in Technology</w:t>
            </w:r>
          </w:p>
          <w:p w14:paraId="10C753C3" w14:textId="77777777" w:rsidR="00D8112A" w:rsidRDefault="00D8112A">
            <w:pPr>
              <w:spacing w:before="60" w:after="60"/>
            </w:pPr>
          </w:p>
          <w:p w14:paraId="49E50FA5" w14:textId="77777777" w:rsidR="00D8112A" w:rsidRDefault="00000000">
            <w:pPr>
              <w:spacing w:before="60" w:after="60"/>
            </w:pPr>
            <w:r>
              <w:t>This value creation profile supports a Conditional Buy investment recommendation, subject to satisfactory resolution of the Office Supplies cost structure question and confirmation of the Tables pricing correction mechanism.</w:t>
            </w:r>
          </w:p>
        </w:tc>
      </w:tr>
    </w:tbl>
    <w:p w14:paraId="5CE83FD4" w14:textId="77777777" w:rsidR="00D8112A" w:rsidRDefault="00000000">
      <w:r>
        <w:br w:type="page"/>
      </w:r>
    </w:p>
    <w:p w14:paraId="54E58A3F" w14:textId="77777777" w:rsidR="00D8112A" w:rsidRDefault="00000000">
      <w:pPr>
        <w:pStyle w:val="Heading1"/>
        <w:pBdr>
          <w:bottom w:val="single" w:sz="8" w:space="4" w:color="1E5631"/>
        </w:pBdr>
      </w:pPr>
      <w:r>
        <w:lastRenderedPageBreak/>
        <w:t>5. Investment View and Recommendation</w:t>
      </w:r>
    </w:p>
    <w:p w14:paraId="04F571C0" w14:textId="77777777" w:rsidR="00D8112A" w:rsidRDefault="00000000">
      <w:pPr>
        <w:spacing w:before="80" w:after="80"/>
      </w:pPr>
      <w:r>
        <w:t>Based on the commercial analysis, the following investment view is presented. This represents a commercial due diligence perspective only and does not incorporate financial due diligence findings, which would be required before any actual investment decision.</w:t>
      </w:r>
    </w:p>
    <w:p w14:paraId="57198494" w14:textId="77777777" w:rsidR="00D8112A" w:rsidRDefault="00000000">
      <w:pPr>
        <w:pStyle w:val="Heading2"/>
      </w:pPr>
      <w:r>
        <w:t>5.1 Investment View: Conditional Buy</w:t>
      </w:r>
    </w:p>
    <w:p w14:paraId="08FFF397" w14:textId="77777777" w:rsidR="00D8112A" w:rsidRDefault="00000000">
      <w:pPr>
        <w:pStyle w:val="Heading3"/>
      </w:pPr>
      <w:r>
        <w:t>Positive Indicators</w:t>
      </w:r>
    </w:p>
    <w:p w14:paraId="5E30A8D1" w14:textId="77777777" w:rsidR="00D8112A" w:rsidRDefault="00000000">
      <w:pPr>
        <w:pStyle w:val="ListParagraph"/>
        <w:numPr>
          <w:ilvl w:val="0"/>
          <w:numId w:val="2"/>
        </w:numPr>
        <w:spacing w:before="60" w:after="60"/>
      </w:pPr>
      <w:r>
        <w:t>Consistent revenue growth at 24% CAGR over three years demonstrates strong commercial momentum</w:t>
      </w:r>
    </w:p>
    <w:p w14:paraId="0BC94647" w14:textId="77777777" w:rsidR="00D8112A" w:rsidRDefault="00000000">
      <w:pPr>
        <w:pStyle w:val="ListParagraph"/>
        <w:numPr>
          <w:ilvl w:val="0"/>
          <w:numId w:val="2"/>
        </w:numPr>
        <w:spacing w:before="60" w:after="60"/>
      </w:pPr>
      <w:r>
        <w:t>Stable Operating Contribution margins of 11.0–11.9% across all four years indicate a resilient and predictable business model</w:t>
      </w:r>
    </w:p>
    <w:p w14:paraId="4399B7EE" w14:textId="77777777" w:rsidR="00D8112A" w:rsidRDefault="00000000">
      <w:pPr>
        <w:pStyle w:val="ListParagraph"/>
        <w:numPr>
          <w:ilvl w:val="0"/>
          <w:numId w:val="2"/>
        </w:numPr>
        <w:spacing w:before="60" w:after="60"/>
      </w:pPr>
      <w:r>
        <w:t>Balanced customer segment mix with no single segment exceeding 55% of revenue reduces customer concentration risk</w:t>
      </w:r>
    </w:p>
    <w:p w14:paraId="7B3210C1" w14:textId="77777777" w:rsidR="00D8112A" w:rsidRDefault="00000000">
      <w:pPr>
        <w:pStyle w:val="ListParagraph"/>
        <w:numPr>
          <w:ilvl w:val="0"/>
          <w:numId w:val="2"/>
        </w:numPr>
        <w:spacing w:before="60" w:after="60"/>
      </w:pPr>
      <w:r>
        <w:t>Technology category — the highest-margin category at 14% — is also the largest revenue contributor at 37.5%, creating a virtuous portfolio dynamic</w:t>
      </w:r>
    </w:p>
    <w:p w14:paraId="4AB9C083" w14:textId="77777777" w:rsidR="00D8112A" w:rsidRDefault="00000000">
      <w:pPr>
        <w:pStyle w:val="ListParagraph"/>
        <w:numPr>
          <w:ilvl w:val="0"/>
          <w:numId w:val="2"/>
        </w:numPr>
        <w:spacing w:before="60" w:after="60"/>
      </w:pPr>
      <w:r>
        <w:t>Furniture delivers strong margins of 14% despite perception of being a physical, asset-intensive category</w:t>
      </w:r>
    </w:p>
    <w:p w14:paraId="531B39EE" w14:textId="77777777" w:rsidR="00D8112A" w:rsidRDefault="00000000">
      <w:pPr>
        <w:pStyle w:val="ListParagraph"/>
        <w:numPr>
          <w:ilvl w:val="0"/>
          <w:numId w:val="2"/>
        </w:numPr>
        <w:spacing w:before="60" w:after="60"/>
      </w:pPr>
      <w:r>
        <w:t>Tables pricing issue is immediately correctable without capital expenditure or operational restructuring</w:t>
      </w:r>
    </w:p>
    <w:p w14:paraId="568A3F38" w14:textId="77777777" w:rsidR="00D8112A" w:rsidRDefault="00000000">
      <w:pPr>
        <w:pStyle w:val="Heading3"/>
      </w:pPr>
      <w:r>
        <w:t>Key Risks</w:t>
      </w:r>
    </w:p>
    <w:p w14:paraId="10A8266E" w14:textId="77777777" w:rsidR="00D8112A" w:rsidRDefault="00000000">
      <w:pPr>
        <w:pStyle w:val="ListParagraph"/>
        <w:numPr>
          <w:ilvl w:val="0"/>
          <w:numId w:val="2"/>
        </w:numPr>
        <w:spacing w:before="60" w:after="60"/>
      </w:pPr>
      <w:r>
        <w:t xml:space="preserve">Office Supplies at 7% margin represents significant portfolio drag — 32.5% of </w:t>
      </w:r>
      <w:proofErr w:type="gramStart"/>
      <w:r>
        <w:t>revenue</w:t>
      </w:r>
      <w:proofErr w:type="gramEnd"/>
      <w:r>
        <w:t xml:space="preserve"> generating only 19.4% of profit. Root cause is cost-driven and requires further investigation</w:t>
      </w:r>
    </w:p>
    <w:p w14:paraId="1DD710B2" w14:textId="77777777" w:rsidR="00D8112A" w:rsidRDefault="00000000">
      <w:pPr>
        <w:pStyle w:val="ListParagraph"/>
        <w:numPr>
          <w:ilvl w:val="0"/>
          <w:numId w:val="2"/>
        </w:numPr>
        <w:spacing w:before="60" w:after="60"/>
      </w:pPr>
      <w:r>
        <w:t>Tables sub-category actively destroys value at -8% margin due to sustained excessive discounting. Left uncorrected this represents ongoing profit leakage</w:t>
      </w:r>
    </w:p>
    <w:p w14:paraId="5EA8421F" w14:textId="77777777" w:rsidR="00D8112A" w:rsidRDefault="00000000">
      <w:pPr>
        <w:pStyle w:val="ListParagraph"/>
        <w:numPr>
          <w:ilvl w:val="0"/>
          <w:numId w:val="2"/>
        </w:numPr>
        <w:spacing w:before="60" w:after="60"/>
      </w:pPr>
      <w:r>
        <w:t>Revenue concentration in a small number of geographic regions creates downside risk if those markets deteriorate</w:t>
      </w:r>
    </w:p>
    <w:p w14:paraId="77FD87B5" w14:textId="77777777" w:rsidR="00D8112A" w:rsidRDefault="00000000">
      <w:pPr>
        <w:pStyle w:val="ListParagraph"/>
        <w:numPr>
          <w:ilvl w:val="0"/>
          <w:numId w:val="2"/>
        </w:numPr>
        <w:spacing w:before="60" w:after="60"/>
      </w:pPr>
      <w:r>
        <w:t>Margin stability, while consistent, indicates the business has not achieved operating leverage despite significant volume growth — fixed cost infrastructure may be undersized or inefficient</w:t>
      </w:r>
    </w:p>
    <w:p w14:paraId="544C32E6" w14:textId="77777777" w:rsidR="00D8112A" w:rsidRDefault="00000000">
      <w:pPr>
        <w:pStyle w:val="ListParagraph"/>
        <w:numPr>
          <w:ilvl w:val="0"/>
          <w:numId w:val="2"/>
        </w:numPr>
        <w:spacing w:before="60" w:after="60"/>
      </w:pPr>
      <w:r>
        <w:t>Analysis is based on transactional data only. Full financial due diligence required to assess balance sheet quality, working capital dynamics, capex requirements, and debt obligations</w:t>
      </w:r>
    </w:p>
    <w:p w14:paraId="0A497D0C" w14:textId="77777777" w:rsidR="00D8112A" w:rsidRDefault="00000000">
      <w:pPr>
        <w:pStyle w:val="Heading2"/>
      </w:pPr>
      <w:r>
        <w:t>5.2 Conditions for Recommendation</w:t>
      </w:r>
    </w:p>
    <w:p w14:paraId="404EE085" w14:textId="77777777" w:rsidR="00D8112A" w:rsidRDefault="00000000">
      <w:pPr>
        <w:spacing w:before="80" w:after="80"/>
      </w:pPr>
      <w:r>
        <w:t xml:space="preserve">Proceed </w:t>
      </w:r>
      <w:proofErr w:type="gramStart"/>
      <w:r>
        <w:t>to</w:t>
      </w:r>
      <w:proofErr w:type="gramEnd"/>
      <w:r>
        <w:t xml:space="preserve"> further diligence, subject to satisfactory resolution of the following:</w:t>
      </w:r>
    </w:p>
    <w:p w14:paraId="2D0819C5" w14:textId="77777777" w:rsidR="00D8112A" w:rsidRDefault="00000000">
      <w:pPr>
        <w:pStyle w:val="ListParagraph"/>
        <w:numPr>
          <w:ilvl w:val="0"/>
          <w:numId w:val="2"/>
        </w:numPr>
        <w:spacing w:before="60" w:after="60"/>
      </w:pPr>
      <w:r>
        <w:t>Cost structure analysis of Office Supplies category to identify and quantify the drivers of the 7% margin versus the 14% category average</w:t>
      </w:r>
    </w:p>
    <w:p w14:paraId="2AD17109" w14:textId="77777777" w:rsidR="00D8112A" w:rsidRDefault="00000000">
      <w:pPr>
        <w:pStyle w:val="ListParagraph"/>
        <w:numPr>
          <w:ilvl w:val="0"/>
          <w:numId w:val="2"/>
        </w:numPr>
        <w:spacing w:before="60" w:after="60"/>
      </w:pPr>
      <w:r>
        <w:t xml:space="preserve">Confirmation that Tables discount </w:t>
      </w:r>
      <w:proofErr w:type="spellStart"/>
      <w:r>
        <w:t>rationalisation</w:t>
      </w:r>
      <w:proofErr w:type="spellEnd"/>
      <w:r>
        <w:t xml:space="preserve"> is commercially viable without volume loss — i.e. that demand is not price-elastic at the corrected price point</w:t>
      </w:r>
    </w:p>
    <w:p w14:paraId="3FEA3146" w14:textId="77777777" w:rsidR="00D8112A" w:rsidRDefault="00000000">
      <w:pPr>
        <w:pStyle w:val="ListParagraph"/>
        <w:numPr>
          <w:ilvl w:val="0"/>
          <w:numId w:val="2"/>
        </w:numPr>
        <w:spacing w:before="60" w:after="60"/>
      </w:pPr>
      <w:r>
        <w:t>Full financial due diligence covering audited P&amp;L, balance sheet, cash flow, working capital, and capital expenditure history</w:t>
      </w:r>
    </w:p>
    <w:p w14:paraId="16711D74" w14:textId="77777777" w:rsidR="00D8112A" w:rsidRDefault="00000000">
      <w:pPr>
        <w:pStyle w:val="ListParagraph"/>
        <w:numPr>
          <w:ilvl w:val="0"/>
          <w:numId w:val="2"/>
        </w:numPr>
        <w:spacing w:before="60" w:after="60"/>
      </w:pPr>
      <w:r>
        <w:lastRenderedPageBreak/>
        <w:t>EBITDA-based valuation analysis once asset register and depreciation schedule are available from the target</w:t>
      </w:r>
    </w:p>
    <w:p w14:paraId="0C83A883" w14:textId="77777777" w:rsidR="00D8112A" w:rsidRDefault="00000000">
      <w:r>
        <w:br w:type="page"/>
      </w:r>
    </w:p>
    <w:p w14:paraId="31E45400" w14:textId="77777777" w:rsidR="00D8112A" w:rsidRDefault="00000000">
      <w:pPr>
        <w:pStyle w:val="Heading1"/>
        <w:pBdr>
          <w:bottom w:val="single" w:sz="8" w:space="4" w:color="1E5631"/>
        </w:pBdr>
      </w:pPr>
      <w:r>
        <w:lastRenderedPageBreak/>
        <w:t>6. Methodology Notes and Limitations</w:t>
      </w:r>
    </w:p>
    <w:p w14:paraId="1F775680" w14:textId="77777777" w:rsidR="00D8112A" w:rsidRDefault="00000000">
      <w:pPr>
        <w:pStyle w:val="Heading2"/>
      </w:pPr>
      <w:r>
        <w:t>6.1 On Operating Contribution vs Gross Profit</w:t>
      </w:r>
    </w:p>
    <w:p w14:paraId="403E1F74" w14:textId="77777777" w:rsidR="00D8112A" w:rsidRDefault="00000000">
      <w:pPr>
        <w:spacing w:before="80" w:after="80"/>
      </w:pPr>
      <w:r>
        <w:t>The Profit column in the Global Superstore dataset reflects a blended margin at the transaction level inclusive of variable operating costs. It does not conform to a standard gross profit definition as used in audited financial statements, as it likely incorporates fulfilment, logistics, and handling costs within the cost of sales line. Accordingly, it is presented throughout this analysis as Operating Contribution rather than Gross Profit. Readers should note that this figure will overstate the true gross margin relative to a conventionally prepared P&amp;L.</w:t>
      </w:r>
    </w:p>
    <w:p w14:paraId="2A496C66" w14:textId="77777777" w:rsidR="00D8112A" w:rsidRDefault="00000000">
      <w:pPr>
        <w:pStyle w:val="Heading2"/>
      </w:pPr>
      <w:r>
        <w:t>6.2 On the Use of EBIT Rather Than EBITDA</w:t>
      </w:r>
    </w:p>
    <w:p w14:paraId="5DD054ED" w14:textId="77777777" w:rsidR="00D8112A" w:rsidRDefault="00000000">
      <w:pPr>
        <w:spacing w:before="80" w:after="80"/>
      </w:pPr>
      <w:r>
        <w:t xml:space="preserve">The illustrative forward scenario presents EBIT rather than EBITDA as the primary earnings metric. This reflects the absence of reliable asset base data from which to derive a defensible depreciation and </w:t>
      </w:r>
      <w:proofErr w:type="spellStart"/>
      <w:r>
        <w:t>amortisation</w:t>
      </w:r>
      <w:proofErr w:type="spellEnd"/>
      <w:r>
        <w:t xml:space="preserve"> assumption. For asset-intensive categories — notably Furniture — EBITDA would be the more appropriate M&amp;A valuation metric as it captures earnings before the significant depreciation charges associated with physical inventory and logistics infrastructure. Any acquirer conducting formal financial due diligence should recalculate on an EBITDA basis once asset register and depreciation schedules are available.</w:t>
      </w:r>
    </w:p>
    <w:p w14:paraId="1C56FA11" w14:textId="77777777" w:rsidR="00D8112A" w:rsidRDefault="00000000">
      <w:pPr>
        <w:pStyle w:val="Heading2"/>
      </w:pPr>
      <w:r>
        <w:t>6.3 On Benchmarked Operating Cost Assumptions</w:t>
      </w:r>
    </w:p>
    <w:p w14:paraId="4FC41C37" w14:textId="77777777" w:rsidR="00D8112A" w:rsidRDefault="00000000">
      <w:pPr>
        <w:spacing w:before="80" w:after="80"/>
      </w:pPr>
      <w:r>
        <w:t>Fixed overhead assumptions applied in the illustrative forward scenario are based on general benchmarks for mid-sized international retail businesses and are not derived from the dataset. These assumptions are applied uniformly across all forward years and scenarios. Actual operating cost structures will vary materially based on the target’s specific cost base, geographic footprint, and operational model.</w:t>
      </w:r>
    </w:p>
    <w:p w14:paraId="317B531B" w14:textId="77777777" w:rsidR="00D8112A" w:rsidRDefault="00000000">
      <w:pPr>
        <w:pStyle w:val="Heading2"/>
      </w:pPr>
      <w:r>
        <w:t>6.4 On the Absence of Balance Sheet and Cash Flow Analysis</w:t>
      </w:r>
    </w:p>
    <w:p w14:paraId="63300694" w14:textId="77777777" w:rsidR="00D8112A" w:rsidRDefault="00000000">
      <w:pPr>
        <w:spacing w:before="80" w:after="80"/>
      </w:pPr>
      <w:r>
        <w:t>This analysis is limited to commercial and operating performance. Key metrics including working capital, capital expenditure requirements, net debt position, and cash conversion cycle cannot be assessed from transactional data alone. A complete financial due diligence would require audited financial statements covering a minimum of three years.</w:t>
      </w:r>
    </w:p>
    <w:p w14:paraId="44793874" w14:textId="77777777" w:rsidR="00D8112A" w:rsidRDefault="00000000">
      <w:pPr>
        <w:pStyle w:val="Heading2"/>
      </w:pPr>
      <w:r>
        <w:t>6.5 On Value Creation Scenario Independence</w:t>
      </w:r>
    </w:p>
    <w:p w14:paraId="79778810" w14:textId="77777777" w:rsidR="00D8112A" w:rsidRDefault="00000000">
      <w:pPr>
        <w:spacing w:before="80" w:after="80"/>
      </w:pPr>
      <w:r>
        <w:t xml:space="preserve">The three value creation scenarios are presented as independent calculations with no interaction effects modelled. In practice, simultaneous implementation may produce different outcomes due to operational interdependencies, market responses, and management capacity constraints. The combined </w:t>
      </w:r>
      <w:proofErr w:type="spellStart"/>
      <w:r>
        <w:t>optimisation</w:t>
      </w:r>
      <w:proofErr w:type="spellEnd"/>
      <w:r>
        <w:t xml:space="preserve"> total should be treated as a theoretical maximum.</w:t>
      </w:r>
    </w:p>
    <w:p w14:paraId="79ABCA6A" w14:textId="77777777" w:rsidR="00D8112A" w:rsidRDefault="00000000">
      <w:pPr>
        <w:pStyle w:val="Heading2"/>
      </w:pPr>
      <w:r>
        <w:t>6.6 On Data Period and Representativeness</w:t>
      </w:r>
    </w:p>
    <w:p w14:paraId="4E814768" w14:textId="77777777" w:rsidR="00D8112A" w:rsidRDefault="00000000">
      <w:pPr>
        <w:spacing w:before="80" w:after="80"/>
      </w:pPr>
      <w:r>
        <w:t xml:space="preserve">All analysis is based on transactional data covering 2011 to 2014. No data is available beyond this </w:t>
      </w:r>
      <w:proofErr w:type="gramStart"/>
      <w:r>
        <w:t>period</w:t>
      </w:r>
      <w:proofErr w:type="gramEnd"/>
      <w:r>
        <w:t xml:space="preserve"> and forward projections are extrapolated from historical trends. Structural changes in the business, market, or competitive environment occurring after 2014 are not reflected in this analysis.</w:t>
      </w:r>
    </w:p>
    <w:p w14:paraId="509D4735" w14:textId="77777777" w:rsidR="00D8112A" w:rsidRDefault="00000000">
      <w:r>
        <w:br w:type="page"/>
      </w:r>
    </w:p>
    <w:p w14:paraId="3CC1A1B5" w14:textId="77777777" w:rsidR="00D8112A" w:rsidRDefault="00000000">
      <w:pPr>
        <w:pStyle w:val="Heading1"/>
        <w:pBdr>
          <w:bottom w:val="single" w:sz="8" w:space="4" w:color="1E5631"/>
        </w:pBdr>
      </w:pPr>
      <w:r>
        <w:lastRenderedPageBreak/>
        <w:t>7. Project Structure and Tools</w:t>
      </w:r>
    </w:p>
    <w:p w14:paraId="6B657458" w14:textId="77777777" w:rsidR="00D8112A" w:rsidRDefault="00000000">
      <w:pPr>
        <w:pStyle w:val="Heading2"/>
      </w:pPr>
      <w:r>
        <w:t>7.1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12A" w14:paraId="3EF67957" w14:textId="77777777">
        <w:tblPrEx>
          <w:tblCellMar>
            <w:top w:w="0" w:type="dxa"/>
            <w:bottom w:w="0" w:type="dxa"/>
          </w:tblCellMar>
        </w:tblPrEx>
        <w:tc>
          <w:tcPr>
            <w:tcW w:w="9360" w:type="dxa"/>
            <w:tcBorders>
              <w:top w:val="single" w:sz="6" w:space="0" w:color="CCCCCC"/>
              <w:left w:val="thick" w:sz="12" w:space="0" w:color="CCCCCC"/>
              <w:bottom w:val="single" w:sz="6" w:space="0" w:color="CCCCCC"/>
              <w:right w:val="none" w:sz="0" w:space="0" w:color="FFFFFF"/>
            </w:tcBorders>
            <w:shd w:val="clear" w:color="auto" w:fill="F5F5F5"/>
            <w:tcMar>
              <w:top w:w="120" w:type="dxa"/>
              <w:left w:w="200" w:type="dxa"/>
              <w:bottom w:w="120" w:type="dxa"/>
              <w:right w:w="120" w:type="dxa"/>
            </w:tcMar>
          </w:tcPr>
          <w:p w14:paraId="2E2D3AC6" w14:textId="77777777" w:rsidR="00D8112A" w:rsidRDefault="00000000">
            <w:pPr>
              <w:spacing w:before="60" w:after="60"/>
            </w:pPr>
            <w:r>
              <w:t>commercial-</w:t>
            </w:r>
            <w:proofErr w:type="gramStart"/>
            <w:r>
              <w:t>due-diligence</w:t>
            </w:r>
            <w:proofErr w:type="gramEnd"/>
            <w:r>
              <w:t>/</w:t>
            </w:r>
          </w:p>
          <w:p w14:paraId="18347980" w14:textId="77777777" w:rsidR="00D8112A" w:rsidRDefault="00000000">
            <w:pPr>
              <w:spacing w:before="60" w:after="60"/>
            </w:pPr>
            <w:r>
              <w:t xml:space="preserve">  ├── data/</w:t>
            </w:r>
          </w:p>
          <w:p w14:paraId="3025E67D" w14:textId="77777777" w:rsidR="00D8112A" w:rsidRDefault="00000000">
            <w:pPr>
              <w:spacing w:before="60" w:after="60"/>
            </w:pPr>
            <w:r>
              <w:t xml:space="preserve">  │   ├── raw/                    ← original CSV, never modified</w:t>
            </w:r>
          </w:p>
          <w:p w14:paraId="39080BB9" w14:textId="77777777" w:rsidR="00D8112A" w:rsidRDefault="00000000">
            <w:pPr>
              <w:spacing w:before="60" w:after="60"/>
            </w:pPr>
            <w:r>
              <w:t xml:space="preserve">  │   └── processed/              ← SQL query output CSVs</w:t>
            </w:r>
          </w:p>
          <w:p w14:paraId="04B68889" w14:textId="77777777" w:rsidR="00D8112A" w:rsidRDefault="00000000">
            <w:pPr>
              <w:spacing w:before="60" w:after="60"/>
            </w:pPr>
            <w:r>
              <w:t xml:space="preserve">  ├── </w:t>
            </w:r>
            <w:proofErr w:type="spellStart"/>
            <w:r>
              <w:t>sql</w:t>
            </w:r>
            <w:proofErr w:type="spellEnd"/>
            <w:r>
              <w:t>/</w:t>
            </w:r>
          </w:p>
          <w:p w14:paraId="69A09874" w14:textId="77777777" w:rsidR="00D8112A" w:rsidRDefault="00000000">
            <w:pPr>
              <w:spacing w:before="60" w:after="60"/>
            </w:pPr>
            <w:r>
              <w:t xml:space="preserve">  │   ├── 01_data_validation.sql</w:t>
            </w:r>
          </w:p>
          <w:p w14:paraId="51058C2E" w14:textId="77777777" w:rsidR="00D8112A" w:rsidRDefault="00000000">
            <w:pPr>
              <w:spacing w:before="60" w:after="60"/>
            </w:pPr>
            <w:r>
              <w:t xml:space="preserve">  │   ├── 02_analysis_time_series.sql</w:t>
            </w:r>
          </w:p>
          <w:p w14:paraId="5CDFAC15" w14:textId="77777777" w:rsidR="00D8112A" w:rsidRDefault="00000000">
            <w:pPr>
              <w:spacing w:before="60" w:after="60"/>
            </w:pPr>
            <w:r>
              <w:t xml:space="preserve">  │   ├── 02_5_analysis_time_series_category.sql</w:t>
            </w:r>
          </w:p>
          <w:p w14:paraId="0BD986A3" w14:textId="77777777" w:rsidR="00D8112A" w:rsidRDefault="00000000">
            <w:pPr>
              <w:spacing w:before="60" w:after="60"/>
            </w:pPr>
            <w:r>
              <w:t xml:space="preserve">  │   ├── 03_product_category_analysis.sql</w:t>
            </w:r>
          </w:p>
          <w:p w14:paraId="330EC8FF" w14:textId="77777777" w:rsidR="00D8112A" w:rsidRDefault="00000000">
            <w:pPr>
              <w:spacing w:before="60" w:after="60"/>
            </w:pPr>
            <w:r>
              <w:t xml:space="preserve">  │   ├── 04_product_subcategory_analysis.sql</w:t>
            </w:r>
          </w:p>
          <w:p w14:paraId="5941B7CD" w14:textId="77777777" w:rsidR="00D8112A" w:rsidRDefault="00000000">
            <w:pPr>
              <w:spacing w:before="60" w:after="60"/>
            </w:pPr>
            <w:r>
              <w:t xml:space="preserve">  │   ├── 05_regional_analysis.sql</w:t>
            </w:r>
          </w:p>
          <w:p w14:paraId="49351328" w14:textId="77777777" w:rsidR="00D8112A" w:rsidRDefault="00000000">
            <w:pPr>
              <w:spacing w:before="60" w:after="60"/>
            </w:pPr>
            <w:r>
              <w:t xml:space="preserve">  │   ├── 06_customer_segment_analysis.sql</w:t>
            </w:r>
          </w:p>
          <w:p w14:paraId="142CBDA6" w14:textId="77777777" w:rsidR="00D8112A" w:rsidRDefault="00000000">
            <w:pPr>
              <w:spacing w:before="60" w:after="60"/>
            </w:pPr>
            <w:r>
              <w:t xml:space="preserve">  │   ├── 07_profit_contribution.sql</w:t>
            </w:r>
          </w:p>
          <w:p w14:paraId="13745429" w14:textId="77777777" w:rsidR="00D8112A" w:rsidRDefault="00000000">
            <w:pPr>
              <w:spacing w:before="60" w:after="60"/>
            </w:pPr>
            <w:r>
              <w:t xml:space="preserve">  │   ├── 08_discount_analysis.sql</w:t>
            </w:r>
          </w:p>
          <w:p w14:paraId="70CD6DFA" w14:textId="77777777" w:rsidR="00D8112A" w:rsidRDefault="00000000">
            <w:pPr>
              <w:spacing w:before="60" w:after="60"/>
            </w:pPr>
            <w:r>
              <w:t xml:space="preserve">  │   └── 09_unit_economics_diagnostic.sql</w:t>
            </w:r>
          </w:p>
          <w:p w14:paraId="1400FBCC" w14:textId="77777777" w:rsidR="00D8112A" w:rsidRDefault="00000000">
            <w:pPr>
              <w:spacing w:before="60" w:after="60"/>
            </w:pPr>
            <w:r>
              <w:t xml:space="preserve">  ├── excel/</w:t>
            </w:r>
          </w:p>
          <w:p w14:paraId="04C86AD9" w14:textId="77777777" w:rsidR="00D8112A" w:rsidRDefault="00000000">
            <w:pPr>
              <w:spacing w:before="60" w:after="60"/>
            </w:pPr>
            <w:r>
              <w:t xml:space="preserve">  │   └── scenario_model.xlsx</w:t>
            </w:r>
          </w:p>
          <w:p w14:paraId="17B7C0FB" w14:textId="77777777" w:rsidR="00D8112A" w:rsidRDefault="00000000">
            <w:pPr>
              <w:spacing w:before="60" w:after="60"/>
            </w:pPr>
            <w:r>
              <w:t xml:space="preserve">  ├── outputs/</w:t>
            </w:r>
          </w:p>
          <w:p w14:paraId="7F730EDC" w14:textId="77777777" w:rsidR="00D8112A" w:rsidRDefault="00000000">
            <w:pPr>
              <w:spacing w:before="60" w:after="60"/>
            </w:pPr>
            <w:r>
              <w:t xml:space="preserve">  │   └── executive_summary.pdf</w:t>
            </w:r>
          </w:p>
          <w:p w14:paraId="7C0DF82B" w14:textId="77777777" w:rsidR="00D8112A" w:rsidRDefault="00000000">
            <w:pPr>
              <w:spacing w:before="60" w:after="60"/>
            </w:pPr>
            <w:r>
              <w:t xml:space="preserve">  └── README.md</w:t>
            </w:r>
          </w:p>
        </w:tc>
      </w:tr>
    </w:tbl>
    <w:p w14:paraId="1099D1DB" w14:textId="77777777" w:rsidR="00D8112A" w:rsidRDefault="00000000">
      <w:pPr>
        <w:pStyle w:val="Heading2"/>
      </w:pPr>
      <w:r>
        <w:t>7.2 Tools and Their Roles</w:t>
      </w:r>
    </w:p>
    <w:p w14:paraId="78146A77" w14:textId="77777777" w:rsidR="00D8112A" w:rsidRDefault="00D8112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D8112A" w14:paraId="515878AB" w14:textId="77777777">
        <w:tblPrEx>
          <w:tblCellMar>
            <w:top w:w="0" w:type="dxa"/>
            <w:bottom w:w="0" w:type="dxa"/>
          </w:tblCellMar>
        </w:tblPrEx>
        <w:trPr>
          <w:tblHeader/>
        </w:trPr>
        <w:tc>
          <w:tcPr>
            <w:tcW w:w="18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42454201" w14:textId="77777777" w:rsidR="00D8112A" w:rsidRDefault="00000000">
            <w:pPr>
              <w:jc w:val="center"/>
            </w:pPr>
            <w:r>
              <w:rPr>
                <w:b/>
                <w:bCs/>
                <w:color w:val="FFFFFF"/>
                <w:sz w:val="20"/>
                <w:szCs w:val="20"/>
              </w:rPr>
              <w:t>Tool</w:t>
            </w:r>
          </w:p>
        </w:tc>
        <w:tc>
          <w:tcPr>
            <w:tcW w:w="32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7601F40E" w14:textId="77777777" w:rsidR="00D8112A" w:rsidRDefault="00000000">
            <w:pPr>
              <w:jc w:val="center"/>
            </w:pPr>
            <w:r>
              <w:rPr>
                <w:b/>
                <w:bCs/>
                <w:color w:val="FFFFFF"/>
                <w:sz w:val="20"/>
                <w:szCs w:val="20"/>
              </w:rPr>
              <w:t>Role in Project</w:t>
            </w:r>
          </w:p>
        </w:tc>
        <w:tc>
          <w:tcPr>
            <w:tcW w:w="436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43FCB92B" w14:textId="77777777" w:rsidR="00D8112A" w:rsidRDefault="00000000">
            <w:pPr>
              <w:jc w:val="center"/>
            </w:pPr>
            <w:r>
              <w:rPr>
                <w:b/>
                <w:bCs/>
                <w:color w:val="FFFFFF"/>
                <w:sz w:val="20"/>
                <w:szCs w:val="20"/>
              </w:rPr>
              <w:t>Why This Tool</w:t>
            </w:r>
          </w:p>
        </w:tc>
      </w:tr>
      <w:tr w:rsidR="00D8112A" w14:paraId="4DAD2AA8"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1A0DFD" w14:textId="77777777" w:rsidR="00D8112A" w:rsidRDefault="00000000">
            <w:r>
              <w:rPr>
                <w:sz w:val="20"/>
                <w:szCs w:val="20"/>
              </w:rPr>
              <w:t>SQLite (DB Browser)</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9782E4" w14:textId="77777777" w:rsidR="00D8112A" w:rsidRDefault="00000000">
            <w:pPr>
              <w:jc w:val="center"/>
            </w:pPr>
            <w:r>
              <w:rPr>
                <w:sz w:val="20"/>
                <w:szCs w:val="20"/>
              </w:rPr>
              <w:t>All data extraction, aggregation, and querying</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38558D2" w14:textId="77777777" w:rsidR="00D8112A" w:rsidRDefault="00000000">
            <w:pPr>
              <w:jc w:val="center"/>
            </w:pPr>
            <w:r>
              <w:rPr>
                <w:sz w:val="20"/>
                <w:szCs w:val="20"/>
              </w:rPr>
              <w:t>Industry-standard relational database; demonstrates ability to work beyond Excel with structured data at scale</w:t>
            </w:r>
          </w:p>
        </w:tc>
      </w:tr>
      <w:tr w:rsidR="00D8112A" w14:paraId="505FC3A9"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74A5BFB" w14:textId="77777777" w:rsidR="00D8112A" w:rsidRDefault="00000000">
            <w:r>
              <w:rPr>
                <w:sz w:val="20"/>
                <w:szCs w:val="20"/>
              </w:rPr>
              <w:t>Excel</w:t>
            </w:r>
          </w:p>
        </w:tc>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AB763B5" w14:textId="77777777" w:rsidR="00D8112A" w:rsidRDefault="00000000">
            <w:pPr>
              <w:jc w:val="center"/>
            </w:pPr>
            <w:r>
              <w:rPr>
                <w:sz w:val="20"/>
                <w:szCs w:val="20"/>
              </w:rPr>
              <w:t>Financial model, scenario analysis, FMVA-standard dashboard</w:t>
            </w:r>
          </w:p>
        </w:tc>
        <w:tc>
          <w:tcPr>
            <w:tcW w:w="43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7878E114" w14:textId="77777777" w:rsidR="00D8112A" w:rsidRDefault="00000000">
            <w:pPr>
              <w:jc w:val="center"/>
            </w:pPr>
            <w:r>
              <w:rPr>
                <w:sz w:val="20"/>
                <w:szCs w:val="20"/>
              </w:rPr>
              <w:t>Industry standard for financial modelling and investor-facing outputs in M&amp;A and corporate finance</w:t>
            </w:r>
          </w:p>
        </w:tc>
      </w:tr>
      <w:tr w:rsidR="00D8112A" w14:paraId="4DEE885E"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4E20CEE" w14:textId="77777777" w:rsidR="00D8112A" w:rsidRDefault="00000000">
            <w:r>
              <w:rPr>
                <w:sz w:val="20"/>
                <w:szCs w:val="20"/>
              </w:rPr>
              <w:t>Power Query</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16B477" w14:textId="77777777" w:rsidR="00D8112A" w:rsidRDefault="00000000">
            <w:pPr>
              <w:jc w:val="center"/>
            </w:pPr>
            <w:r>
              <w:rPr>
                <w:sz w:val="20"/>
                <w:szCs w:val="20"/>
              </w:rPr>
              <w:t>Automated data pipeline from SQL CSV outputs into Excel</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516274D" w14:textId="77777777" w:rsidR="00D8112A" w:rsidRDefault="00000000">
            <w:pPr>
              <w:jc w:val="center"/>
            </w:pPr>
            <w:r>
              <w:rPr>
                <w:sz w:val="20"/>
                <w:szCs w:val="20"/>
              </w:rPr>
              <w:t>Eliminates manual data entry; represents modern finance workflow automation</w:t>
            </w:r>
          </w:p>
        </w:tc>
      </w:tr>
      <w:tr w:rsidR="00D8112A" w14:paraId="43843CC7"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2F25E5B" w14:textId="77777777" w:rsidR="00D8112A" w:rsidRDefault="00000000">
            <w:r>
              <w:rPr>
                <w:sz w:val="20"/>
                <w:szCs w:val="20"/>
              </w:rPr>
              <w:t>GitHub</w:t>
            </w:r>
          </w:p>
        </w:tc>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71AAB97" w14:textId="77777777" w:rsidR="00D8112A" w:rsidRDefault="00000000">
            <w:pPr>
              <w:jc w:val="center"/>
            </w:pPr>
            <w:r>
              <w:rPr>
                <w:sz w:val="20"/>
                <w:szCs w:val="20"/>
              </w:rPr>
              <w:t>Version control, project documentation, public portfolio</w:t>
            </w:r>
          </w:p>
        </w:tc>
        <w:tc>
          <w:tcPr>
            <w:tcW w:w="43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1535943A" w14:textId="77777777" w:rsidR="00D8112A" w:rsidRDefault="00000000">
            <w:pPr>
              <w:jc w:val="center"/>
            </w:pPr>
            <w:r>
              <w:rPr>
                <w:sz w:val="20"/>
                <w:szCs w:val="20"/>
              </w:rPr>
              <w:t>Professional project management standard; makes work publicly accessible and auditable</w:t>
            </w:r>
          </w:p>
        </w:tc>
      </w:tr>
    </w:tbl>
    <w:p w14:paraId="431C719D" w14:textId="77777777" w:rsidR="00D8112A" w:rsidRDefault="00000000">
      <w:pPr>
        <w:pStyle w:val="Heading2"/>
      </w:pPr>
      <w:r>
        <w:t>7.3 Skills Demonstrated</w:t>
      </w:r>
    </w:p>
    <w:p w14:paraId="353F6D47" w14:textId="77777777" w:rsidR="00D8112A" w:rsidRDefault="00000000">
      <w:pPr>
        <w:pStyle w:val="ListParagraph"/>
        <w:numPr>
          <w:ilvl w:val="0"/>
          <w:numId w:val="2"/>
        </w:numPr>
        <w:spacing w:before="60" w:after="60"/>
      </w:pPr>
      <w:r>
        <w:lastRenderedPageBreak/>
        <w:t>SQL: Multi-table query logic, CTEs, window functions (LAG, RANK, SUM OVER PARTITION), CASE statements, aggregate functions, and financial analysis applications</w:t>
      </w:r>
    </w:p>
    <w:p w14:paraId="5D4FFD14" w14:textId="77777777" w:rsidR="00D8112A" w:rsidRDefault="00000000">
      <w:pPr>
        <w:pStyle w:val="ListParagraph"/>
        <w:numPr>
          <w:ilvl w:val="0"/>
          <w:numId w:val="2"/>
        </w:numPr>
        <w:spacing w:before="60" w:after="60"/>
      </w:pPr>
      <w:r>
        <w:t>Financial modelling: Three-scenario P&amp;L construction, assumption documentation, sensitivity analysis, and value creation scenario quantification</w:t>
      </w:r>
    </w:p>
    <w:p w14:paraId="60ACE29F" w14:textId="77777777" w:rsidR="00D8112A" w:rsidRDefault="00000000">
      <w:pPr>
        <w:pStyle w:val="ListParagraph"/>
        <w:numPr>
          <w:ilvl w:val="0"/>
          <w:numId w:val="2"/>
        </w:numPr>
        <w:spacing w:before="60" w:after="60"/>
      </w:pPr>
      <w:r>
        <w:t>Commercial analysis: Portfolio efficiency assessment, margin decomposition, unit economics diagnosis, and investment recommendation framing</w:t>
      </w:r>
    </w:p>
    <w:p w14:paraId="637EDF5A" w14:textId="77777777" w:rsidR="00D8112A" w:rsidRDefault="00000000">
      <w:pPr>
        <w:pStyle w:val="ListParagraph"/>
        <w:numPr>
          <w:ilvl w:val="0"/>
          <w:numId w:val="2"/>
        </w:numPr>
        <w:spacing w:before="60" w:after="60"/>
      </w:pPr>
      <w:r>
        <w:t xml:space="preserve">Data </w:t>
      </w:r>
      <w:proofErr w:type="spellStart"/>
      <w:r>
        <w:t>visualisation</w:t>
      </w:r>
      <w:proofErr w:type="spellEnd"/>
      <w:r>
        <w:t xml:space="preserve">: FMVA-standard Excel dashboard with consistent </w:t>
      </w:r>
      <w:proofErr w:type="spellStart"/>
      <w:r>
        <w:t>colour</w:t>
      </w:r>
      <w:proofErr w:type="spellEnd"/>
      <w:r>
        <w:t xml:space="preserve"> scheme, insight-driven chart titles, and KPI strip</w:t>
      </w:r>
    </w:p>
    <w:p w14:paraId="154B67A0" w14:textId="77777777" w:rsidR="00D8112A" w:rsidRDefault="00000000">
      <w:pPr>
        <w:pStyle w:val="ListParagraph"/>
        <w:numPr>
          <w:ilvl w:val="0"/>
          <w:numId w:val="2"/>
        </w:numPr>
        <w:spacing w:before="60" w:after="60"/>
      </w:pPr>
      <w:r>
        <w:t>Documentation: Technical methodology documentation, assumption sourcing, limitation acknowledgement, and GitHub README</w:t>
      </w:r>
    </w:p>
    <w:p w14:paraId="08D31622" w14:textId="77777777" w:rsidR="00D8112A" w:rsidRDefault="00000000">
      <w:r>
        <w:br w:type="page"/>
      </w:r>
    </w:p>
    <w:p w14:paraId="2504C1E3" w14:textId="77777777" w:rsidR="00D8112A" w:rsidRDefault="00000000">
      <w:pPr>
        <w:pStyle w:val="Heading1"/>
        <w:pBdr>
          <w:bottom w:val="single" w:sz="8" w:space="4" w:color="1E5631"/>
        </w:pBdr>
      </w:pPr>
      <w:r>
        <w:lastRenderedPageBreak/>
        <w:t>8. Glossary of Terms</w:t>
      </w:r>
    </w:p>
    <w:p w14:paraId="428EE965" w14:textId="77777777" w:rsidR="00D8112A" w:rsidRDefault="00D8112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8112A" w14:paraId="0C5833D1" w14:textId="77777777">
        <w:tblPrEx>
          <w:tblCellMar>
            <w:top w:w="0" w:type="dxa"/>
            <w:bottom w:w="0" w:type="dxa"/>
          </w:tblCellMar>
        </w:tblPrEx>
        <w:trPr>
          <w:tblHeader/>
        </w:trPr>
        <w:tc>
          <w:tcPr>
            <w:tcW w:w="240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7F9CAFEA" w14:textId="77777777" w:rsidR="00D8112A" w:rsidRDefault="00000000">
            <w:pPr>
              <w:jc w:val="center"/>
            </w:pPr>
            <w:r>
              <w:rPr>
                <w:b/>
                <w:bCs/>
                <w:color w:val="FFFFFF"/>
                <w:sz w:val="20"/>
                <w:szCs w:val="20"/>
              </w:rPr>
              <w:t>Term</w:t>
            </w:r>
          </w:p>
        </w:tc>
        <w:tc>
          <w:tcPr>
            <w:tcW w:w="696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20" w:type="dxa"/>
              <w:bottom w:w="80" w:type="dxa"/>
              <w:right w:w="120" w:type="dxa"/>
            </w:tcMar>
          </w:tcPr>
          <w:p w14:paraId="39159740" w14:textId="77777777" w:rsidR="00D8112A" w:rsidRDefault="00000000">
            <w:pPr>
              <w:jc w:val="center"/>
            </w:pPr>
            <w:r>
              <w:rPr>
                <w:b/>
                <w:bCs/>
                <w:color w:val="FFFFFF"/>
                <w:sz w:val="20"/>
                <w:szCs w:val="20"/>
              </w:rPr>
              <w:t>Definition</w:t>
            </w:r>
          </w:p>
        </w:tc>
      </w:tr>
      <w:tr w:rsidR="00D8112A" w14:paraId="2DB82E5B"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EC889EE" w14:textId="77777777" w:rsidR="00D8112A" w:rsidRDefault="00000000">
            <w:r>
              <w:rPr>
                <w:sz w:val="20"/>
                <w:szCs w:val="20"/>
              </w:rPr>
              <w:t>Operating Contribution (OC)</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60415B" w14:textId="77777777" w:rsidR="00D8112A" w:rsidRDefault="00000000">
            <w:pPr>
              <w:jc w:val="center"/>
            </w:pPr>
            <w:r>
              <w:rPr>
                <w:sz w:val="20"/>
                <w:szCs w:val="20"/>
              </w:rPr>
              <w:t>Revenue less direct product costs as recorded in transactional data. Inclusive of variable operating costs. Used in place of Gross Profit to accurately reflect the nature of the dataset profit figure.</w:t>
            </w:r>
          </w:p>
        </w:tc>
      </w:tr>
      <w:tr w:rsidR="00D8112A" w14:paraId="33F4F473"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DD71AED" w14:textId="77777777" w:rsidR="00D8112A" w:rsidRDefault="00000000">
            <w:r>
              <w:rPr>
                <w:sz w:val="20"/>
                <w:szCs w:val="20"/>
              </w:rPr>
              <w:t>OC Margin %</w:t>
            </w:r>
          </w:p>
        </w:tc>
        <w:tc>
          <w:tcPr>
            <w:tcW w:w="69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10309C9D" w14:textId="77777777" w:rsidR="00D8112A" w:rsidRDefault="00000000">
            <w:pPr>
              <w:jc w:val="center"/>
            </w:pPr>
            <w:r>
              <w:rPr>
                <w:sz w:val="20"/>
                <w:szCs w:val="20"/>
              </w:rPr>
              <w:t>Operating Contribution as a percentage of Revenue.</w:t>
            </w:r>
          </w:p>
        </w:tc>
      </w:tr>
      <w:tr w:rsidR="00D8112A" w14:paraId="357759E0"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752A935" w14:textId="77777777" w:rsidR="00D8112A" w:rsidRDefault="00000000">
            <w:r>
              <w:rPr>
                <w:sz w:val="20"/>
                <w:szCs w:val="20"/>
              </w:rPr>
              <w:t>EBIT</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323065" w14:textId="77777777" w:rsidR="00D8112A" w:rsidRDefault="00000000">
            <w:pPr>
              <w:jc w:val="center"/>
            </w:pPr>
            <w:r>
              <w:rPr>
                <w:sz w:val="20"/>
                <w:szCs w:val="20"/>
              </w:rPr>
              <w:t>Earnings Before Interest and Tax. Calculated as Operating Contribution less Fixed Overhead less tax in the illustrative forward scenario.</w:t>
            </w:r>
          </w:p>
        </w:tc>
      </w:tr>
      <w:tr w:rsidR="00D8112A" w14:paraId="4D2A97C4"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EBFAF48" w14:textId="77777777" w:rsidR="00D8112A" w:rsidRDefault="00000000">
            <w:r>
              <w:rPr>
                <w:sz w:val="20"/>
                <w:szCs w:val="20"/>
              </w:rPr>
              <w:t>EBITDA</w:t>
            </w:r>
          </w:p>
        </w:tc>
        <w:tc>
          <w:tcPr>
            <w:tcW w:w="69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AB42CE1" w14:textId="77777777" w:rsidR="00D8112A" w:rsidRDefault="00000000">
            <w:pPr>
              <w:jc w:val="center"/>
            </w:pPr>
            <w:r>
              <w:rPr>
                <w:sz w:val="20"/>
                <w:szCs w:val="20"/>
              </w:rPr>
              <w:t xml:space="preserve">Earnings Before Interest, Tax, Depreciation and </w:t>
            </w:r>
            <w:proofErr w:type="spellStart"/>
            <w:r>
              <w:rPr>
                <w:sz w:val="20"/>
                <w:szCs w:val="20"/>
              </w:rPr>
              <w:t>Amortisation</w:t>
            </w:r>
            <w:proofErr w:type="spellEnd"/>
            <w:r>
              <w:rPr>
                <w:sz w:val="20"/>
                <w:szCs w:val="20"/>
              </w:rPr>
              <w:t>. Not presented in this analysis due to absence of reliable D&amp;A data. More appropriate for asset-intensive categories.</w:t>
            </w:r>
          </w:p>
        </w:tc>
      </w:tr>
      <w:tr w:rsidR="00D8112A" w14:paraId="78243B24"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60D26D9" w14:textId="77777777" w:rsidR="00D8112A" w:rsidRDefault="00000000">
            <w:r>
              <w:rPr>
                <w:sz w:val="20"/>
                <w:szCs w:val="20"/>
              </w:rPr>
              <w:t>CAGR</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1983B34" w14:textId="77777777" w:rsidR="00D8112A" w:rsidRDefault="00000000">
            <w:pPr>
              <w:jc w:val="center"/>
            </w:pPr>
            <w:r>
              <w:rPr>
                <w:sz w:val="20"/>
                <w:szCs w:val="20"/>
              </w:rPr>
              <w:t xml:space="preserve">Compound Annual Growth Rate. The </w:t>
            </w:r>
            <w:proofErr w:type="spellStart"/>
            <w:r>
              <w:rPr>
                <w:sz w:val="20"/>
                <w:szCs w:val="20"/>
              </w:rPr>
              <w:t>annualised</w:t>
            </w:r>
            <w:proofErr w:type="spellEnd"/>
            <w:r>
              <w:rPr>
                <w:sz w:val="20"/>
                <w:szCs w:val="20"/>
              </w:rPr>
              <w:t xml:space="preserve"> rate of growth assuming compounding over multiple years.</w:t>
            </w:r>
          </w:p>
        </w:tc>
      </w:tr>
      <w:tr w:rsidR="00D8112A" w14:paraId="1A82CAAC"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20FDBAA8" w14:textId="77777777" w:rsidR="00D8112A" w:rsidRDefault="00000000">
            <w:r>
              <w:rPr>
                <w:sz w:val="20"/>
                <w:szCs w:val="20"/>
              </w:rPr>
              <w:t>Profit Contribution %</w:t>
            </w:r>
          </w:p>
        </w:tc>
        <w:tc>
          <w:tcPr>
            <w:tcW w:w="69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0EE8C22" w14:textId="77777777" w:rsidR="00D8112A" w:rsidRDefault="00000000">
            <w:pPr>
              <w:jc w:val="center"/>
            </w:pPr>
            <w:r>
              <w:rPr>
                <w:sz w:val="20"/>
                <w:szCs w:val="20"/>
              </w:rPr>
              <w:t>Each category’s share of total company Operating Contribution. Compared against Revenue Share % to identify portfolio efficiency gaps.</w:t>
            </w:r>
          </w:p>
        </w:tc>
      </w:tr>
      <w:tr w:rsidR="00D8112A" w14:paraId="2F31D107"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A5E58E" w14:textId="77777777" w:rsidR="00D8112A" w:rsidRDefault="00000000">
            <w:r>
              <w:rPr>
                <w:sz w:val="20"/>
                <w:szCs w:val="20"/>
              </w:rPr>
              <w:t>Value Creation Scenario</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642D7C" w14:textId="77777777" w:rsidR="00D8112A" w:rsidRDefault="00000000">
            <w:pPr>
              <w:jc w:val="center"/>
            </w:pPr>
            <w:r>
              <w:rPr>
                <w:sz w:val="20"/>
                <w:szCs w:val="20"/>
              </w:rPr>
              <w:t>A specific, evidence-based operational action with quantified profit impact. Distinct from the Downside/Base/Upside revenue scenarios.</w:t>
            </w:r>
          </w:p>
        </w:tc>
      </w:tr>
      <w:tr w:rsidR="00D8112A" w14:paraId="1CC6B3C6"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252CD15C" w14:textId="77777777" w:rsidR="00D8112A" w:rsidRDefault="00000000">
            <w:r>
              <w:rPr>
                <w:sz w:val="20"/>
                <w:szCs w:val="20"/>
              </w:rPr>
              <w:t>Driver Switch</w:t>
            </w:r>
          </w:p>
        </w:tc>
        <w:tc>
          <w:tcPr>
            <w:tcW w:w="69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3688BC4" w14:textId="77777777" w:rsidR="00D8112A" w:rsidRDefault="00000000">
            <w:pPr>
              <w:jc w:val="center"/>
            </w:pPr>
            <w:r>
              <w:rPr>
                <w:sz w:val="20"/>
                <w:szCs w:val="20"/>
              </w:rPr>
              <w:t>An Excel control cell (set to 1, 2, or 3) that determines which scenario assumption set is active across the P&amp;L model using INDEX/MATCH logic.</w:t>
            </w:r>
          </w:p>
        </w:tc>
      </w:tr>
      <w:tr w:rsidR="00D8112A" w14:paraId="1EEA9042"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EB770B" w14:textId="77777777" w:rsidR="00D8112A" w:rsidRDefault="00000000">
            <w:r>
              <w:rPr>
                <w:sz w:val="20"/>
                <w:szCs w:val="20"/>
              </w:rPr>
              <w:t>CTE</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D4298BF" w14:textId="77777777" w:rsidR="00D8112A" w:rsidRDefault="00000000">
            <w:pPr>
              <w:jc w:val="center"/>
            </w:pPr>
            <w:r>
              <w:rPr>
                <w:sz w:val="20"/>
                <w:szCs w:val="20"/>
              </w:rPr>
              <w:t>Common Table Expression. A named temporary result set in SQL, defined using the WITH keyword, used to structure complex multi-step queries.</w:t>
            </w:r>
          </w:p>
        </w:tc>
      </w:tr>
      <w:tr w:rsidR="00D8112A" w14:paraId="6ADC2883"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27AD08A6" w14:textId="77777777" w:rsidR="00D8112A" w:rsidRDefault="00000000">
            <w:r>
              <w:rPr>
                <w:sz w:val="20"/>
                <w:szCs w:val="20"/>
              </w:rPr>
              <w:t>LAG()</w:t>
            </w:r>
          </w:p>
        </w:tc>
        <w:tc>
          <w:tcPr>
            <w:tcW w:w="69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4318586" w14:textId="77777777" w:rsidR="00D8112A" w:rsidRDefault="00000000">
            <w:pPr>
              <w:jc w:val="center"/>
            </w:pPr>
            <w:r>
              <w:rPr>
                <w:sz w:val="20"/>
                <w:szCs w:val="20"/>
              </w:rPr>
              <w:t>A SQL window function that returns the value of a specified column from the previous row in the result set, used here to calculate year-on-year growth rates.</w:t>
            </w:r>
          </w:p>
        </w:tc>
      </w:tr>
      <w:tr w:rsidR="00D8112A" w14:paraId="203812D2"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B0B2AB2" w14:textId="77777777" w:rsidR="00D8112A" w:rsidRDefault="00000000">
            <w:r>
              <w:rPr>
                <w:sz w:val="20"/>
                <w:szCs w:val="20"/>
              </w:rPr>
              <w:t>Unit Economics</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671A0F2" w14:textId="77777777" w:rsidR="00D8112A" w:rsidRDefault="00000000">
            <w:pPr>
              <w:jc w:val="center"/>
            </w:pPr>
            <w:r>
              <w:rPr>
                <w:sz w:val="20"/>
                <w:szCs w:val="20"/>
              </w:rPr>
              <w:t>Analysis at the individual unit level: average selling price, average unit cost, and average unit profit, used to diagnose margin issues at the transaction level.</w:t>
            </w:r>
          </w:p>
        </w:tc>
      </w:tr>
    </w:tbl>
    <w:p w14:paraId="2236D0E4" w14:textId="77777777" w:rsidR="004A36C2" w:rsidRDefault="004A36C2"/>
    <w:sectPr w:rsidR="004A36C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80351" w14:textId="77777777" w:rsidR="004A36C2" w:rsidRDefault="004A36C2">
      <w:r>
        <w:separator/>
      </w:r>
    </w:p>
  </w:endnote>
  <w:endnote w:type="continuationSeparator" w:id="0">
    <w:p w14:paraId="781B2893" w14:textId="77777777" w:rsidR="004A36C2" w:rsidRDefault="004A3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F618" w14:textId="77777777" w:rsidR="00D8112A" w:rsidRDefault="00000000">
    <w:pPr>
      <w:pBdr>
        <w:top w:val="single" w:sz="4" w:space="4" w:color="CCCCCC"/>
      </w:pBdr>
    </w:pPr>
    <w:r>
      <w:rPr>
        <w:color w:val="CCCCCC"/>
        <w:sz w:val="18"/>
        <w:szCs w:val="18"/>
      </w:rPr>
      <w:t>Analytical Methodology &amp; Technical Documentation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5DD89" w14:textId="77777777" w:rsidR="004A36C2" w:rsidRDefault="004A36C2">
      <w:r>
        <w:separator/>
      </w:r>
    </w:p>
  </w:footnote>
  <w:footnote w:type="continuationSeparator" w:id="0">
    <w:p w14:paraId="1D097E3B" w14:textId="77777777" w:rsidR="004A36C2" w:rsidRDefault="004A3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3A327" w14:textId="77777777" w:rsidR="00D8112A" w:rsidRDefault="00000000">
    <w:pPr>
      <w:pBdr>
        <w:bottom w:val="single" w:sz="4" w:space="4" w:color="1E5631"/>
      </w:pBdr>
    </w:pPr>
    <w:r>
      <w:rPr>
        <w:color w:val="2E7D52"/>
        <w:sz w:val="18"/>
        <w:szCs w:val="18"/>
      </w:rPr>
      <w:t>Commercial Performance Review — Due Diligence Case Study  |  Kenneth Christopher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66DC3"/>
    <w:multiLevelType w:val="hybridMultilevel"/>
    <w:tmpl w:val="58DC5838"/>
    <w:lvl w:ilvl="0" w:tplc="C7B05F40">
      <w:start w:val="1"/>
      <w:numFmt w:val="bullet"/>
      <w:lvlText w:val="○"/>
      <w:lvlJc w:val="left"/>
      <w:pPr>
        <w:ind w:left="1080" w:hanging="360"/>
      </w:pPr>
    </w:lvl>
    <w:lvl w:ilvl="1" w:tplc="75FCB8EE">
      <w:numFmt w:val="decimal"/>
      <w:lvlText w:val=""/>
      <w:lvlJc w:val="left"/>
    </w:lvl>
    <w:lvl w:ilvl="2" w:tplc="15F47182">
      <w:numFmt w:val="decimal"/>
      <w:lvlText w:val=""/>
      <w:lvlJc w:val="left"/>
    </w:lvl>
    <w:lvl w:ilvl="3" w:tplc="F5905B56">
      <w:numFmt w:val="decimal"/>
      <w:lvlText w:val=""/>
      <w:lvlJc w:val="left"/>
    </w:lvl>
    <w:lvl w:ilvl="4" w:tplc="856C01CA">
      <w:numFmt w:val="decimal"/>
      <w:lvlText w:val=""/>
      <w:lvlJc w:val="left"/>
    </w:lvl>
    <w:lvl w:ilvl="5" w:tplc="0AE8D160">
      <w:numFmt w:val="decimal"/>
      <w:lvlText w:val=""/>
      <w:lvlJc w:val="left"/>
    </w:lvl>
    <w:lvl w:ilvl="6" w:tplc="C6F2D306">
      <w:numFmt w:val="decimal"/>
      <w:lvlText w:val=""/>
      <w:lvlJc w:val="left"/>
    </w:lvl>
    <w:lvl w:ilvl="7" w:tplc="4694EAE6">
      <w:numFmt w:val="decimal"/>
      <w:lvlText w:val=""/>
      <w:lvlJc w:val="left"/>
    </w:lvl>
    <w:lvl w:ilvl="8" w:tplc="33CA498E">
      <w:numFmt w:val="decimal"/>
      <w:lvlText w:val=""/>
      <w:lvlJc w:val="left"/>
    </w:lvl>
  </w:abstractNum>
  <w:abstractNum w:abstractNumId="1" w15:restartNumberingAfterBreak="0">
    <w:nsid w:val="30335840"/>
    <w:multiLevelType w:val="hybridMultilevel"/>
    <w:tmpl w:val="9C68D2BA"/>
    <w:lvl w:ilvl="0" w:tplc="EB62BF2A">
      <w:start w:val="1"/>
      <w:numFmt w:val="bullet"/>
      <w:lvlText w:val="•"/>
      <w:lvlJc w:val="left"/>
      <w:pPr>
        <w:ind w:left="720" w:hanging="360"/>
      </w:pPr>
    </w:lvl>
    <w:lvl w:ilvl="1" w:tplc="581A4F9A">
      <w:numFmt w:val="decimal"/>
      <w:lvlText w:val=""/>
      <w:lvlJc w:val="left"/>
    </w:lvl>
    <w:lvl w:ilvl="2" w:tplc="416A1380">
      <w:numFmt w:val="decimal"/>
      <w:lvlText w:val=""/>
      <w:lvlJc w:val="left"/>
    </w:lvl>
    <w:lvl w:ilvl="3" w:tplc="63D2D9A6">
      <w:numFmt w:val="decimal"/>
      <w:lvlText w:val=""/>
      <w:lvlJc w:val="left"/>
    </w:lvl>
    <w:lvl w:ilvl="4" w:tplc="66485E1E">
      <w:numFmt w:val="decimal"/>
      <w:lvlText w:val=""/>
      <w:lvlJc w:val="left"/>
    </w:lvl>
    <w:lvl w:ilvl="5" w:tplc="1D26BDAA">
      <w:numFmt w:val="decimal"/>
      <w:lvlText w:val=""/>
      <w:lvlJc w:val="left"/>
    </w:lvl>
    <w:lvl w:ilvl="6" w:tplc="CC9AA7A6">
      <w:numFmt w:val="decimal"/>
      <w:lvlText w:val=""/>
      <w:lvlJc w:val="left"/>
    </w:lvl>
    <w:lvl w:ilvl="7" w:tplc="05CCB740">
      <w:numFmt w:val="decimal"/>
      <w:lvlText w:val=""/>
      <w:lvlJc w:val="left"/>
    </w:lvl>
    <w:lvl w:ilvl="8" w:tplc="CAB0697C">
      <w:numFmt w:val="decimal"/>
      <w:lvlText w:val=""/>
      <w:lvlJc w:val="left"/>
    </w:lvl>
  </w:abstractNum>
  <w:abstractNum w:abstractNumId="2" w15:restartNumberingAfterBreak="0">
    <w:nsid w:val="692A4AF2"/>
    <w:multiLevelType w:val="hybridMultilevel"/>
    <w:tmpl w:val="DB443BE2"/>
    <w:lvl w:ilvl="0" w:tplc="A2448C78">
      <w:start w:val="1"/>
      <w:numFmt w:val="decimal"/>
      <w:lvlText w:val="%1."/>
      <w:lvlJc w:val="left"/>
      <w:pPr>
        <w:ind w:left="720" w:hanging="360"/>
      </w:pPr>
    </w:lvl>
    <w:lvl w:ilvl="1" w:tplc="6256F22E">
      <w:numFmt w:val="decimal"/>
      <w:lvlText w:val=""/>
      <w:lvlJc w:val="left"/>
    </w:lvl>
    <w:lvl w:ilvl="2" w:tplc="65EEFADE">
      <w:numFmt w:val="decimal"/>
      <w:lvlText w:val=""/>
      <w:lvlJc w:val="left"/>
    </w:lvl>
    <w:lvl w:ilvl="3" w:tplc="CB0E4DEA">
      <w:numFmt w:val="decimal"/>
      <w:lvlText w:val=""/>
      <w:lvlJc w:val="left"/>
    </w:lvl>
    <w:lvl w:ilvl="4" w:tplc="5DE0B6CA">
      <w:numFmt w:val="decimal"/>
      <w:lvlText w:val=""/>
      <w:lvlJc w:val="left"/>
    </w:lvl>
    <w:lvl w:ilvl="5" w:tplc="D9727832">
      <w:numFmt w:val="decimal"/>
      <w:lvlText w:val=""/>
      <w:lvlJc w:val="left"/>
    </w:lvl>
    <w:lvl w:ilvl="6" w:tplc="8900669C">
      <w:numFmt w:val="decimal"/>
      <w:lvlText w:val=""/>
      <w:lvlJc w:val="left"/>
    </w:lvl>
    <w:lvl w:ilvl="7" w:tplc="E2AA10BE">
      <w:numFmt w:val="decimal"/>
      <w:lvlText w:val=""/>
      <w:lvlJc w:val="left"/>
    </w:lvl>
    <w:lvl w:ilvl="8" w:tplc="C6BA4A5E">
      <w:numFmt w:val="decimal"/>
      <w:lvlText w:val=""/>
      <w:lvlJc w:val="left"/>
    </w:lvl>
  </w:abstractNum>
  <w:abstractNum w:abstractNumId="3" w15:restartNumberingAfterBreak="0">
    <w:nsid w:val="6D21589B"/>
    <w:multiLevelType w:val="hybridMultilevel"/>
    <w:tmpl w:val="9660803A"/>
    <w:lvl w:ilvl="0" w:tplc="9AE02056">
      <w:start w:val="1"/>
      <w:numFmt w:val="bullet"/>
      <w:lvlText w:val="●"/>
      <w:lvlJc w:val="left"/>
      <w:pPr>
        <w:ind w:left="720" w:hanging="360"/>
      </w:pPr>
    </w:lvl>
    <w:lvl w:ilvl="1" w:tplc="F5B6CDCE">
      <w:start w:val="1"/>
      <w:numFmt w:val="bullet"/>
      <w:lvlText w:val="○"/>
      <w:lvlJc w:val="left"/>
      <w:pPr>
        <w:ind w:left="1440" w:hanging="360"/>
      </w:pPr>
    </w:lvl>
    <w:lvl w:ilvl="2" w:tplc="D3AE5BE8">
      <w:start w:val="1"/>
      <w:numFmt w:val="bullet"/>
      <w:lvlText w:val="■"/>
      <w:lvlJc w:val="left"/>
      <w:pPr>
        <w:ind w:left="2160" w:hanging="360"/>
      </w:pPr>
    </w:lvl>
    <w:lvl w:ilvl="3" w:tplc="418E6C84">
      <w:start w:val="1"/>
      <w:numFmt w:val="bullet"/>
      <w:lvlText w:val="●"/>
      <w:lvlJc w:val="left"/>
      <w:pPr>
        <w:ind w:left="2880" w:hanging="360"/>
      </w:pPr>
    </w:lvl>
    <w:lvl w:ilvl="4" w:tplc="8FA42ECC">
      <w:start w:val="1"/>
      <w:numFmt w:val="bullet"/>
      <w:lvlText w:val="○"/>
      <w:lvlJc w:val="left"/>
      <w:pPr>
        <w:ind w:left="3600" w:hanging="360"/>
      </w:pPr>
    </w:lvl>
    <w:lvl w:ilvl="5" w:tplc="B90C9B3E">
      <w:start w:val="1"/>
      <w:numFmt w:val="bullet"/>
      <w:lvlText w:val="■"/>
      <w:lvlJc w:val="left"/>
      <w:pPr>
        <w:ind w:left="4320" w:hanging="360"/>
      </w:pPr>
    </w:lvl>
    <w:lvl w:ilvl="6" w:tplc="014C19DE">
      <w:start w:val="1"/>
      <w:numFmt w:val="bullet"/>
      <w:lvlText w:val="●"/>
      <w:lvlJc w:val="left"/>
      <w:pPr>
        <w:ind w:left="5040" w:hanging="360"/>
      </w:pPr>
    </w:lvl>
    <w:lvl w:ilvl="7" w:tplc="B1CA14AC">
      <w:start w:val="1"/>
      <w:numFmt w:val="bullet"/>
      <w:lvlText w:val="●"/>
      <w:lvlJc w:val="left"/>
      <w:pPr>
        <w:ind w:left="5760" w:hanging="360"/>
      </w:pPr>
    </w:lvl>
    <w:lvl w:ilvl="8" w:tplc="8FC62A60">
      <w:start w:val="1"/>
      <w:numFmt w:val="bullet"/>
      <w:lvlText w:val="●"/>
      <w:lvlJc w:val="left"/>
      <w:pPr>
        <w:ind w:left="6480" w:hanging="360"/>
      </w:pPr>
    </w:lvl>
  </w:abstractNum>
  <w:num w:numId="1" w16cid:durableId="1061175248">
    <w:abstractNumId w:val="3"/>
    <w:lvlOverride w:ilvl="0">
      <w:startOverride w:val="1"/>
    </w:lvlOverride>
  </w:num>
  <w:num w:numId="2" w16cid:durableId="1231960788">
    <w:abstractNumId w:val="1"/>
    <w:lvlOverride w:ilvl="0">
      <w:startOverride w:val="1"/>
    </w:lvlOverride>
  </w:num>
  <w:num w:numId="3" w16cid:durableId="1816219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12A"/>
    <w:rsid w:val="0045074F"/>
    <w:rsid w:val="004A36C2"/>
    <w:rsid w:val="00B32774"/>
    <w:rsid w:val="00D81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D50F0"/>
  <w15:docId w15:val="{C0B65D16-756D-4635-AFB3-856B90283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5631"/>
      <w:sz w:val="32"/>
      <w:szCs w:val="32"/>
    </w:rPr>
  </w:style>
  <w:style w:type="paragraph" w:styleId="Heading2">
    <w:name w:val="heading 2"/>
    <w:uiPriority w:val="9"/>
    <w:unhideWhenUsed/>
    <w:qFormat/>
    <w:pPr>
      <w:spacing w:before="240" w:after="120"/>
      <w:outlineLvl w:val="1"/>
    </w:pPr>
    <w:rPr>
      <w:b/>
      <w:bCs/>
      <w:color w:val="2E7D52"/>
      <w:sz w:val="26"/>
      <w:szCs w:val="26"/>
    </w:rPr>
  </w:style>
  <w:style w:type="paragraph" w:styleId="Heading3">
    <w:name w:val="heading 3"/>
    <w:uiPriority w:val="9"/>
    <w:unhideWhenUsed/>
    <w:qFormat/>
    <w:pPr>
      <w:spacing w:before="18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5249</Words>
  <Characters>29923</Characters>
  <Application>Microsoft Office Word</Application>
  <DocSecurity>0</DocSecurity>
  <Lines>249</Lines>
  <Paragraphs>70</Paragraphs>
  <ScaleCrop>false</ScaleCrop>
  <Company/>
  <LinksUpToDate>false</LinksUpToDate>
  <CharactersWithSpaces>35102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CHRISTOPHER, KENNETH (Student)</cp:lastModifiedBy>
  <cp:revision>2</cp:revision>
  <dcterms:created xsi:type="dcterms:W3CDTF">2026-05-01T17:46:00Z</dcterms:created>
  <dcterms:modified xsi:type="dcterms:W3CDTF">2026-05-01T17:51:00Z</dcterms:modified>
</cp:coreProperties>
</file>