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gen_docs_index.py           Regenerates docs/index.html by reading the sheets</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OdysseyCode"/>
        <w:shd w:val="clear" w:color="auto" w:fill="F2F2F2"/>
      </w:pPr>
      <w:r>
        <w:rPr>
          <w:rFonts w:ascii="Consolas" w:hAnsi="Consolas"/>
          <w:sz w:val="15"/>
        </w:rPr>
        <w:t>|   +-- odyssey-dshot.html          The DShot300 waveform, drawn to scale</w:t>
      </w:r>
    </w:p>
    <w:p>
      <w:pPr>
        <w:pStyle w:val="OdysseyCode"/>
        <w:shd w:val="clear" w:color="auto" w:fill="F2F2F2"/>
      </w:pPr>
      <w:r>
        <w:rPr>
          <w:rFonts w:ascii="Consolas" w:hAnsi="Consolas"/>
          <w:sz w:val="15"/>
        </w:rPr>
        <w:t>|   +-- odyssey-link.html           The LoRa/AUX frame format, field by field</w:t>
      </w:r>
    </w:p>
    <w:p>
      <w:pPr>
        <w:pStyle w:val="OdysseyCode"/>
        <w:shd w:val="clear" w:color="auto" w:fill="F2F2F2"/>
      </w:pPr>
      <w:r>
        <w:rPr>
          <w:rFonts w:ascii="Consolas" w:hAnsi="Consolas"/>
          <w:sz w:val="15"/>
        </w:rPr>
        <w:t>|   +-- odyssey-bringup.html        Bring-up status: four steps, four assumptions</w:t>
      </w:r>
    </w:p>
    <w:p>
      <w:pPr>
        <w:pStyle w:val="OdysseyCode"/>
        <w:shd w:val="clear" w:color="auto" w:fill="F2F2F2"/>
      </w:pPr>
      <w:r>
        <w:rPr>
          <w:rFonts w:ascii="Consolas" w:hAnsi="Consolas"/>
          <w:sz w:val="15"/>
        </w:rPr>
        <w:t>|   +-- odyssey-checklist.html      The §11 commissioning checklist, tickable</w:t>
      </w:r>
    </w:p>
    <w:p>
      <w:pPr>
        <w:pStyle w:val="OdysseyCode"/>
        <w:shd w:val="clear" w:color="auto" w:fill="F2F2F2"/>
      </w:pPr>
      <w:r>
        <w:rPr>
          <w:rFonts w:ascii="Consolas" w:hAnsi="Consolas"/>
          <w:sz w:val="15"/>
        </w:rPr>
        <w:t>|   +-- index.html                  The map for the nine sheets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