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2.5</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2.5 — propulsion and energy matched to the 9-inch airframe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and runs a propeller below the range the stator was built for. The 2810 class (28 mm stator, about 82% of the stator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r>
        <w:t xml:space="preserve">The result is a lighter aircraft with </w:t>
      </w:r>
      <w:r>
        <w:rPr>
          <w:i/>
        </w:rPr>
        <w:t>more</w:t>
      </w:r>
      <w:r>
        <w:t xml:space="preserve"> thrust-to-weight than the 3110 gave on 9-inch propellers, because the mass saved (64 g) matters more at this scale than the modest thrust the larger stator could have delivered on a propeller too small to load it properly.</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Why two blades.</w:t>
      </w:r>
      <w:r>
        <w:t xml:space="preserve"> Three blades buy thrust per unit diameter; two buy efficiency. A 2-blade propeller runs at a higher figure of merit (about 0.60 against 0.55) and weighs 2 g less each. It gives up roughly 12% of peak thrust — affordable at a thrust-to-weight ratio above 3:1 — and returns about 10% in hover efficiency, which on a long-range platform is the trade worth making. Fit 3-blade propellers instead if you want wind authority and punch over range; the consequences are in section 8.3.</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r>
        <w:t>This remains the one number in the specification where a modelled value is actively risky rather than merely approximate, because a notch in the wrong place is worse than no notch — it adds phase lag in the control band while attenuating nothing. Section 4.3 records bidirectional DShot as the change that would remove the guesswork entirely, by letting the notch track measured RPM.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