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4.1 — the bench procedure gains an order list for starting from nothing</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The other three motor pins are </w:t>
      </w:r>
      <w:r>
        <w:rPr>
          <w:b/>
        </w:rPr>
        <w:t>GPIO 5, 6 and 15</w:t>
      </w:r>
      <w:r>
        <w:t xml:space="preserve"> if you want all four at once.</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sz w:val="18"/>
              </w:rPr>
              <w:t xml:space="preserve">Must break out </w:t>
            </w:r>
            <w:r>
              <w:rPr>
                <w:b/>
                <w:sz w:val="18"/>
              </w:rPr>
              <w:t>GPIO 4, 5, 6 and 15</w:t>
            </w:r>
            <w:r>
              <w:rPr>
                <w:sz w:val="18"/>
              </w:rPr>
              <w:t xml:space="preserve"> on headers. Check the pinout before ordering — P4 boards differ, and some route those pins to on-board peripherals</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[23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