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3.2 — the 1000 Hz loop costed, and a scheduling dependency nobody had declared</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 </w:t>
      </w:r>
      <w:r>
        <w:rPr>
          <w:b/>
        </w:rPr>
        <w:t>That split is the enabling change, and it is worth doing on its own merits even at 500 Hz.</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It gives shaft frequency directly instead of</w:t>
      </w:r>
    </w:p>
    <w:p>
      <w:r>
        <w:t xml:space="preserve">inferring it from the noise, which makes the fundamental </w:t>
      </w:r>
      <w:r>
        <w:rPr>
          <w:i/>
        </w:rPr>
        <w:t>and</w:t>
      </w:r>
      <w:r>
        <w:t xml:space="preserve"> its harmonics known rather than searched for — and it raises actuator bandwidth, which is the thing a 1000 Hz loop cannot give you on its own.</w:t>
      </w:r>
    </w:p>
    <w:p>
      <w:pPr>
        <w:pStyle w:val="ListNumber"/>
      </w:pPr>
      <w:r>
        <w:rPr>
          <w:b/>
        </w:rPr>
        <w:t>Split the IMU read</w:t>
      </w:r>
      <w:r>
        <w:t xml:space="preserve"> — gyro at loop rate, accel at 250 Hz. Worth doing at 500 Hz,</w:t>
      </w:r>
    </w:p>
    <w:p>
      <w:r>
        <w:t>and it is the precondition for 1000 Hz.</w:t>
      </w:r>
    </w:p>
    <w:p>
      <w:pPr>
        <w:pStyle w:val="ListNumber"/>
      </w:pPr>
      <w:r>
        <w:rPr>
          <w:b/>
        </w:rPr>
        <w:t>Then reconsider 1000 Hz</w:t>
      </w:r>
      <w:r>
        <w:t>, at which point the actuator can use it and the bus can</w:t>
      </w:r>
    </w:p>
    <w:p>
      <w:r>
        <w:t>afford it.</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