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4.3 — a real price for the P4 board, and the mass question it exposes</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Build with DShot enabled and read what it says at boot:</w:t>
      </w:r>
    </w:p>
    <w:p>
      <w:pPr>
        <w:pStyle w:val="OdysseyCode"/>
        <w:shd w:val="clear" w:color="auto" w:fill="F2F2F2"/>
      </w:pPr>
      <w:r>
        <w:rPr>
          <w:rFonts w:ascii="Consolas" w:hAnsi="Consolas"/>
          <w:sz w:val="15"/>
        </w:rPr>
        <w:t>pio run -e odyssey-fc -t upload -- -DDSHOT_ENABLE=1</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The other three motor pins are </w:t>
      </w:r>
      <w:r>
        <w:rPr>
          <w:b/>
        </w:rPr>
        <w:t>GPIO 5, 6 and 15</w:t>
      </w:r>
      <w:r>
        <w:t xml:space="preserve"> if you want all four at once.</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a toolchain with ESP32-P4 support — PlatformIO, or ESP-IDF 5.x directly. </w:t>
      </w:r>
      <w:r>
        <w:rPr>
          <w:rFonts w:ascii="Consolas" w:hAnsi="Consolas"/>
          <w:sz w:val="19"/>
        </w:rPr>
        <w:t>dshot_rmt.cpp</w:t>
      </w:r>
      <w:r>
        <w:t xml:space="preserve"> is written against the IDF 5 RMT API.</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[24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