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B838" w14:textId="77777777" w:rsidR="00F66323" w:rsidRDefault="00000000">
      <w:pPr>
        <w:pStyle w:val="EssayTitle"/>
      </w:pPr>
      <w:r>
        <w:t>THE PERFORMANCE GAP</w:t>
      </w:r>
    </w:p>
    <w:p w14:paraId="61B144DD" w14:textId="77777777" w:rsidR="00F66323" w:rsidRDefault="00000000">
      <w:pPr>
        <w:pStyle w:val="EssaySubtitle"/>
      </w:pPr>
      <w:r>
        <w:t>What the Institutions Are Measuring, What They Are Missing, and What It May Cost the Generations that Follow</w:t>
      </w:r>
    </w:p>
    <w:p w14:paraId="68ABAA2D" w14:textId="77777777" w:rsidR="00F66323" w:rsidRDefault="00000000">
      <w:pPr>
        <w:pStyle w:val="EssayByline"/>
      </w:pPr>
      <w:r>
        <w:t>by Kenneth Granberry</w:t>
      </w:r>
    </w:p>
    <w:p w14:paraId="1CAC5CA9" w14:textId="77777777" w:rsidR="00F66323" w:rsidRDefault="00000000">
      <w:pPr>
        <w:spacing w:before="120" w:after="240"/>
        <w:jc w:val="center"/>
      </w:pPr>
      <w:r>
        <w:t>———</w:t>
      </w:r>
    </w:p>
    <w:p w14:paraId="1B6B90D8" w14:textId="77777777" w:rsidR="00F66323" w:rsidRDefault="00000000">
      <w:pPr>
        <w:spacing w:after="200" w:line="276" w:lineRule="auto"/>
        <w:jc w:val="both"/>
      </w:pPr>
      <w:r>
        <w:t>The data is in, and the picture it produces is not ambiguous. Artificial intelligence is delivering productivity gains of 14 percent in customer support, 26 percent in software development, and up to 72 percent in marketing teams on targeted tasks, according to Stanford University’s 2026 AI Index — the most comprehensive annual measurement of where the technology actually stands. Among knowledge workers, the gains are real, documented, and large enough to reshape industries. Among entry-level workers in AI-exposed fields, employment among software developers aged 22 to 25 has dropped nearly 20 percent since 2024, even as headcount for older developers continues to grow. The tool is not distributing its benefits evenly. The performance gap between those who use AI well and those who do not is widening with every quarter, and the institutions charged with addressing this fact are mobilizing enormous resources in response.</w:t>
      </w:r>
    </w:p>
    <w:p w14:paraId="08A072F5" w14:textId="77777777" w:rsidR="00F66323" w:rsidRDefault="00000000">
      <w:pPr>
        <w:spacing w:after="200" w:line="276" w:lineRule="auto"/>
        <w:jc w:val="both"/>
      </w:pPr>
      <w:r>
        <w:t>The problem is that they have identified the right outcomes and mislocated the cause. The cause is formation.</w:t>
      </w:r>
    </w:p>
    <w:p w14:paraId="0E66D53B" w14:textId="77777777" w:rsidR="00F66323" w:rsidRDefault="00000000">
      <w:pPr>
        <w:spacing w:after="200" w:line="276" w:lineRule="auto"/>
        <w:jc w:val="both"/>
      </w:pPr>
      <w:r>
        <w:t>Formation is the developed capacity to think precisely in a domain — to engage its foundational contributors, construct and evaluate arguments on its terms, trace claims to their origins, and bring disciplined judgment to what one receives. It is not a credential. It is not familiarity with a canon. It is a cultivated capacity, and every degree of cultivation changes what is possible.</w:t>
      </w:r>
    </w:p>
    <w:p w14:paraId="1A0F0311" w14:textId="77777777" w:rsidR="00F66323" w:rsidRDefault="00000000">
      <w:pPr>
        <w:spacing w:after="200" w:line="276" w:lineRule="auto"/>
        <w:jc w:val="both"/>
      </w:pPr>
      <w:r>
        <w:t>The three interventions currently being assembled at scale — expand access, build AI literacy, audit models for bias — share a common premise: that the gap is primarily a resource distribution problem. Give more people the tools, rebalance the training data, teach better prompting habits, and the gap narrows. The United Nations Development Programme, the World Economic Forum, the European Union, and the major research universities are all operating within this framework. It is not wrong. It is incomplete in a way that makes the proposed solutions inadequate to the actual problem, and the inadequacy will not become visible in the data until after the generation currently in schools has already passed through systems that could not provide what they needed.</w:t>
      </w:r>
    </w:p>
    <w:p w14:paraId="4CF5535B" w14:textId="77777777" w:rsidR="00F66323" w:rsidRDefault="00000000">
      <w:pPr>
        <w:spacing w:after="200" w:line="276" w:lineRule="auto"/>
        <w:jc w:val="both"/>
      </w:pPr>
      <w:r>
        <w:t xml:space="preserve">The first thing to understand about a large language model is the one thing that almost nothing in the institutional discourse adequately names: it does not reason from verified </w:t>
      </w:r>
      <w:r>
        <w:lastRenderedPageBreak/>
        <w:t>premises. It predicts from patterns. This is not a criticism. It is a description, and everything that follows depends on it being understood precisely.</w:t>
      </w:r>
    </w:p>
    <w:p w14:paraId="7A8B9C07" w14:textId="77777777" w:rsidR="00F66323" w:rsidRDefault="00000000">
      <w:pPr>
        <w:spacing w:after="200" w:line="276" w:lineRule="auto"/>
        <w:jc w:val="both"/>
      </w:pPr>
      <w:r>
        <w:t>A large language model is trained on the full written record of human civilization — its scholarship, its jurisprudence, its literature — and most heavily on the three decades of content the commercial internet has produced in volume. What emerges from this training is a system that predicts, with extraordinary capability, what is most likely to come next given what has come before. Where the statistically probable and the actually true coincide — and they do, across an enormous range of questions — the assistance is genuine and the gain is real. Where they diverge, the model produces the wrong answer with the same confidence it brings to the right one. The response carries no marker. The accurate and the invented arrive in the same voice, at the same pace, with the same air of authority.</w:t>
      </w:r>
    </w:p>
    <w:p w14:paraId="58EDADCE" w14:textId="77777777" w:rsidR="00F66323" w:rsidRDefault="00000000">
      <w:pPr>
        <w:spacing w:after="200" w:line="276" w:lineRule="auto"/>
        <w:jc w:val="both"/>
      </w:pPr>
      <w:r>
        <w:t>This means that the performance of a large language model on any given task is not fixed. It is not fixed in quantity. It is not fixed in quality, and it is not fixed in source. It is a function of what the user brings to the encounter. The model’s output reflects the patterns in the context it is given. It will magnify and accelerate the patterns found in that context. Its performance is therefore modulated by the degree of alignment between the task at hand and the precision of the context the user provides. The training contains the full range — from the foundational and the rigorous to the shallow and the misinformed. What the user brings to the prompt shapes which learned patterns dominate the response. Formation reaches toward the depths. Its absence stays at the surface.</w:t>
      </w:r>
    </w:p>
    <w:p w14:paraId="31319C04" w14:textId="77777777" w:rsidR="00F66323" w:rsidRDefault="00000000">
      <w:pPr>
        <w:spacing w:after="200" w:line="276" w:lineRule="auto"/>
        <w:jc w:val="both"/>
      </w:pPr>
      <w:r>
        <w:t>The implications of this for the group performance gap are direct and have not been adequately engaged by the current discourse.</w:t>
      </w:r>
    </w:p>
    <w:p w14:paraId="573B19AC" w14:textId="77777777" w:rsidR="00F66323" w:rsidRDefault="00000000">
      <w:pPr>
        <w:spacing w:after="200" w:line="276" w:lineRule="auto"/>
        <w:jc w:val="both"/>
      </w:pPr>
      <w:r>
        <w:t>The training corpus of a large language model is built primarily on automated harvesting of the public internet. One of the largest and most influential sources is Common Crawl, a repository that sweeps the accessible web at scale — capturing whatever the attention economy has produced in volume. What it captures systematically overrepresents the commercially optimized, the algorithmically distributed, and the popular, and systematically underrepresents the careful, the classical, and the foundational. The model does not improve on its source. It distills it — which means it distills three decades of content shaped by engagement rather than truth.</w:t>
      </w:r>
    </w:p>
    <w:p w14:paraId="1154BB9F" w14:textId="77777777" w:rsidR="00F66323" w:rsidRDefault="00000000">
      <w:pPr>
        <w:spacing w:after="200" w:line="276" w:lineRule="auto"/>
        <w:jc w:val="both"/>
      </w:pPr>
      <w:r>
        <w:t xml:space="preserve">This matters for the group performance gap in a way the prevailing institutional response has not named. Aristotle is in the corpus. Darwin is there. Tocqueville and Adam Smith and the great tradition of careful empirical reasoning are there. But presence is not weight. The great thinkers are in the corpus the way a single voice is in a crowd — there, but not heard above it. The model has no preference for the rigorous over the repeated. It returns the distribution it was given — and what the web has repeated most is not what the tradition has judged most true. The user who arrives knowing how to call on the great </w:t>
      </w:r>
      <w:r>
        <w:lastRenderedPageBreak/>
        <w:t>and deep thinkers in whatever domain they inhabit — who can name them, who understands their arguments well enough to put them in precise relationship to the question being asked — draws on depths the model contains but cannot surface on its own.</w:t>
      </w:r>
    </w:p>
    <w:p w14:paraId="7AAE77F5" w14:textId="77777777" w:rsidR="00F66323" w:rsidRDefault="00000000">
      <w:pPr>
        <w:spacing w:after="200" w:line="276" w:lineRule="auto"/>
        <w:jc w:val="both"/>
      </w:pPr>
      <w:r>
        <w:t>This produces a structural asymmetry that the access and literacy framings cannot address. The user who arrives at the tool with a formed mind — who knows the traditions, can name them, commands a vocabulary of precision, and understands what constitutes a sound argument — brings inputs that align with the model’s strongest patterns and draws on the depths of the distillation the model represents. The user who arrives without formation receives the web’s consensus, dressed as expertise. The two are not the same. Nothing in the response marks the difference. The gap between these two users is not a gap in tool access. It is a gap in what each brings to the encounter, and the tool amplifies it.</w:t>
      </w:r>
    </w:p>
    <w:p w14:paraId="123CF0DC" w14:textId="77777777" w:rsidR="00F66323" w:rsidRDefault="00000000">
      <w:pPr>
        <w:spacing w:after="200" w:line="276" w:lineRule="auto"/>
        <w:jc w:val="both"/>
      </w:pPr>
      <w:r>
        <w:t>The access-and-equity objection deserves to be met more directly still. AI has made the appearance of depth available to everyone — a first-generation college student can now summon a research assistant that no previous generation had access to, and that democratizing effect is real. Formation is what determines whether the appearance is the substance. Without it, the depths the model contains remain unreachable. The gap being widened is not between those who have the tool and those who do not. It is between those who possess the formation the tool requires and those who do not.</w:t>
      </w:r>
    </w:p>
    <w:p w14:paraId="46F0EF54" w14:textId="77777777" w:rsidR="00F66323" w:rsidRDefault="00000000">
      <w:pPr>
        <w:spacing w:after="200" w:line="276" w:lineRule="auto"/>
        <w:jc w:val="both"/>
      </w:pPr>
      <w:r>
        <w:t>The Stanford research on ontological bias, presented in 2025, reached toward this mechanism from the model side, and its findings are worth examining carefully. When a researcher asked a large language model to generate an image of a tree, the model returned a trunk with branches and no roots — a depiction reflecting a particular and narrow framework for what a tree is. When the researcher added the context “I’m from Iran,” the outputs shifted. The model’s behavior changed in response to the contextual frame the user provided. The research team warned that the current trajectory of AI development risks codifying dominant ontological assumptions as universal truths, potentially constraining human imagination for generations to come.</w:t>
      </w:r>
    </w:p>
    <w:p w14:paraId="241A4754" w14:textId="77777777" w:rsidR="00F66323" w:rsidRDefault="00000000">
      <w:pPr>
        <w:spacing w:after="200" w:line="276" w:lineRule="auto"/>
        <w:jc w:val="both"/>
      </w:pPr>
      <w:r>
        <w:t>That finding confirms something the standard access-and-equity framework has not yet assembled into a full account: what the model produces is responsive to the precision and character of the context it receives. The formed user receives outputs shaped by the alignment they supplied. The unformed user receives the default. The gap between those two outputs is not a bias to be corrected in the model. It is a consequence of what was and was not brought to the encounter.</w:t>
      </w:r>
    </w:p>
    <w:p w14:paraId="1F2F24E1" w14:textId="77777777" w:rsidR="00F66323" w:rsidRDefault="00000000">
      <w:pPr>
        <w:spacing w:after="200" w:line="276" w:lineRule="auto"/>
        <w:jc w:val="both"/>
      </w:pPr>
      <w:r>
        <w:t xml:space="preserve">The medical literature has documented a version of this problem in clinical terms. A recent narrative review of AI performance in medicine identified what it called a “performance paradox” — AI sometimes surpasses human experts in controlled settings </w:t>
      </w:r>
      <w:r>
        <w:lastRenderedPageBreak/>
        <w:t>yet underperforms in broader analyses — and found this inconsistency strongly linked to prompt quality. The study found a significant gap between the optimal prompts formulated by experts and the natural queries of the general public, and it named this gap a matter of safety and health equity. That is the right observation. But the proposed remedy — better prompting instruction — addresses the surface without touching the root. Prompting is an expression of formation, not a substitute for it. A person cannot write a precise prompt about a subject they have not learned to think about precisely. The prompt is downstream of the mind that generates it.</w:t>
      </w:r>
    </w:p>
    <w:p w14:paraId="6EA68A87" w14:textId="77777777" w:rsidR="00F66323" w:rsidRDefault="00000000">
      <w:pPr>
        <w:spacing w:after="200" w:line="276" w:lineRule="auto"/>
        <w:jc w:val="both"/>
      </w:pPr>
      <w:r>
        <w:t>Formation governs not only what is asked but what is done with the answer. The formed mind reads what returns with the same critical apparatus it brought to the question — evaluating the claim, tracing it to its source, testing it against what is already known, identifying where the confidence of the response exceeds the evidence behind it. The unformed mind receives a response that sounds authoritative and has no instrument with which to interrogate it. Better prompting instruction can narrow the first gap. It cannot close the second. The sophistication of the response is no guarantee of its reliability, and the capacity to recognize that fact is not a technical skill taught in a workshop. It is the product of the formation the current discourse is not proposing to restore — the difference, finally, between using the tool and being used by it.</w:t>
      </w:r>
    </w:p>
    <w:p w14:paraId="061D3F21" w14:textId="77777777" w:rsidR="00F66323" w:rsidRDefault="00000000">
      <w:pPr>
        <w:spacing w:after="200" w:line="276" w:lineRule="auto"/>
        <w:jc w:val="both"/>
      </w:pPr>
      <w:r>
        <w:t>What compounds this into a civilizational problem rather than a manageable skills gap is the recursive nature of the system. A small misalignment between what a user brings and the patterns the model was trained on is not corrected over the course of a conversation. It accumulates. The response in the first exchange, built on a slightly imprecise frame, becomes part of the context for the second. By the tenth exchange, the accumulated drift is structural. The model, asked to confirm what it has already produced, tends to do so — not because it is designed to deceive, but because its subsequent outputs are built on the prior outputs that now compose the context. The user walks away feeling more comprehensively informed, more settled in their positions, more confident in conclusions that have been shaped by what they failed to bring, not by what they asked for.</w:t>
      </w:r>
    </w:p>
    <w:p w14:paraId="2B0B7FA0" w14:textId="77777777" w:rsidR="00F66323" w:rsidRDefault="00000000">
      <w:pPr>
        <w:spacing w:after="200" w:line="276" w:lineRule="auto"/>
        <w:jc w:val="both"/>
      </w:pPr>
      <w:r>
        <w:t>This mechanism is already showing up in aggregate data. A study published in the Proceedings of the National Academy of Sciences found that large language models demonstrate a preference for AI-generated content over human-created content by up to 78 percent for academic papers — a finding that suggests the loop, left unchecked, will compound rather than correct itself. A civilization is training its most capable cognitive tools on the outputs of those same tools, and those outputs are themselves shaped by the quality and precision of the inputs that generated them. Whatever misalignment exists at the individual level enters the training corpus. Over iterations, it becomes harder to see and more authoritative in its delivery.</w:t>
      </w:r>
    </w:p>
    <w:p w14:paraId="732BDE29" w14:textId="77777777" w:rsidR="00F66323" w:rsidRDefault="00000000">
      <w:pPr>
        <w:spacing w:after="200" w:line="276" w:lineRule="auto"/>
        <w:jc w:val="both"/>
      </w:pPr>
      <w:r>
        <w:lastRenderedPageBreak/>
        <w:t>The interventions being built to address the performance gap were designed for a smaller problem.</w:t>
      </w:r>
    </w:p>
    <w:p w14:paraId="74F6BE35" w14:textId="77777777" w:rsidR="00F66323" w:rsidRDefault="00000000">
      <w:pPr>
        <w:spacing w:after="200" w:line="276" w:lineRule="auto"/>
        <w:jc w:val="both"/>
      </w:pPr>
      <w:r>
        <w:t>The institutional interventions currently being built are not calibrated to this problem. Access programs address resource distribution. Bias auditing surfaces important structural problems in training data and output patterns. AI literacy initiatives teach tool usage. None of them address what the research literature is beginning to confirm is the primary determinant of AI performance at the individual level: the quality of formation the user brings to the encounter. The World Economic Forum reports that 59 out of every 100 workers worldwide will need training by 2030, and that 63 percent of employers identify skill gaps as the main barrier to business transformation. But the skills being described — prompt engineering, AI fluency, technical literacy — are downstream of the capacity for precise thought that makes those skills possible to develop and use.</w:t>
      </w:r>
    </w:p>
    <w:p w14:paraId="38EBE613" w14:textId="77777777" w:rsidR="00F66323" w:rsidRDefault="00000000">
      <w:pPr>
        <w:spacing w:after="200" w:line="276" w:lineRule="auto"/>
        <w:jc w:val="both"/>
      </w:pPr>
      <w:r>
        <w:t>The disciplines that produce that capacity are not new, and they are not currently in fashion. The ability to tell a sound argument from a fallacy. The ability to engage primary sources — knowing the foundational contributors of a domain well enough to ask them real questions. The practice of tracing a claim back to where it came from and forward through what it produced. The ability to read language for what it illuminates and what it obscures. None of these are subjects to be delivered. They are practices to be developed — and what they develop is a specific kind of person: the Sovereign Generalist — the person whose formation has produced judgment precise enough to evaluate any claim on its own terms: to trace it to its source, test it against the tradition, and distinguish the rigorous from the merely fashionable, in whatever domain the question arises. These are the technical prerequisites for engaging with AI well — and they are among the least taught disciplines in contemporary education. The institutions now mobilizing to address the AI performance gap are not proposing to restore them.</w:t>
      </w:r>
    </w:p>
    <w:p w14:paraId="4CE63341" w14:textId="77777777" w:rsidR="00F66323" w:rsidRDefault="00000000">
      <w:pPr>
        <w:spacing w:after="200" w:line="276" w:lineRule="auto"/>
        <w:jc w:val="both"/>
      </w:pPr>
      <w:r>
        <w:t>This matters because the performance gap the data is documenting is not primarily a technology gap, a resource gap, or a representation gap. It is a formation gap, and it compounds. The formed mind brings context that aligns with the model’s strongest patterns and draws from the depths of what has been distilled. Each use extends reach, sharpens formulation, surfaces the gap between what was asked and what was meant. The unformed mind receives the statistical mean of a corpus it cannot evaluate, returned with authority it cannot question, building on itself toward conclusions no one has examined. The model’s apparent comprehensiveness conceals its epistemic shallowness from the user who does not know what is missing — and nothing in what it returns tells them what the encounter failed to reach. The two trajectories widen with every encounter, using the same tool, across populations that share every external marker the prevailing conversation uses to explain the divergence.</w:t>
      </w:r>
    </w:p>
    <w:p w14:paraId="364921FA" w14:textId="77777777" w:rsidR="00F66323" w:rsidRDefault="00000000">
      <w:pPr>
        <w:spacing w:after="200" w:line="276" w:lineRule="auto"/>
        <w:jc w:val="both"/>
      </w:pPr>
      <w:r>
        <w:lastRenderedPageBreak/>
        <w:t>The generation currently passing through schools is the one for whom the window is most open — before the recursive loop has run long enough to make the pattern invisible and the misalignment structural. Not because the tool will become inaccessible — the Stanford Index documents that generative AI reached 53 percent of the global population within three years of mass-market launch, faster than the personal computer or the internet. The tool is everywhere. What is not everywhere is the formation that allows it to be used for something greater than the amplification of whatever the user already is.</w:t>
      </w:r>
    </w:p>
    <w:p w14:paraId="2EA933BC" w14:textId="77777777" w:rsidR="00F66323" w:rsidRDefault="00000000">
      <w:pPr>
        <w:spacing w:after="200" w:line="276" w:lineRule="auto"/>
        <w:jc w:val="both"/>
      </w:pPr>
      <w:r>
        <w:t>Four out of five US high school and college students now use AI for schoolwork. Only half of middle and high schools have AI policies in place, and just 6 percent of teachers report that those policies are clearly defined. The policy and institutional energy being directed at those numbers — at the governance and access questions — is real and significant. But governing access to a tool whose performance is determined by what the user brings to it does not address the question that governs the outcome. The student who uses AI with no formation is not more capable than the student who did not have AI. They are more dependent, and more vulnerable to what it returns.</w:t>
      </w:r>
    </w:p>
    <w:p w14:paraId="2C328AD1" w14:textId="77777777" w:rsidR="00F66323" w:rsidRDefault="00000000">
      <w:pPr>
        <w:spacing w:after="200" w:line="276" w:lineRule="auto"/>
        <w:jc w:val="both"/>
      </w:pPr>
      <w:r>
        <w:t>AI does not merely reward access to information. It rewards the capacity to structure, interrogate, and judge information. Therefore, the widening performance gap is fundamentally a formation gap, even when it is also shaped by access, expertise, incentives, and class. This is the argument the current discourse is not yet making: formation is not an aesthetic preference for classical education or a nostalgic project of cultural recovery. It is a technical requirement for using these systems well. The research points toward it. The productivity data makes the pattern difficult to ignore — the Stanford Index finds that for tasks requiring judgment, the effects of AI are weaker or inconsistent, which is a precise way of saying that what distinguishes the high-performing user from the low-performing user is the capacity for judgment that no amount of tool access can supply. The institutions building the frameworks within which the next generation encounters these tools have the data. They are not drawing the right conclusion from it.</w:t>
      </w:r>
    </w:p>
    <w:p w14:paraId="2A042D66" w14:textId="77777777" w:rsidR="00F66323" w:rsidRDefault="00000000">
      <w:pPr>
        <w:spacing w:after="200" w:line="276" w:lineRule="auto"/>
        <w:jc w:val="both"/>
      </w:pPr>
      <w:r>
        <w:t>The performance gap the data documents is not closing. The recursive training loop ensures that the patterns already present will become more entrenched with each generation of models, not less. The intervention that could change the trajectory is not more regulation, not better bias auditing, and not prompting instruction divorced from the formation that makes it possible. It is the recovery of the disciplines that produce minds capable of judgment — capable of bringing to the encounter something the model cannot generate on its own, cannot simulate, and cannot supply to the person who arrives without it.</w:t>
      </w:r>
    </w:p>
    <w:p w14:paraId="7D4E61BE" w14:textId="77777777" w:rsidR="00F66323" w:rsidRDefault="00000000">
      <w:pPr>
        <w:spacing w:after="200" w:line="276" w:lineRule="auto"/>
        <w:jc w:val="both"/>
      </w:pPr>
      <w:r>
        <w:lastRenderedPageBreak/>
        <w:t>What the tool returns begins with what is brought to it. The Sovereign Generalist — that formed mind — brings something the tool cannot supply and cannot simulate, and in doing so makes the tool capable of work it could not have produced alone.</w:t>
      </w:r>
    </w:p>
    <w:p w14:paraId="43089F00" w14:textId="77777777" w:rsidR="00F66323" w:rsidRDefault="00000000">
      <w:pPr>
        <w:spacing w:after="200" w:line="276" w:lineRule="auto"/>
        <w:jc w:val="both"/>
      </w:pPr>
      <w:r>
        <w:t>The generation now under formation deserves to stand on the shoulders of the giants who came before them. The great and deep thinkers are there — in every domain humanity has taken seriously — waiting to be called on by minds formed well enough to reach them.  What those minds could build, in this moment, with these tools, is not a small thing. A golden age of reason and judgment, of hard questions pursued with precision and wisdom, of problems that have resisted every previous generation now finally being met with the tools and the formation to answer them — this is not a fantasy. It is what becomes possible when formation meets capability.  Of faith and hope and the examined life — of the ancient wisdom that the deepest questions are worth asking, and that the answers matter — there is more within reach than any previous generation has had the instruments to pursue.  And of beauty and truth and the irreplaceable dignity of the singular human life — these too are what formed minds, standing on the shoulders of the ages, can reach toward, and bring forward.  That is what formation is for. That is what this generation deserves.</w:t>
      </w:r>
    </w:p>
    <w:p w14:paraId="3CC888E9" w14:textId="77777777" w:rsidR="00F66323" w:rsidRDefault="00000000">
      <w:pPr>
        <w:spacing w:before="120" w:after="240"/>
        <w:jc w:val="center"/>
      </w:pPr>
      <w:r>
        <w:t>———</w:t>
      </w:r>
    </w:p>
    <w:p w14:paraId="7439182D" w14:textId="77777777" w:rsidR="00F66323" w:rsidRDefault="00000000">
      <w:pPr>
        <w:spacing w:before="200"/>
      </w:pPr>
      <w:r>
        <w:rPr>
          <w:color w:val="444444"/>
          <w:sz w:val="22"/>
          <w:szCs w:val="22"/>
        </w:rPr>
        <w:t xml:space="preserve">Kenneth Granberry is the author of </w:t>
      </w:r>
      <w:r>
        <w:rPr>
          <w:i/>
          <w:iCs/>
          <w:color w:val="444444"/>
          <w:sz w:val="22"/>
          <w:szCs w:val="22"/>
        </w:rPr>
        <w:t>The Mirrored Mind: A Modern Prophecy and The Road to Redemption</w:t>
      </w:r>
      <w:r>
        <w:rPr>
          <w:color w:val="444444"/>
          <w:sz w:val="22"/>
          <w:szCs w:val="22"/>
        </w:rPr>
        <w:t>, a book-length examination of artificial intelligence, formation, and the civilizational stakes of the examined life, forthcoming.</w:t>
      </w:r>
    </w:p>
    <w:sectPr w:rsidR="00F663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857"/>
    <w:multiLevelType w:val="hybridMultilevel"/>
    <w:tmpl w:val="80E6954E"/>
    <w:lvl w:ilvl="0" w:tplc="4358F57A">
      <w:start w:val="1"/>
      <w:numFmt w:val="bullet"/>
      <w:lvlText w:val="●"/>
      <w:lvlJc w:val="left"/>
      <w:pPr>
        <w:ind w:left="720" w:hanging="360"/>
      </w:pPr>
    </w:lvl>
    <w:lvl w:ilvl="1" w:tplc="E222EB54">
      <w:start w:val="1"/>
      <w:numFmt w:val="bullet"/>
      <w:lvlText w:val="○"/>
      <w:lvlJc w:val="left"/>
      <w:pPr>
        <w:ind w:left="1440" w:hanging="360"/>
      </w:pPr>
    </w:lvl>
    <w:lvl w:ilvl="2" w:tplc="92A2E0DE">
      <w:start w:val="1"/>
      <w:numFmt w:val="bullet"/>
      <w:lvlText w:val="■"/>
      <w:lvlJc w:val="left"/>
      <w:pPr>
        <w:ind w:left="2160" w:hanging="360"/>
      </w:pPr>
    </w:lvl>
    <w:lvl w:ilvl="3" w:tplc="69EA9EE8">
      <w:start w:val="1"/>
      <w:numFmt w:val="bullet"/>
      <w:lvlText w:val="●"/>
      <w:lvlJc w:val="left"/>
      <w:pPr>
        <w:ind w:left="2880" w:hanging="360"/>
      </w:pPr>
    </w:lvl>
    <w:lvl w:ilvl="4" w:tplc="ABA2E88C">
      <w:start w:val="1"/>
      <w:numFmt w:val="bullet"/>
      <w:lvlText w:val="○"/>
      <w:lvlJc w:val="left"/>
      <w:pPr>
        <w:ind w:left="3600" w:hanging="360"/>
      </w:pPr>
    </w:lvl>
    <w:lvl w:ilvl="5" w:tplc="D728A2EC">
      <w:start w:val="1"/>
      <w:numFmt w:val="bullet"/>
      <w:lvlText w:val="■"/>
      <w:lvlJc w:val="left"/>
      <w:pPr>
        <w:ind w:left="4320" w:hanging="360"/>
      </w:pPr>
    </w:lvl>
    <w:lvl w:ilvl="6" w:tplc="D0B09D32">
      <w:start w:val="1"/>
      <w:numFmt w:val="bullet"/>
      <w:lvlText w:val="●"/>
      <w:lvlJc w:val="left"/>
      <w:pPr>
        <w:ind w:left="5040" w:hanging="360"/>
      </w:pPr>
    </w:lvl>
    <w:lvl w:ilvl="7" w:tplc="29B68144">
      <w:start w:val="1"/>
      <w:numFmt w:val="bullet"/>
      <w:lvlText w:val="●"/>
      <w:lvlJc w:val="left"/>
      <w:pPr>
        <w:ind w:left="5760" w:hanging="360"/>
      </w:pPr>
    </w:lvl>
    <w:lvl w:ilvl="8" w:tplc="71E62772">
      <w:start w:val="1"/>
      <w:numFmt w:val="bullet"/>
      <w:lvlText w:val="●"/>
      <w:lvlJc w:val="left"/>
      <w:pPr>
        <w:ind w:left="6480" w:hanging="360"/>
      </w:pPr>
    </w:lvl>
  </w:abstractNum>
  <w:num w:numId="1" w16cid:durableId="1608150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323"/>
    <w:rsid w:val="004672B9"/>
    <w:rsid w:val="008539CC"/>
    <w:rsid w:val="00A953D8"/>
    <w:rsid w:val="00E42FA3"/>
    <w:rsid w:val="00F66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69F0D3"/>
  <w15:docId w15:val="{6E2CD576-C6DA-8D4D-BD95-B5890F5C9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ssayTitle">
    <w:name w:val="EssayTitle"/>
    <w:pPr>
      <w:spacing w:after="160"/>
    </w:pPr>
    <w:rPr>
      <w:b/>
      <w:bCs/>
      <w:color w:val="1A1A1A"/>
      <w:sz w:val="36"/>
      <w:szCs w:val="36"/>
    </w:rPr>
  </w:style>
  <w:style w:type="paragraph" w:customStyle="1" w:styleId="EssaySubtitle">
    <w:name w:val="EssaySubtitle"/>
    <w:pPr>
      <w:spacing w:after="200"/>
    </w:pPr>
    <w:rPr>
      <w:i/>
      <w:iCs/>
      <w:color w:val="444444"/>
    </w:rPr>
  </w:style>
  <w:style w:type="paragraph" w:customStyle="1" w:styleId="EssayByline">
    <w:name w:val="EssayByline"/>
    <w:pPr>
      <w:spacing w:after="480"/>
    </w:pPr>
    <w:rPr>
      <w:color w:val="4444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3135</Words>
  <Characters>16241</Characters>
  <Application>Microsoft Office Word</Application>
  <DocSecurity>0</DocSecurity>
  <Lines>241</Lines>
  <Paragraphs>32</Paragraphs>
  <ScaleCrop>false</ScaleCrop>
  <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2026-05-30T23:50:00Z</dcterms:created>
  <dcterms:modified xsi:type="dcterms:W3CDTF">2026-05-30T23:50:00Z</dcterms:modified>
</cp:coreProperties>
</file>