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6EE1" w14:textId="77777777" w:rsidR="00D6014C" w:rsidRDefault="00000000">
      <w:pPr>
        <w:spacing w:before="480" w:after="120"/>
        <w:jc w:val="center"/>
      </w:pPr>
      <w:r>
        <w:rPr>
          <w:b/>
          <w:bCs/>
          <w:color w:val="B8963E"/>
          <w:sz w:val="44"/>
          <w:szCs w:val="44"/>
        </w:rPr>
        <w:t>The Law Written Twice</w:t>
      </w:r>
    </w:p>
    <w:p w14:paraId="22AE8422" w14:textId="77777777" w:rsidR="00D6014C" w:rsidRDefault="00000000">
      <w:pPr>
        <w:spacing w:after="240"/>
        <w:jc w:val="center"/>
      </w:pPr>
      <w:r>
        <w:rPr>
          <w:i/>
          <w:iCs/>
          <w:sz w:val="26"/>
          <w:szCs w:val="26"/>
        </w:rPr>
        <w:t>Kenneth Granberry</w:t>
      </w:r>
    </w:p>
    <w:p w14:paraId="1C0FD064" w14:textId="77777777" w:rsidR="00D6014C" w:rsidRDefault="00D6014C">
      <w:pPr>
        <w:pBdr>
          <w:bottom w:val="single" w:sz="8" w:space="1" w:color="C9A84C"/>
        </w:pBdr>
        <w:spacing w:after="360"/>
      </w:pPr>
    </w:p>
    <w:p w14:paraId="25BA3D1C" w14:textId="77777777" w:rsidR="00D6014C" w:rsidRDefault="00000000">
      <w:pPr>
        <w:spacing w:after="200" w:line="312" w:lineRule="auto"/>
        <w:jc w:val="both"/>
      </w:pPr>
      <w:r>
        <w:t>In 1739, a young Scottish philosopher recorded an observation that he suspected might "subvert all the vulgar systems of morality." David Hume had noticed something about the books of moral philosophy on his shelf. Their authors would proceed for some time in the ordinary way of reasoning — establishing the being of a God, or making observations concerning human affairs — and then, imperceptibly, the propositions would change. Where the page had read is and is not, it suddenly read ought and ought not. No author, Hume complained, ever paused to explain how the second kind of statement could be deduced from the first. From facts about the world, how does anyone derive a duty?</w:t>
      </w:r>
    </w:p>
    <w:p w14:paraId="74C71829" w14:textId="77777777" w:rsidR="00D6014C" w:rsidRDefault="00000000">
      <w:pPr>
        <w:spacing w:after="200" w:line="312" w:lineRule="auto"/>
        <w:jc w:val="both"/>
      </w:pPr>
      <w:r>
        <w:t xml:space="preserve">The observation became famous. Philosophers call it Hume's Law, or Hume's Guillotine, or simply the is–ought </w:t>
      </w:r>
      <w:proofErr w:type="gramStart"/>
      <w:r>
        <w:t>gap</w:t>
      </w:r>
      <w:proofErr w:type="gramEnd"/>
      <w:r>
        <w:t xml:space="preserve">, and for nearly three centuries it has functioned as a standing rebuke to anyone who claims that morality is grounded </w:t>
      </w:r>
      <w:proofErr w:type="gramStart"/>
      <w:r>
        <w:t>in the nature of things</w:t>
      </w:r>
      <w:proofErr w:type="gramEnd"/>
      <w:r>
        <w:t>. Describe the world as exhaustively as you please — catalogue every particle, every organism, every appetite and aversion — and you will never, from description alone, arrive at a single obligation. The gap is real. The deduction fails. On this point Hume was correct, and the centuries have not refuted him.</w:t>
      </w:r>
    </w:p>
    <w:p w14:paraId="14F6D78E" w14:textId="77777777" w:rsidR="00D6014C" w:rsidRDefault="00000000">
      <w:pPr>
        <w:spacing w:after="200" w:line="312" w:lineRule="auto"/>
        <w:jc w:val="both"/>
      </w:pPr>
      <w:r>
        <w:t xml:space="preserve">But notice what Hume was describing. He was describing a world from which the Speaker had been deleted — a world of mute facts, natures that simply are, standing there unexplained and unintended, with no voice behind them. In such a world, he is right: no ought can be squeezed from an is, any more than a command can be extracted from a stone. The question Hume never pressed is whether that is the world we </w:t>
      </w:r>
      <w:proofErr w:type="gramStart"/>
      <w:r>
        <w:t>actually inhabit</w:t>
      </w:r>
      <w:proofErr w:type="gramEnd"/>
      <w:r>
        <w:t xml:space="preserve">. His own examples betray the issue. The authors he caught making the slide were the ones who began by "establishing the being of a God." They moved from is to ought without explanation because, within their account, no additional explanation was required. If what things are is itself an utterance — if the natures of things were spoken before they were studied — then the </w:t>
      </w:r>
      <w:proofErr w:type="spellStart"/>
      <w:r>
        <w:t>is</w:t>
      </w:r>
      <w:proofErr w:type="spellEnd"/>
      <w:r>
        <w:t xml:space="preserve"> and </w:t>
      </w:r>
      <w:proofErr w:type="gramStart"/>
      <w:r>
        <w:t>the ought were never</w:t>
      </w:r>
      <w:proofErr w:type="gramEnd"/>
      <w:r>
        <w:t xml:space="preserve"> two propositions awaiting a bridge. They arrived together, in one breath, from one mouth. A spoken nature carries its obligation the way a command carries its claim on the hearer. Hume's gap is not a discovery about reality. It is an accurate description of reality with the Speaker deleted.</w:t>
      </w:r>
    </w:p>
    <w:p w14:paraId="5CB82366" w14:textId="77777777" w:rsidR="00D6014C" w:rsidRDefault="00000000">
      <w:pPr>
        <w:spacing w:after="200" w:line="312" w:lineRule="auto"/>
        <w:jc w:val="both"/>
      </w:pPr>
      <w:r>
        <w:lastRenderedPageBreak/>
        <w:t xml:space="preserve">Consider the alternative picture in its oldest form — and let me be plain about what I am doing, because the honesty is part of the argument. What follows is not a quotation of Genesis but a compression of it: the grammar of the creation account, and of the commandment Sinai would later carve, distilled into the single scene they together imply. Before any law was chiseled, a law was spoken. The opening of Scripture is not a treatise that first describes human nature and then, in a later chapter, appends rules to it. It is a scene of address. Hear it as one speech. God speaks to the man and tells him what the woman is — bearer of mystery and of great creative power, carrier of the seeds of his future. God speaks to the woman and tells her the same of the man, in mirrored words, an identical inventory. And then the speech </w:t>
      </w:r>
      <w:proofErr w:type="gramStart"/>
      <w:r>
        <w:t>turns forward,</w:t>
      </w:r>
      <w:proofErr w:type="gramEnd"/>
      <w:r>
        <w:t xml:space="preserve"> to the child not yet born, with the charge the tablets would one day fix fifth among ten: honor your father and your mother. Three addresses, one voice. And within them, no seam — no point at which description ends and obligation begins. What the man and woman are and what they owe arrive in the same sentence. The man does not get to define the woman, nor the woman the man; each receives the meaning of the other from above, as declaration rather than negotiation. The famous gap between fact and duty simply has no place to open, because in this scene there is no unspoken fact anywhere in view. </w:t>
      </w:r>
      <w:proofErr w:type="gramStart"/>
      <w:r>
        <w:t>The ought was never</w:t>
      </w:r>
      <w:proofErr w:type="gramEnd"/>
      <w:r>
        <w:t xml:space="preserve"> bolted onto the is. Both were spoken together, and the speaking made them one.</w:t>
      </w:r>
    </w:p>
    <w:p w14:paraId="1F32DE77" w14:textId="77777777" w:rsidR="00D6014C" w:rsidRDefault="00000000">
      <w:pPr>
        <w:spacing w:after="200" w:line="312" w:lineRule="auto"/>
        <w:jc w:val="both"/>
      </w:pPr>
      <w:r>
        <w:t xml:space="preserve">This is not a poetic evasion of Hume's challenge. It is the answer to it. Hume demanded that the connection between is and ought "should be observed and explained." Here is the explanation, and it has been on the first page of the book all along: the connection is the speech itself. The only question is whether the speech occurred. The fork is exact, and it should be stated without softening. Two parties walk away from Hume unharmed: the believer, for whom </w:t>
      </w:r>
      <w:proofErr w:type="spellStart"/>
      <w:proofErr w:type="gramStart"/>
      <w:r>
        <w:t>the</w:t>
      </w:r>
      <w:proofErr w:type="spellEnd"/>
      <w:r>
        <w:t xml:space="preserve"> ought was</w:t>
      </w:r>
      <w:proofErr w:type="gramEnd"/>
      <w:r>
        <w:t xml:space="preserve"> spoken into the is, and the honest nihilist, who accepts the mute world and the moral void together, and at least pays for his universe in full. The blade falls on exactly one neck — the man in the middle, who keeps the obligations of a spoken world while insisting that no one ever spoke. If the speech occurred, the guillotine never had a neck to cut. If it did not, then every morality built on "the nature of things" is decapitated with it, including the secular moralities that invoke human dignity and human rights while denying that anyone ever conferred them.</w:t>
      </w:r>
    </w:p>
    <w:p w14:paraId="7D8D4FF9" w14:textId="77777777" w:rsidR="00D6014C" w:rsidRDefault="00000000">
      <w:pPr>
        <w:spacing w:before="240" w:after="240"/>
        <w:jc w:val="center"/>
      </w:pPr>
      <w:r>
        <w:rPr>
          <w:color w:val="B8963E"/>
          <w:sz w:val="22"/>
          <w:szCs w:val="22"/>
        </w:rPr>
        <w:t>❖</w:t>
      </w:r>
    </w:p>
    <w:p w14:paraId="3141EE02" w14:textId="77777777" w:rsidR="00D6014C" w:rsidRDefault="00000000">
      <w:pPr>
        <w:spacing w:after="200" w:line="312" w:lineRule="auto"/>
        <w:jc w:val="both"/>
      </w:pPr>
      <w:r>
        <w:t>It will be objected that I have smuggled in theology to solve a philosophical problem. The objection has it backwards. The theology was there first; the problem was manufactured by removing it. And the removal proceeded by way of a distinction that deserves closer scrutiny than it usually receives — the distinction between natural law and divine law.</w:t>
      </w:r>
    </w:p>
    <w:p w14:paraId="49548171" w14:textId="77777777" w:rsidR="00D6014C" w:rsidRDefault="00000000">
      <w:pPr>
        <w:spacing w:after="200" w:line="312" w:lineRule="auto"/>
        <w:jc w:val="both"/>
      </w:pPr>
      <w:r>
        <w:lastRenderedPageBreak/>
        <w:t>The terms are ancient and respectable. Natural law: the moral order knowable by reason, written into the constitution of man, accessible to pagan and believer alike. Divine law: the commandments delivered by revelation, carved at Sinai, possessed by those to whom it was given. Two laws, it would seem — one read off the world, one handed down from heaven. The schoolmen distinguished them with great care, and the distinction did honest work for centuries.</w:t>
      </w:r>
    </w:p>
    <w:p w14:paraId="49F6A72A" w14:textId="77777777" w:rsidR="00D6014C" w:rsidRDefault="00000000">
      <w:pPr>
        <w:spacing w:after="200" w:line="312" w:lineRule="auto"/>
        <w:jc w:val="both"/>
      </w:pPr>
      <w:r>
        <w:t>But press on it, and the seam turns out to be in the reception, not the source. Saint Paul presses on it in the second chapter of Romans, and the result is remarkable. The Gentiles, he writes, who never stood at Sinai and never possessed the tablets, nevertheless "do by nature what the law requires" — and in doing so "they show that the work of the law is written on their hearts." Notice the wording, because everything hangs on it. Not a law written on their hearts. Not a lesser law, a shadow law, an analogue suited to those outside the covenant. The law — the same law, the one Paul has been discussing throughout, the law the Jew received in stone. One law, two inscriptions. The Gentile carries it in flesh; the Jew carries it also in stone; and the content is identical, which is precisely why both stand under identical judgment. The medium of transmission does not alter the obligation by a single grain. The Jew gains no exemption from having tablets; the pagan gains none from lacking them.</w:t>
      </w:r>
    </w:p>
    <w:p w14:paraId="1677CB4E" w14:textId="77777777" w:rsidR="00D6014C" w:rsidRDefault="00000000">
      <w:pPr>
        <w:spacing w:after="200" w:line="312" w:lineRule="auto"/>
        <w:jc w:val="both"/>
      </w:pPr>
      <w:r>
        <w:t xml:space="preserve">The nineteenth Psalm makes the same identification in a single poem, and without apology. Its first half is what we would now call natural revelation: the heavens declare the glory of God, day pours forth speech </w:t>
      </w:r>
      <w:proofErr w:type="spellStart"/>
      <w:proofErr w:type="gramStart"/>
      <w:r>
        <w:t>to day</w:t>
      </w:r>
      <w:proofErr w:type="spellEnd"/>
      <w:proofErr w:type="gramEnd"/>
      <w:r>
        <w:t>, and there is no tongue where the voice is not heard. And the claim is not ornament. The strange legibility of the universe — the fact that it yields to reason at all, that its remotest depths answer to equations a creature can write on a page — is itself the signature of address rather than accident, for one does not read what was never written. Its second half is what we would call divine law: the law of the LORD is perfect, reviving the soul. The psalmist sets them side by side with no transition, no acknowledgment that he has changed subjects — because he has not changed subjects. The sky and the statute are one speech. Even Thomas Aquinas, the great architect of the distinctions, grounded all of them in a single eternal law and defined natural law as nothing other than the rational creature's participation in it. The distinctions, he understood, were distinctions for us — accommodations to the human vantage point, which encounters the one law through two windows and is tempted to conclude there are two lights.</w:t>
      </w:r>
    </w:p>
    <w:p w14:paraId="0CBF2909" w14:textId="77777777" w:rsidR="00D6014C" w:rsidRDefault="00000000">
      <w:pPr>
        <w:spacing w:after="200" w:line="312" w:lineRule="auto"/>
        <w:jc w:val="both"/>
      </w:pPr>
      <w:r>
        <w:t xml:space="preserve">Here, then, is the claim, stated plainly: the division of natural law from divine law is a human misconception. Not the distinguishing itself — it is true and useful to observe that </w:t>
      </w:r>
      <w:r>
        <w:lastRenderedPageBreak/>
        <w:t xml:space="preserve">the law reaches us through the heart and through the stone, and the difference between those channels matters to how we read. The misconception begins the moment distinction hardens into separation: the moment "natural law" is imagined as a freestanding moral order with its own independent authority, a law that would bind even if no one had ever spoken it. That is the error, and it is not an antiquarian one. Nor did it arrive suddenly. The seam was strained long before the philosophes took their shears to it: in 1625 Hugo Grotius ventured that natural law would hold its force </w:t>
      </w:r>
      <w:proofErr w:type="spellStart"/>
      <w:r>
        <w:t>etiamsi</w:t>
      </w:r>
      <w:proofErr w:type="spellEnd"/>
      <w:r>
        <w:t xml:space="preserve"> </w:t>
      </w:r>
      <w:proofErr w:type="spellStart"/>
      <w:r>
        <w:t>daremus</w:t>
      </w:r>
      <w:proofErr w:type="spellEnd"/>
      <w:r>
        <w:t xml:space="preserve"> non esse Deum — even if we should concede that there is no God — a hypothesis he raised only to disavow in the same breath. The centuries that followed kept the hypothesis and discarded the disavowal. It is the precise crack through which the modern world entered its present condition. For once natural law was conceived as freestanding, it could be kept while the Lawgiver was dismissed. This was the Enlightenment's signature transaction: retain the moral inheritance, discharge the Author. Rights without a Grantor. Dignity without an Image. </w:t>
      </w:r>
      <w:proofErr w:type="spellStart"/>
      <w:proofErr w:type="gramStart"/>
      <w:r>
        <w:t>Oughts</w:t>
      </w:r>
      <w:proofErr w:type="spellEnd"/>
      <w:r>
        <w:t xml:space="preserve"> hovering</w:t>
      </w:r>
      <w:proofErr w:type="gramEnd"/>
      <w:r>
        <w:t xml:space="preserve"> over a world of mute is. The arrangement ran for two centuries on borrowed capital, and Hume — to his credit — was the first auditor to notice that the account, on its own stated terms, was empty. His guillotine was never a threat to the spoken world. It was an early notice of insolvency served on the silenced one.</w:t>
      </w:r>
    </w:p>
    <w:p w14:paraId="1C95EC81" w14:textId="77777777" w:rsidR="00D6014C" w:rsidRDefault="00000000">
      <w:pPr>
        <w:spacing w:after="200" w:line="312" w:lineRule="auto"/>
        <w:jc w:val="both"/>
      </w:pPr>
      <w:r>
        <w:t xml:space="preserve">The strongest secular replies, examined closely, confirm the audit rather than contest it. The subtlest of them sought to derive goodness from flourishing: a thing is good, Philippa Foot and her heirs argued, when it functions as its kind is meant to function — and so the oak has its excellence, the wolf its virtues, and man his, all without a word from heaven. But meant is doing all the work in that sentence, and in a mute world nothing is meant. A teleology with no teleologist is borrowed capital under another name. And the sharpest blade in the secular armory turns out to cut the hand that forged it. Sharon Street's celebrated Darwinian dilemma runs as follows: if evolution shaped our moral intuitions, then secular moral realism is finished — for either our intuitions track an independent moral truth by staggering coincidence, or there is no independent truth for them to track, since natural selection rewards survival, not accuracy about value. Street deploys the dilemma on behalf of moral antirealism, and against the silenced world she is, I think, unanswerable. But run the same dilemma in a spoken world and it dissolves on contact. If the Author of the moral law is also the Author of the natures that evolution unfolds, then the faculties that arose are calibrated to the law neither by accident nor by miracle but by design — the inscription and the instrument have the same Writer. The dilemma that demolishes godless moral realism cannot touch the spoken world; it is simply the final entry in the audit of the silenced one. I will not claim to have inspected every bridge built across Hume's gap — the Kantians have theirs, the </w:t>
      </w:r>
      <w:proofErr w:type="spellStart"/>
      <w:r>
        <w:t>contractualists</w:t>
      </w:r>
      <w:proofErr w:type="spellEnd"/>
      <w:r>
        <w:t xml:space="preserve"> theirs — but </w:t>
      </w:r>
      <w:proofErr w:type="spellStart"/>
      <w:proofErr w:type="gramStart"/>
      <w:r>
        <w:t xml:space="preserve">every </w:t>
      </w:r>
      <w:r>
        <w:lastRenderedPageBreak/>
        <w:t>one</w:t>
      </w:r>
      <w:proofErr w:type="spellEnd"/>
      <w:proofErr w:type="gramEnd"/>
      <w:r>
        <w:t xml:space="preserve"> I have walked out onto has failed at the footings in the same way, its load-bearing materials quarried on the far side. The reader is invited to test his own favorite. The audit standard is simple: find the </w:t>
      </w:r>
      <w:proofErr w:type="gramStart"/>
      <w:r>
        <w:t>ought, and</w:t>
      </w:r>
      <w:proofErr w:type="gramEnd"/>
      <w:r>
        <w:t xml:space="preserve"> ask who is left in the account to have issued it.</w:t>
      </w:r>
    </w:p>
    <w:p w14:paraId="3E9EC71D" w14:textId="77777777" w:rsidR="00D6014C" w:rsidRDefault="00000000">
      <w:pPr>
        <w:spacing w:before="240" w:after="240"/>
        <w:jc w:val="center"/>
      </w:pPr>
      <w:r>
        <w:rPr>
          <w:color w:val="B8963E"/>
          <w:sz w:val="22"/>
          <w:szCs w:val="22"/>
        </w:rPr>
        <w:t>❖</w:t>
      </w:r>
    </w:p>
    <w:p w14:paraId="6C496A7D" w14:textId="77777777" w:rsidR="00D6014C" w:rsidRDefault="00000000">
      <w:pPr>
        <w:spacing w:after="200" w:line="312" w:lineRule="auto"/>
        <w:jc w:val="both"/>
      </w:pPr>
      <w:r>
        <w:t xml:space="preserve">A second objection now rises, and it is the serious one. If the law is truly written on every human heart — one law, legible to all — then how do we explain the wreckage of history? Whole civilizations practiced human sacrifice with clear consciences. Infants were exposed on hillsides by people who went home to dinner untroubled. If every heart carries the inscription, the inscription </w:t>
      </w:r>
      <w:proofErr w:type="gramStart"/>
      <w:r>
        <w:t>would</w:t>
      </w:r>
      <w:proofErr w:type="gramEnd"/>
      <w:r>
        <w:t xml:space="preserve"> seem to have failed on a planetary scale. And from that failure a tempting conclusion </w:t>
      </w:r>
      <w:proofErr w:type="gramStart"/>
      <w:r>
        <w:t>follows:</w:t>
      </w:r>
      <w:proofErr w:type="gramEnd"/>
      <w:r>
        <w:t xml:space="preserve"> nature was insufficient. The heart's copy was smudged from the start, too faint to read, and revelation came as the necessary patch — God repairing a design that could not perform its function.</w:t>
      </w:r>
    </w:p>
    <w:p w14:paraId="57873E23" w14:textId="77777777" w:rsidR="00D6014C" w:rsidRDefault="00000000">
      <w:pPr>
        <w:spacing w:after="200" w:line="312" w:lineRule="auto"/>
        <w:jc w:val="both"/>
      </w:pPr>
      <w:r>
        <w:t>The conclusion is tempting, and it is wrong, and the place where it goes wrong matters more than almost anything else in this essay. To say that nature proved insufficient is to indict the workmanship. It locates the failure in the equipment — as though man fell, in part, because he was under-provisioned, issued a defective instrument and then blamed for misreading it. That account quietly dilutes the guilt and, worse, quietly insults the design. The truth is harder and cleaner. The instrument was sound. The inscription was legible. The man in the garden was not squinting at a faded text; he had the law entire, heard in the cool of the day from the mouth of its Author, and he disobeyed it with his eyes open. The Fall is not a literacy failure. It is a defiance.</w:t>
      </w:r>
    </w:p>
    <w:p w14:paraId="7A67A0CC" w14:textId="77777777" w:rsidR="00D6014C" w:rsidRDefault="00000000">
      <w:pPr>
        <w:spacing w:after="200" w:line="312" w:lineRule="auto"/>
        <w:jc w:val="both"/>
      </w:pPr>
      <w:r>
        <w:t>And it had to be possible. We were given free will because we were not created to be automatons. A creature so constituted that obedience was guaranteed would be incapable of the only thing the whole arrangement was for. It could not love, because love that cannot be withheld is not love. It could not honor its father and mother, because honor under compulsion is mere mechanics. Every address in the original speech — to the man, to the woman, to the child — presupposes a hearer who can refuse, which is to say, the commands are commands precisely because they can be broken. The freedom that made the Fall possible is the same freedom that makes obedience meaningful. They stand or fall together, and God, knowing the price, judged the freedom worth it.</w:t>
      </w:r>
    </w:p>
    <w:p w14:paraId="7490BB60" w14:textId="77777777" w:rsidR="00D6014C" w:rsidRDefault="00000000">
      <w:pPr>
        <w:spacing w:after="200" w:line="312" w:lineRule="auto"/>
        <w:jc w:val="both"/>
      </w:pPr>
      <w:r>
        <w:t xml:space="preserve">Paul, again, supplies the exact verb the matter requires. The truth, he writes in the first chapter of Romans, is suppressed in unrighteousness — held down, the Greek says, the way a man holds something underwater that keeps trying to surface. Suppression is not a </w:t>
      </w:r>
      <w:r>
        <w:lastRenderedPageBreak/>
        <w:t>defect of equipment. It is an act of will, performed against a text one can still read. The civilizations that sacrificed their children did not lack the inscription; they held it down, generation after generation, choice compounding choice, until the holding down became custom and the custom became piety. We did not inherit a bad copy of the law. We inherited the consequences of refusing a good one — and then we kept refusing. We chose to leave Eden. Now we struggle to find our way back.</w:t>
      </w:r>
    </w:p>
    <w:p w14:paraId="6F714915" w14:textId="77777777" w:rsidR="00D6014C" w:rsidRDefault="00000000">
      <w:pPr>
        <w:spacing w:before="240" w:after="240"/>
        <w:jc w:val="center"/>
      </w:pPr>
      <w:r>
        <w:rPr>
          <w:color w:val="B8963E"/>
          <w:sz w:val="22"/>
          <w:szCs w:val="22"/>
        </w:rPr>
        <w:t>❖</w:t>
      </w:r>
    </w:p>
    <w:p w14:paraId="680DAA88" w14:textId="77777777" w:rsidR="00D6014C" w:rsidRDefault="00000000">
      <w:pPr>
        <w:spacing w:after="200" w:line="312" w:lineRule="auto"/>
        <w:jc w:val="both"/>
      </w:pPr>
      <w:r>
        <w:t>If that is the true shape of the predicament, then revelation must be recharacterized too — and the recharacterization is the most beautiful consequence of the whole argument. Sinai was not a repair. God did not descend on the mountain to patch a flawed design or to issue a corrected edition of a garbled text. He descended to speak again — to republish, in stone and fire, what every heart in the camp below already carried and was already holding down. This is why the law from the mountain has never struck the honest conscience as foreign. The heart recognizes Sinai because it is reading its own first language. The thunder was not new information. It was the oldest information, repeated at a volume that suppression could not muffle.</w:t>
      </w:r>
    </w:p>
    <w:p w14:paraId="6F53FFA4" w14:textId="77777777" w:rsidR="00D6014C" w:rsidRDefault="00000000">
      <w:pPr>
        <w:spacing w:after="200" w:line="312" w:lineRule="auto"/>
        <w:jc w:val="both"/>
      </w:pPr>
      <w:r>
        <w:t>And this means mercy is something other than what the insufficiency account would make it. Mercy is not the patch. Mercy is the patience of repetition — the Speaker who keeps speaking to those who stopped listening. He spoke in the garden and was refused. He wrote on the heart and was suppressed. He carved in stone and was disobeyed before the carving reached the foot of the mountain. And He spoke again, the Word made flesh, the same Word that ordered the cosmos and addressed the man and the woman, now arriving in person to be refused once more — and to forgive the refusal. At no point in this long patience does the speech override the freedom it addresses. That is its signature. Revelation does not compel; it appeals. It cannot do otherwise without unmaking the very creature it comes to recover, for a rescue that abolished the will would rescue no one — there would be no one left to rescue, only the automaton we were never made to be. The same free will that walked out of the garden is the faculty mercy addresses. The door home is opened, lit, and held — and it must be walked through.</w:t>
      </w:r>
    </w:p>
    <w:p w14:paraId="0483276D" w14:textId="77777777" w:rsidR="00D6014C" w:rsidRDefault="00000000">
      <w:pPr>
        <w:spacing w:after="200" w:line="312" w:lineRule="auto"/>
        <w:jc w:val="both"/>
      </w:pPr>
      <w:r>
        <w:t xml:space="preserve">Here, at the end, the stakes come back to the civilizational scale where Hume first set them. A civilization is not exempt from the logic of the individual heart; it is the individual heart at compound interest. The West, for some generations now, has attempted the experiment of keeping the inscription while denying the Writer — reading the letter aloud while insisting it was never sent. The experiment has a trajectory, and we are far enough </w:t>
      </w:r>
      <w:r>
        <w:lastRenderedPageBreak/>
        <w:t xml:space="preserve">along to chart it: the morality survives for a time as habit, then thins into preference, then dissolves into the will to power it was given to restrain. This is not pessimism; it is bookkeeping. Capital that is spent and never replenished runs out, and </w:t>
      </w:r>
      <w:proofErr w:type="gramStart"/>
      <w:r>
        <w:t>an ought suspended</w:t>
      </w:r>
      <w:proofErr w:type="gramEnd"/>
      <w:r>
        <w:t xml:space="preserve"> over a silenced world has nothing to hold it up. Hume saw the suspension and called it inexplicable. He was right about the world he described. He was wrong only in believing he had described the world.</w:t>
      </w:r>
    </w:p>
    <w:p w14:paraId="368C22D7" w14:textId="77777777" w:rsidR="00D6014C" w:rsidRDefault="00000000">
      <w:pPr>
        <w:spacing w:after="200" w:line="312" w:lineRule="auto"/>
        <w:jc w:val="both"/>
      </w:pPr>
      <w:r>
        <w:t>For the speech was real, and it has not stopped. The law was written twice — in the flesh of every man and on the stone of the mountain — and both inscriptions stand, the one suppressed but never erased, the other carried down the centuries by the people who heard the thunder. We are not the orphans of mute matter, improvising values over a void. We are children a long way from home, carrying in our chests a text we have spent millennia trying not to read, addressed at every turn by a patience that will not compel us and will not abandon us. We chose to leave. The struggle of every age, and the whole hidden labor of this one, is the finding of the way back — and the way is lit, as it has always been lit, by a Light that persuades rather than forces, and has never been overcome.</w:t>
      </w:r>
    </w:p>
    <w:p w14:paraId="39216C52" w14:textId="77777777" w:rsidR="00D6014C" w:rsidRDefault="00000000">
      <w:pPr>
        <w:spacing w:before="360" w:after="120"/>
        <w:jc w:val="center"/>
      </w:pPr>
      <w:proofErr w:type="spellStart"/>
      <w:r>
        <w:rPr>
          <w:i/>
          <w:iCs/>
          <w:color w:val="B8963E"/>
        </w:rPr>
        <w:t>Tuitio</w:t>
      </w:r>
      <w:proofErr w:type="spellEnd"/>
      <w:r>
        <w:rPr>
          <w:i/>
          <w:iCs/>
          <w:color w:val="B8963E"/>
        </w:rPr>
        <w:t xml:space="preserve"> </w:t>
      </w:r>
      <w:proofErr w:type="spellStart"/>
      <w:r>
        <w:rPr>
          <w:i/>
          <w:iCs/>
          <w:color w:val="B8963E"/>
        </w:rPr>
        <w:t>Humanitatis</w:t>
      </w:r>
      <w:proofErr w:type="spellEnd"/>
      <w:r>
        <w:rPr>
          <w:i/>
          <w:iCs/>
          <w:color w:val="B8963E"/>
        </w:rPr>
        <w:t xml:space="preserve"> per Fidem et Opera</w:t>
      </w:r>
      <w:r>
        <w:t xml:space="preserve"> — Defense of Civilization Through Faith and Works.</w:t>
      </w:r>
    </w:p>
    <w:sectPr w:rsidR="00D601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5ACB"/>
    <w:multiLevelType w:val="hybridMultilevel"/>
    <w:tmpl w:val="DA4069D2"/>
    <w:lvl w:ilvl="0" w:tplc="2C587516">
      <w:start w:val="1"/>
      <w:numFmt w:val="bullet"/>
      <w:lvlText w:val="●"/>
      <w:lvlJc w:val="left"/>
      <w:pPr>
        <w:ind w:left="720" w:hanging="360"/>
      </w:pPr>
    </w:lvl>
    <w:lvl w:ilvl="1" w:tplc="4FFE1AC6">
      <w:start w:val="1"/>
      <w:numFmt w:val="bullet"/>
      <w:lvlText w:val="○"/>
      <w:lvlJc w:val="left"/>
      <w:pPr>
        <w:ind w:left="1440" w:hanging="360"/>
      </w:pPr>
    </w:lvl>
    <w:lvl w:ilvl="2" w:tplc="85188008">
      <w:start w:val="1"/>
      <w:numFmt w:val="bullet"/>
      <w:lvlText w:val="■"/>
      <w:lvlJc w:val="left"/>
      <w:pPr>
        <w:ind w:left="2160" w:hanging="360"/>
      </w:pPr>
    </w:lvl>
    <w:lvl w:ilvl="3" w:tplc="1E8C5C16">
      <w:start w:val="1"/>
      <w:numFmt w:val="bullet"/>
      <w:lvlText w:val="●"/>
      <w:lvlJc w:val="left"/>
      <w:pPr>
        <w:ind w:left="2880" w:hanging="360"/>
      </w:pPr>
    </w:lvl>
    <w:lvl w:ilvl="4" w:tplc="3F8EB124">
      <w:start w:val="1"/>
      <w:numFmt w:val="bullet"/>
      <w:lvlText w:val="○"/>
      <w:lvlJc w:val="left"/>
      <w:pPr>
        <w:ind w:left="3600" w:hanging="360"/>
      </w:pPr>
    </w:lvl>
    <w:lvl w:ilvl="5" w:tplc="2960A224">
      <w:start w:val="1"/>
      <w:numFmt w:val="bullet"/>
      <w:lvlText w:val="■"/>
      <w:lvlJc w:val="left"/>
      <w:pPr>
        <w:ind w:left="4320" w:hanging="360"/>
      </w:pPr>
    </w:lvl>
    <w:lvl w:ilvl="6" w:tplc="CAF82F90">
      <w:start w:val="1"/>
      <w:numFmt w:val="bullet"/>
      <w:lvlText w:val="●"/>
      <w:lvlJc w:val="left"/>
      <w:pPr>
        <w:ind w:left="5040" w:hanging="360"/>
      </w:pPr>
    </w:lvl>
    <w:lvl w:ilvl="7" w:tplc="039E2DE6">
      <w:start w:val="1"/>
      <w:numFmt w:val="bullet"/>
      <w:lvlText w:val="●"/>
      <w:lvlJc w:val="left"/>
      <w:pPr>
        <w:ind w:left="5760" w:hanging="360"/>
      </w:pPr>
    </w:lvl>
    <w:lvl w:ilvl="8" w:tplc="33E0A680">
      <w:start w:val="1"/>
      <w:numFmt w:val="bullet"/>
      <w:lvlText w:val="●"/>
      <w:lvlJc w:val="left"/>
      <w:pPr>
        <w:ind w:left="6480" w:hanging="360"/>
      </w:pPr>
    </w:lvl>
  </w:abstractNum>
  <w:num w:numId="1" w16cid:durableId="281810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14C"/>
    <w:rsid w:val="0077447F"/>
    <w:rsid w:val="00B16B4E"/>
    <w:rsid w:val="00C738C7"/>
    <w:rsid w:val="00D60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70021C"/>
  <w15:docId w15:val="{7D93B0E3-97CF-3044-885C-B8DE8205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C2C2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3186</Words>
  <Characters>15077</Characters>
  <Application>Microsoft Office Word</Application>
  <DocSecurity>0</DocSecurity>
  <Lines>221</Lines>
  <Paragraphs>25</Paragraphs>
  <ScaleCrop>false</ScaleCrop>
  <Company/>
  <LinksUpToDate>false</LinksUpToDate>
  <CharactersWithSpaces>18285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Granberry</cp:lastModifiedBy>
  <cp:revision>2</cp:revision>
  <dcterms:created xsi:type="dcterms:W3CDTF">2026-06-11T12:51:00Z</dcterms:created>
  <dcterms:modified xsi:type="dcterms:W3CDTF">2026-06-11T12:51:00Z</dcterms:modified>
</cp:coreProperties>
</file>