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54C3" w14:textId="77777777" w:rsidR="0035712B" w:rsidRDefault="00000000">
      <w:pPr>
        <w:pStyle w:val="Title"/>
      </w:pPr>
      <w:r>
        <w:t>The Wise Life ��� Research Compendium</w:t>
      </w:r>
    </w:p>
    <w:p w14:paraId="072F848D" w14:textId="77777777" w:rsidR="0035712B" w:rsidRDefault="00000000">
      <w:pPr>
        <w:pStyle w:val="Heading1"/>
      </w:pPr>
      <w:r>
        <w:t>The Wise Life — Research Compendium</w:t>
      </w:r>
    </w:p>
    <w:p w14:paraId="44FCC22E" w14:textId="77777777" w:rsidR="0035712B" w:rsidRDefault="00000000">
      <w:pPr>
        <w:pStyle w:val="Heading3"/>
      </w:pPr>
      <w:r>
        <w:t>How to Envision, Live, and Die Wisely</w:t>
      </w:r>
    </w:p>
    <w:p w14:paraId="2FB237F4" w14:textId="77777777" w:rsidR="0035712B" w:rsidRDefault="00000000">
      <w:pPr>
        <w:pStyle w:val="FirstParagraph"/>
      </w:pPr>
      <w:r>
        <w:rPr>
          <w:i/>
          <w:iCs/>
        </w:rPr>
        <w:t>A standalone survey of the literature on what wisdom is and how to live and die well. Built section by section in versioned form, with status-tagged claims, a witness stance declared in the Governing Note, and one governing principle: gather broadly, spend carefully.</w:t>
      </w:r>
    </w:p>
    <w:p w14:paraId="63194BED" w14:textId="77777777" w:rsidR="0035712B" w:rsidRDefault="00000000">
      <w:bookmarkStart w:id="0" w:name="how-to-envision-live-and-die-wisely"/>
      <w:r>
        <w:rPr>
          <w:noProof/>
        </w:rPr>
        <mc:AlternateContent>
          <mc:Choice Requires="wps">
            <w:drawing>
              <wp:inline distT="0" distB="0" distL="0" distR="0" wp14:anchorId="6B63DABF" wp14:editId="70CBBC4F">
                <wp:extent cx="5943600" cy="19050"/>
                <wp:effectExtent l="0" t="0" r="0" b="0"/>
                <wp:docPr id="1" name="Rectangle 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427A0FA" id="Rectangle 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0"/>
    </w:p>
    <w:p w14:paraId="5C82BD74" w14:textId="77777777" w:rsidR="0035712B" w:rsidRDefault="00000000">
      <w:pPr>
        <w:pStyle w:val="Heading2"/>
      </w:pPr>
      <w:r>
        <w:t>Contents</w:t>
      </w:r>
    </w:p>
    <w:p w14:paraId="1EAAFCBC" w14:textId="77777777" w:rsidR="0035712B" w:rsidRDefault="00000000">
      <w:pPr>
        <w:pStyle w:val="Compact"/>
        <w:numPr>
          <w:ilvl w:val="0"/>
          <w:numId w:val="3"/>
        </w:numPr>
      </w:pPr>
      <w:r>
        <w:t>The Governing Note (Apparatus)</w:t>
      </w:r>
    </w:p>
    <w:p w14:paraId="20AE79DD" w14:textId="77777777" w:rsidR="0035712B" w:rsidRDefault="00000000">
      <w:pPr>
        <w:pStyle w:val="Compact"/>
        <w:numPr>
          <w:ilvl w:val="0"/>
          <w:numId w:val="1"/>
        </w:numPr>
      </w:pPr>
      <w:r>
        <w:t>Movement I · Envision — Dive 1 The Definitional Fault Line; Dive 2 The Traditions and Their Grounds; Dive 3 The Empirical Turn; Dive 4 Inside vs. Outside</w:t>
      </w:r>
    </w:p>
    <w:p w14:paraId="6085C449" w14:textId="77777777" w:rsidR="0035712B" w:rsidRDefault="00000000">
      <w:pPr>
        <w:pStyle w:val="Compact"/>
        <w:numPr>
          <w:ilvl w:val="0"/>
          <w:numId w:val="1"/>
        </w:numPr>
      </w:pPr>
      <w:r>
        <w:t>Movement II · Live — Dive 5 Philosophy as a Way of Life; Dive 6 The Practical Canon; Dive 7 Attention and Love</w:t>
      </w:r>
    </w:p>
    <w:p w14:paraId="06C81CC9" w14:textId="77777777" w:rsidR="0035712B" w:rsidRDefault="00000000">
      <w:pPr>
        <w:pStyle w:val="Compact"/>
        <w:numPr>
          <w:ilvl w:val="0"/>
          <w:numId w:val="1"/>
        </w:numPr>
      </w:pPr>
      <w:r>
        <w:t>Movement III · Die — Dive 8 Learning to Die; Dive 9 The Modern Reckoning; Dive 10 Death as Not the Last Word</w:t>
      </w:r>
    </w:p>
    <w:p w14:paraId="4604EC96" w14:textId="77777777" w:rsidR="0035712B" w:rsidRDefault="00000000">
      <w:pPr>
        <w:pStyle w:val="Compact"/>
        <w:numPr>
          <w:ilvl w:val="0"/>
          <w:numId w:val="1"/>
        </w:numPr>
      </w:pPr>
      <w:r>
        <w:t>The Cross-Cutting Finding</w:t>
      </w:r>
    </w:p>
    <w:p w14:paraId="45F51EB8" w14:textId="77777777" w:rsidR="0035712B" w:rsidRDefault="00000000">
      <w:pPr>
        <w:pStyle w:val="Compact"/>
        <w:numPr>
          <w:ilvl w:val="0"/>
          <w:numId w:val="1"/>
        </w:numPr>
      </w:pPr>
      <w:r>
        <w:t>Consolidated Thinker &amp; Source Catalogue</w:t>
      </w:r>
    </w:p>
    <w:p w14:paraId="67A845B8" w14:textId="77777777" w:rsidR="0035712B" w:rsidRDefault="00000000">
      <w:bookmarkStart w:id="1" w:name="contents"/>
      <w:r>
        <w:rPr>
          <w:noProof/>
        </w:rPr>
        <mc:AlternateContent>
          <mc:Choice Requires="wps">
            <w:drawing>
              <wp:inline distT="0" distB="0" distL="0" distR="0" wp14:anchorId="53040454" wp14:editId="5C26FE6E">
                <wp:extent cx="5943600" cy="19050"/>
                <wp:effectExtent l="0" t="0" r="0" b="0"/>
                <wp:docPr id="3" name="Rectangle 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26939E9" id="Rectangle 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
    </w:p>
    <w:p w14:paraId="3D878B9F" w14:textId="77777777" w:rsidR="0035712B" w:rsidRDefault="00000000">
      <w:pPr>
        <w:pStyle w:val="Heading2"/>
      </w:pPr>
      <w:r>
        <w:t>The Governing Note (Apparatus)</w:t>
      </w:r>
    </w:p>
    <w:p w14:paraId="14041C32" w14:textId="77777777" w:rsidR="0035712B" w:rsidRDefault="00000000">
      <w:pPr>
        <w:pStyle w:val="FirstParagraph"/>
      </w:pPr>
      <w:r>
        <w:rPr>
          <w:i/>
          <w:iCs/>
        </w:rPr>
        <w:t>The front matter of the compendium. This note is law for the build: it governs the voice of every dive and the premise of the eventual writing. Decisions recorded here were settled in working session and are not reopened without cause.</w:t>
      </w:r>
    </w:p>
    <w:p w14:paraId="7CBA5DF0" w14:textId="77777777" w:rsidR="0035712B" w:rsidRDefault="00000000">
      <w:r>
        <w:rPr>
          <w:noProof/>
        </w:rPr>
        <mc:AlternateContent>
          <mc:Choice Requires="wps">
            <w:drawing>
              <wp:inline distT="0" distB="0" distL="0" distR="0" wp14:anchorId="5EFB9BB9" wp14:editId="7591F945">
                <wp:extent cx="5943600" cy="19050"/>
                <wp:effectExtent l="0" t="0" r="0" b="0"/>
                <wp:docPr id="5" name="Rectangle 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BFB2851" id="Rectangle 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p>
    <w:p w14:paraId="14B2ADBC" w14:textId="77777777" w:rsidR="0035712B" w:rsidRDefault="00000000">
      <w:pPr>
        <w:pStyle w:val="Heading3"/>
      </w:pPr>
      <w:r>
        <w:t>1. The work and its mode</w:t>
      </w:r>
    </w:p>
    <w:p w14:paraId="25BFCE34" w14:textId="77777777" w:rsidR="0035712B" w:rsidRDefault="00000000">
      <w:pPr>
        <w:pStyle w:val="FirstParagraph"/>
      </w:pPr>
      <w:r>
        <w:rPr>
          <w:i/>
          <w:iCs/>
        </w:rPr>
        <w:t>The Wise Life: How to Envision, Live, and Die Wisely</w:t>
      </w:r>
      <w:r>
        <w:t xml:space="preserve"> — a standalone work surveying the literature on what wisdom is and how to live and die well. Built as a versioned, section-by-section research compendium in the </w:t>
      </w:r>
      <w:r>
        <w:rPr>
          <w:b/>
          <w:bCs/>
        </w:rPr>
        <w:t>TMM v1.6 mode</w:t>
      </w:r>
      <w:r>
        <w:t xml:space="preserve">: status-tagged claims, a master thinker catalogue, and one governing principle for the relation between research and book — </w:t>
      </w:r>
      <w:r>
        <w:rPr>
          <w:b/>
          <w:bCs/>
        </w:rPr>
        <w:t>gather broadly, spend carefully.</w:t>
      </w:r>
      <w:r>
        <w:t xml:space="preserve"> The compendium takes in everything with a real claim; the book is selective. Openness lives at the research layer; discernment at the book layer.</w:t>
      </w:r>
    </w:p>
    <w:p w14:paraId="4A56709D" w14:textId="77777777" w:rsidR="0035712B" w:rsidRDefault="00000000">
      <w:pPr>
        <w:pStyle w:val="BodyText"/>
      </w:pPr>
      <w:r>
        <w:t>It stands alone. It does not stand neutral. (See §2.)</w:t>
      </w:r>
    </w:p>
    <w:p w14:paraId="712B1B10" w14:textId="77777777" w:rsidR="0035712B" w:rsidRDefault="00000000">
      <w:bookmarkStart w:id="2" w:name="the-work-and-its-mode"/>
      <w:r>
        <w:rPr>
          <w:noProof/>
        </w:rPr>
        <w:lastRenderedPageBreak/>
        <mc:AlternateContent>
          <mc:Choice Requires="wps">
            <w:drawing>
              <wp:inline distT="0" distB="0" distL="0" distR="0" wp14:anchorId="7C14CFF0" wp14:editId="457A1E67">
                <wp:extent cx="5943600" cy="19050"/>
                <wp:effectExtent l="0" t="0" r="0" b="0"/>
                <wp:docPr id="7" name="Rectangle 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FDC930B" id="Rectangle 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
    </w:p>
    <w:p w14:paraId="1DBA2176" w14:textId="77777777" w:rsidR="0035712B" w:rsidRDefault="00000000">
      <w:pPr>
        <w:pStyle w:val="Heading3"/>
      </w:pPr>
      <w:r>
        <w:t>2. The stance — The Witness</w:t>
      </w:r>
    </w:p>
    <w:p w14:paraId="08A26DE2" w14:textId="77777777" w:rsidR="0035712B" w:rsidRDefault="00000000">
      <w:pPr>
        <w:pStyle w:val="FirstParagraph"/>
      </w:pPr>
      <w:r>
        <w:t xml:space="preserve">The book is written as a </w:t>
      </w:r>
      <w:r>
        <w:rPr>
          <w:b/>
          <w:bCs/>
        </w:rPr>
        <w:t>declared, truthful, and trusted witness.</w:t>
      </w:r>
      <w:r>
        <w:t xml:space="preserve"> Not a neutral survey, not a concealed argument, but a witness that testifies in the open.</w:t>
      </w:r>
    </w:p>
    <w:p w14:paraId="5A5E2B8D" w14:textId="77777777" w:rsidR="0035712B" w:rsidRDefault="00000000">
      <w:pPr>
        <w:pStyle w:val="BodyText"/>
      </w:pPr>
      <w:r>
        <w:t>This was the live decision of the build, and it has exact conditions:</w:t>
      </w:r>
    </w:p>
    <w:p w14:paraId="69B99FC1" w14:textId="77777777" w:rsidR="0035712B" w:rsidRDefault="00000000">
      <w:pPr>
        <w:numPr>
          <w:ilvl w:val="0"/>
          <w:numId w:val="2"/>
        </w:numPr>
      </w:pPr>
      <w:r>
        <w:rPr>
          <w:b/>
          <w:bCs/>
        </w:rPr>
        <w:t>It testifies where the grounds part.</w:t>
      </w:r>
      <w:r>
        <w:t xml:space="preserve"> The witness has seen every ground at full strength and testifies at the one place the traditions truly diverge — the ground itself. It does </w:t>
      </w:r>
      <w:r>
        <w:rPr>
          <w:b/>
          <w:bCs/>
        </w:rPr>
        <w:t>not</w:t>
      </w:r>
      <w:r>
        <w:t xml:space="preserve"> lean on the false comfort that the traditions secretly agree. (See §5: convergence is at the </w:t>
      </w:r>
      <w:r>
        <w:rPr>
          <w:i/>
          <w:iCs/>
        </w:rPr>
        <w:t>dimensions</w:t>
      </w:r>
      <w:r>
        <w:t xml:space="preserve">, divergence is at the </w:t>
      </w:r>
      <w:r>
        <w:rPr>
          <w:i/>
          <w:iCs/>
        </w:rPr>
        <w:t>ground</w:t>
      </w:r>
      <w:r>
        <w:t>. The witness rests on what is actually there, which is stronger than the crutch.)</w:t>
      </w:r>
    </w:p>
    <w:p w14:paraId="11329FA9" w14:textId="77777777" w:rsidR="0035712B" w:rsidRDefault="00000000">
      <w:pPr>
        <w:numPr>
          <w:ilvl w:val="0"/>
          <w:numId w:val="2"/>
        </w:numPr>
      </w:pPr>
      <w:r>
        <w:rPr>
          <w:b/>
          <w:bCs/>
        </w:rPr>
        <w:t>It declares itself; it never poses as neutral.</w:t>
      </w:r>
      <w:r>
        <w:t xml:space="preserve"> The failure we named earlier — the “fourth room”: surveying on the cover and tipping in the body — is avoided not by having no conviction but by never concealing it. The book says that it testifies.</w:t>
      </w:r>
    </w:p>
    <w:p w14:paraId="5E23C320" w14:textId="77777777" w:rsidR="0035712B" w:rsidRDefault="00000000">
      <w:pPr>
        <w:numPr>
          <w:ilvl w:val="0"/>
          <w:numId w:val="2"/>
        </w:numPr>
      </w:pPr>
      <w:r>
        <w:rPr>
          <w:b/>
          <w:bCs/>
        </w:rPr>
        <w:t>It gives every other ground its full strength.</w:t>
      </w:r>
      <w:r>
        <w:t xml:space="preserve"> Marcus, the Buddha, Laozi, the Stoa, the void — each rendered as it would render itself, never as a foil set up to fall. </w:t>
      </w:r>
      <w:r>
        <w:rPr>
          <w:b/>
          <w:bCs/>
        </w:rPr>
        <w:t>The fairness is the authority.</w:t>
      </w:r>
      <w:r>
        <w:t xml:space="preserve"> The reader trusts the testimony precisely because the witness was scrupulous with what it does not share. Trust is earned upstream of the claim. This is the §2.2 discipline from Dive 2, now load-bearing rather than optional.</w:t>
      </w:r>
    </w:p>
    <w:p w14:paraId="1D018D53" w14:textId="77777777" w:rsidR="0035712B" w:rsidRDefault="00000000">
      <w:pPr>
        <w:numPr>
          <w:ilvl w:val="0"/>
          <w:numId w:val="2"/>
        </w:numPr>
      </w:pPr>
      <w:r>
        <w:rPr>
          <w:b/>
          <w:bCs/>
        </w:rPr>
        <w:t>It testifies from the same center the trilogy serves.</w:t>
      </w:r>
      <w:r>
        <w:t xml:space="preserve"> A different doorway — wisdom, and dying well — but the same room. The book can stand alone; what it no longer does is stand neutral. This is a coherent and honorable place, and it is where TMM already lives.</w:t>
      </w:r>
    </w:p>
    <w:p w14:paraId="5F9775CD" w14:textId="77777777" w:rsidR="0035712B" w:rsidRDefault="00000000">
      <w:bookmarkStart w:id="3" w:name="the-stance-the-witness"/>
      <w:r>
        <w:rPr>
          <w:noProof/>
        </w:rPr>
        <mc:AlternateContent>
          <mc:Choice Requires="wps">
            <w:drawing>
              <wp:inline distT="0" distB="0" distL="0" distR="0" wp14:anchorId="78ED24C4" wp14:editId="3CA85AC1">
                <wp:extent cx="5943600" cy="19050"/>
                <wp:effectExtent l="0" t="0" r="0" b="0"/>
                <wp:docPr id="9" name="Rectangle 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27E288C" id="Rectangle 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
    </w:p>
    <w:p w14:paraId="508F32B5" w14:textId="77777777" w:rsidR="0035712B" w:rsidRDefault="00000000">
      <w:pPr>
        <w:pStyle w:val="Heading3"/>
      </w:pPr>
      <w:r>
        <w:t>3. The disciplines of the witness</w:t>
      </w:r>
    </w:p>
    <w:p w14:paraId="20991F8D" w14:textId="77777777" w:rsidR="0035712B" w:rsidRDefault="00000000">
      <w:pPr>
        <w:pStyle w:val="FirstParagraph"/>
      </w:pPr>
      <w:r>
        <w:t>Three disciplines came with the stance and travel with it into every dive.</w:t>
      </w:r>
    </w:p>
    <w:p w14:paraId="2D5C16E0" w14:textId="77777777" w:rsidR="0035712B" w:rsidRDefault="00000000">
      <w:pPr>
        <w:pStyle w:val="BodyText"/>
      </w:pPr>
      <w:r>
        <w:rPr>
          <w:b/>
          <w:bCs/>
        </w:rPr>
        <w:t>(a) Diagnose the loss as ours.</w:t>
      </w:r>
      <w:r>
        <w:t xml:space="preserve"> The age has let the formation of virtue lapse, and the vices now cultivated are ones we all swim in; the reservoir drained on no single party’s watch. The witness says </w:t>
      </w:r>
      <w:r>
        <w:rPr>
          <w:i/>
          <w:iCs/>
        </w:rPr>
        <w:t>us</w:t>
      </w:r>
      <w:r>
        <w:t xml:space="preserve">, not </w:t>
      </w:r>
      <w:r>
        <w:rPr>
          <w:i/>
          <w:iCs/>
        </w:rPr>
        <w:t>them</w:t>
      </w:r>
      <w:r>
        <w:t>. A witness that exempts itself is not trusted; one that implicates the writer too is. Common loss, common road back. (This is also a precision correction: the strong historical form — “</w:t>
      </w:r>
      <w:r>
        <w:rPr>
          <w:i/>
          <w:iCs/>
        </w:rPr>
        <w:t>they</w:t>
      </w:r>
      <w:r>
        <w:t xml:space="preserve"> taught hate” — is both contestable as history and a violation of the governing creative principle in §4. The truer and harder sentence is </w:t>
      </w:r>
      <w:r>
        <w:rPr>
          <w:i/>
          <w:iCs/>
        </w:rPr>
        <w:t>we let it lapse</w:t>
      </w:r>
      <w:r>
        <w:t>.)</w:t>
      </w:r>
    </w:p>
    <w:p w14:paraId="40E6611F" w14:textId="77777777" w:rsidR="0035712B" w:rsidRDefault="00000000">
      <w:pPr>
        <w:pStyle w:val="BodyText"/>
      </w:pPr>
      <w:r>
        <w:rPr>
          <w:b/>
          <w:bCs/>
        </w:rPr>
        <w:t>(b) Trust that the recognition survives the loss.</w:t>
      </w:r>
      <w:r>
        <w:t xml:space="preserve"> A reader never formed in patience still knows it when seen; still feels the pull. That surviving recognition is the hook the book works on. </w:t>
      </w:r>
      <w:r>
        <w:rPr>
          <w:b/>
          <w:bCs/>
        </w:rPr>
        <w:t>Grief over the lost thing is proof the thing is still legible</w:t>
      </w:r>
      <w:r>
        <w:t xml:space="preserve"> — and the objection that “no one is virtuous anymore” quietly refutes itself, because if the </w:t>
      </w:r>
      <w:r>
        <w:rPr>
          <w:i/>
          <w:iCs/>
        </w:rPr>
        <w:t>capacity to recognize</w:t>
      </w:r>
      <w:r>
        <w:t xml:space="preserve"> </w:t>
      </w:r>
      <w:r>
        <w:lastRenderedPageBreak/>
        <w:t>virtue had truly died, no book could reach anyone and the worry would be moot. That we feel the loss as loss is the evidence the witness needs.</w:t>
      </w:r>
    </w:p>
    <w:p w14:paraId="6128C29E" w14:textId="77777777" w:rsidR="0035712B" w:rsidRDefault="00000000">
      <w:pPr>
        <w:pStyle w:val="BodyText"/>
      </w:pPr>
      <w:r>
        <w:rPr>
          <w:b/>
          <w:bCs/>
        </w:rPr>
        <w:t>(c) Rest on the ground that was never counting on us being good.</w:t>
      </w:r>
      <w:r>
        <w:t xml:space="preserve"> The Stoic sage assumes the capacity is already present to be perfected; the witness’s ground does not. Christian wisdom never assumed a virtuous audience — it assumed a fallen one, met by grace. </w:t>
      </w:r>
      <w:r>
        <w:rPr>
          <w:i/>
          <w:iCs/>
        </w:rPr>
        <w:t>The light shines in the darkness</w:t>
      </w:r>
      <w:r>
        <w:t xml:space="preserve"> was never a measurement of how much darkness there was; it was the claim that the amount does not decide the outcome. A witness on this ground is not embarrassed by a vicious age. It expects one. (The conviction TMM closes on — </w:t>
      </w:r>
      <w:r>
        <w:rPr>
          <w:i/>
          <w:iCs/>
        </w:rPr>
        <w:t>the light has never been overcome</w:t>
      </w:r>
      <w:r>
        <w:t xml:space="preserve"> — is the conviction this witness rests on; cited as ground, not borrowed as this book’s line.)</w:t>
      </w:r>
    </w:p>
    <w:p w14:paraId="73BF17DD" w14:textId="77777777" w:rsidR="0035712B" w:rsidRDefault="00000000">
      <w:bookmarkStart w:id="4" w:name="the-disciplines-of-the-witness"/>
      <w:r>
        <w:rPr>
          <w:noProof/>
        </w:rPr>
        <mc:AlternateContent>
          <mc:Choice Requires="wps">
            <w:drawing>
              <wp:inline distT="0" distB="0" distL="0" distR="0" wp14:anchorId="21AE7901" wp14:editId="3D64DB81">
                <wp:extent cx="5943600" cy="19050"/>
                <wp:effectExtent l="0" t="0" r="0" b="0"/>
                <wp:docPr id="11" name="Rectangle 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5CD84C1" id="Rectangle 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
    </w:p>
    <w:p w14:paraId="05036BC8" w14:textId="77777777" w:rsidR="0035712B" w:rsidRDefault="00000000">
      <w:pPr>
        <w:pStyle w:val="Heading3"/>
      </w:pPr>
      <w:r>
        <w:t>4. The governing creative principle (inherited, non-negotiable)</w:t>
      </w:r>
    </w:p>
    <w:p w14:paraId="6F4A79BF" w14:textId="77777777" w:rsidR="0035712B" w:rsidRDefault="00000000">
      <w:pPr>
        <w:pStyle w:val="FirstParagraph"/>
      </w:pPr>
      <w:r>
        <w:rPr>
          <w:b/>
          <w:bCs/>
        </w:rPr>
        <w:t>No passage assigns the need-to-change to a tribe. Claims arrive as universal recognition.</w:t>
      </w:r>
      <w:r>
        <w:t xml:space="preserve"> This is the author’s governing principle across all work, and §3(a) is its application here. Any sentence that names an enemy forfeits the witness’s trust the instant it lands. The loss is diagnosed as common; the road back is offered as common.</w:t>
      </w:r>
    </w:p>
    <w:p w14:paraId="172D8708" w14:textId="77777777" w:rsidR="0035712B" w:rsidRDefault="00000000">
      <w:bookmarkStart w:id="5" w:name="X31fec6771ccba5b43b2399c2e055482e8c0f08c"/>
      <w:r>
        <w:rPr>
          <w:noProof/>
        </w:rPr>
        <mc:AlternateContent>
          <mc:Choice Requires="wps">
            <w:drawing>
              <wp:inline distT="0" distB="0" distL="0" distR="0" wp14:anchorId="6145A9EB" wp14:editId="48949634">
                <wp:extent cx="5943600" cy="19050"/>
                <wp:effectExtent l="0" t="0" r="0" b="0"/>
                <wp:docPr id="13" name="Rectangle 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257E1A0" id="Rectangle 1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
    </w:p>
    <w:p w14:paraId="48A1EDEF" w14:textId="77777777" w:rsidR="0035712B" w:rsidRDefault="00000000">
      <w:pPr>
        <w:pStyle w:val="Heading3"/>
      </w:pPr>
      <w:r>
        <w:t>5. The organizing hypothesis</w:t>
      </w:r>
    </w:p>
    <w:p w14:paraId="0731D43A" w14:textId="77777777" w:rsidR="0035712B" w:rsidRDefault="00000000">
      <w:pPr>
        <w:pStyle w:val="FirstParagraph"/>
      </w:pPr>
      <w:r>
        <w:t xml:space="preserve">Held as </w:t>
      </w:r>
      <w:r>
        <w:rPr>
          <w:b/>
          <w:bCs/>
        </w:rPr>
        <w:t>hypothesis</w:t>
      </w:r>
      <w:r>
        <w:t>, not thesis — it must earn its shape from the material, and where the material pushes back, the pushback is recorded as a finding (see Dive 2 §2.19).</w:t>
      </w:r>
    </w:p>
    <w:p w14:paraId="1DA765DA" w14:textId="77777777" w:rsidR="0035712B" w:rsidRDefault="00000000">
      <w:pPr>
        <w:pStyle w:val="BlockText"/>
      </w:pPr>
      <w:r>
        <w:rPr>
          <w:b/>
          <w:bCs/>
        </w:rPr>
        <w:t>The traditions converge at the level of dimensions and diverge at the ground.</w:t>
      </w:r>
    </w:p>
    <w:p w14:paraId="39FB1930" w14:textId="77777777" w:rsidR="0035712B" w:rsidRDefault="00000000">
      <w:pPr>
        <w:pStyle w:val="FirstParagraph"/>
      </w:pPr>
      <w:r>
        <w:t xml:space="preserve">Dimensions (the convergence): humility, self-knowledge, the mastery or ordering of desire, attention to others, the acceptance of limit and mortality. Grounds (the divergence): a covenantal and incarnate God, impersonal cosmic reason, the void, the ineffable Way, nothing transcendent at all. </w:t>
      </w:r>
      <w:r>
        <w:rPr>
          <w:b/>
          <w:bCs/>
        </w:rPr>
        <w:t>Same shape, different foundation.</w:t>
      </w:r>
      <w:r>
        <w:t xml:space="preserve"> The sharpest single evidence is the Logos hinge (Dive 2 §2.16): one word carrying the Stoic impersonal reason and John’s incarnate person — shared term, opposite ground.</w:t>
      </w:r>
    </w:p>
    <w:p w14:paraId="71021ABB" w14:textId="77777777" w:rsidR="0035712B" w:rsidRDefault="00000000">
      <w:bookmarkStart w:id="6" w:name="the-organizing-hypothesis"/>
      <w:r>
        <w:rPr>
          <w:noProof/>
        </w:rPr>
        <mc:AlternateContent>
          <mc:Choice Requires="wps">
            <w:drawing>
              <wp:inline distT="0" distB="0" distL="0" distR="0" wp14:anchorId="07533012" wp14:editId="1D67DA96">
                <wp:extent cx="5943600" cy="19050"/>
                <wp:effectExtent l="0" t="0" r="0" b="0"/>
                <wp:docPr id="15" name="Rectangle 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AAFAEF1" id="Rectangle 1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
    </w:p>
    <w:p w14:paraId="78C85F08" w14:textId="77777777" w:rsidR="0035712B" w:rsidRDefault="00000000">
      <w:pPr>
        <w:pStyle w:val="Heading3"/>
      </w:pPr>
      <w:r>
        <w:t>6. The structural axis — formation and the mirror</w:t>
      </w:r>
    </w:p>
    <w:p w14:paraId="39F2B3B6" w14:textId="77777777" w:rsidR="0035712B" w:rsidRDefault="00000000">
      <w:pPr>
        <w:pStyle w:val="FirstParagraph"/>
      </w:pPr>
      <w:r>
        <w:rPr>
          <w:b/>
          <w:bCs/>
        </w:rPr>
        <w:t>Formation is the single engine.</w:t>
      </w:r>
      <w:r>
        <w:t xml:space="preserve"> Wisdom is </w:t>
      </w:r>
      <w:r>
        <w:rPr>
          <w:i/>
          <w:iCs/>
        </w:rPr>
        <w:t>grown, not installed</w:t>
      </w:r>
      <w:r>
        <w:t xml:space="preserve"> — slow to accumulate, drawn on in crisis, losable. This resolves the </w:t>
      </w:r>
      <w:r>
        <w:rPr>
          <w:i/>
          <w:iCs/>
        </w:rPr>
        <w:t>Meno</w:t>
      </w:r>
      <w:r>
        <w:t xml:space="preserve"> paradox (Dive 1 §1.8): wisdom is not taught </w:t>
      </w:r>
      <w:r>
        <w:rPr>
          <w:i/>
          <w:iCs/>
        </w:rPr>
        <w:t>as a subject</w:t>
      </w:r>
      <w:r>
        <w:t>; it is formed. The formation engine is the conceptual spine connecting all three movements.</w:t>
      </w:r>
    </w:p>
    <w:p w14:paraId="2EE5260F" w14:textId="77777777" w:rsidR="0035712B" w:rsidRDefault="00000000">
      <w:pPr>
        <w:pStyle w:val="BodyText"/>
      </w:pPr>
      <w:r>
        <w:rPr>
          <w:b/>
          <w:bCs/>
        </w:rPr>
        <w:t>The individual↔society mirror is a sanctioned structural axis.</w:t>
      </w:r>
      <w:r>
        <w:t xml:space="preserve"> Each movement — Envision, Live, Die — is readable at both scales, because the mechanism of formation is the same large and small: phronesis is to the person what the civic reservoir is to the polity. </w:t>
      </w:r>
      <w:r>
        <w:lastRenderedPageBreak/>
        <w:t xml:space="preserve">Precedent: TMM’s two-part structure (Part I social, Part II individual). </w:t>
      </w:r>
      <w:r>
        <w:rPr>
          <w:b/>
          <w:bCs/>
        </w:rPr>
        <w:t>Precedent, not template.</w:t>
      </w:r>
      <w:r>
        <w:t xml:space="preserve"> Import rule: structure and method transfer; the </w:t>
      </w:r>
      <w:r>
        <w:rPr>
          <w:i/>
          <w:iCs/>
        </w:rPr>
        <w:t>cases</w:t>
      </w:r>
      <w:r>
        <w:t xml:space="preserve"> stay in their home texts. (</w:t>
      </w:r>
      <w:r>
        <w:rPr>
          <w:i/>
          <w:iCs/>
        </w:rPr>
        <w:t>The Tested Inheritance</w:t>
      </w:r>
      <w:r>
        <w:t xml:space="preserve"> is the empirical witness for the social scale and lives in TMM Part I, not here.) Each dive decides for itself how heavily to read at the social scale.</w:t>
      </w:r>
    </w:p>
    <w:p w14:paraId="27F1D83B" w14:textId="77777777" w:rsidR="0035712B" w:rsidRDefault="00000000">
      <w:bookmarkStart w:id="7" w:name="Xfe12af407071b02c965b1b59d6fb31d128e0df8"/>
      <w:r>
        <w:rPr>
          <w:noProof/>
        </w:rPr>
        <mc:AlternateContent>
          <mc:Choice Requires="wps">
            <w:drawing>
              <wp:inline distT="0" distB="0" distL="0" distR="0" wp14:anchorId="3439813D" wp14:editId="1D1FC559">
                <wp:extent cx="5943600" cy="19050"/>
                <wp:effectExtent l="0" t="0" r="0" b="0"/>
                <wp:docPr id="17" name="Rectangle 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0911D96" id="Rectangle 1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
    </w:p>
    <w:p w14:paraId="04010D8E" w14:textId="77777777" w:rsidR="0035712B" w:rsidRDefault="00000000">
      <w:pPr>
        <w:pStyle w:val="Heading3"/>
      </w:pPr>
      <w:r>
        <w:t>7. The exemplar condition</w:t>
      </w:r>
    </w:p>
    <w:p w14:paraId="3771A3F4" w14:textId="77777777" w:rsidR="0035712B" w:rsidRDefault="00000000">
      <w:pPr>
        <w:pStyle w:val="FirstParagraph"/>
      </w:pPr>
      <w:r>
        <w:t xml:space="preserve">The witness must be able to point — </w:t>
      </w:r>
      <w:r>
        <w:rPr>
          <w:i/>
          <w:iCs/>
        </w:rPr>
        <w:t>here, this, a life that shows it</w:t>
      </w:r>
      <w:r>
        <w:t xml:space="preserve"> — or it is only nouns. The condition is real but modest: it needs </w:t>
      </w:r>
      <w:r>
        <w:rPr>
          <w:b/>
          <w:bCs/>
        </w:rPr>
        <w:t>exemplars and a reader who can still recognize one</w:t>
      </w:r>
      <w:r>
        <w:t xml:space="preserve"> (see §3b), not a virtuous population. Exemplars need not be living; the dead witnesses testify best to the ages that forgot. And the wise have nearly always been the remnant, not the majority — Ecclesiastes, the prophets, the Stoics writing into Roman rot, Confucius in the Warring States. Wisdom literature is written against the grain of its age. The loss is what makes the witness necessary.</w:t>
      </w:r>
    </w:p>
    <w:p w14:paraId="1DAB974B" w14:textId="77777777" w:rsidR="0035712B" w:rsidRDefault="00000000">
      <w:bookmarkStart w:id="8" w:name="the-exemplar-condition"/>
      <w:r>
        <w:rPr>
          <w:noProof/>
        </w:rPr>
        <mc:AlternateContent>
          <mc:Choice Requires="wps">
            <w:drawing>
              <wp:inline distT="0" distB="0" distL="0" distR="0" wp14:anchorId="66E2A60C" wp14:editId="2008F579">
                <wp:extent cx="5943600" cy="19050"/>
                <wp:effectExtent l="0" t="0" r="0" b="0"/>
                <wp:docPr id="19" name="Rectangle 1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C5BA012" id="Rectangle 1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
    </w:p>
    <w:p w14:paraId="5AD7CEF1" w14:textId="77777777" w:rsidR="0035712B" w:rsidRDefault="00000000">
      <w:pPr>
        <w:pStyle w:val="Heading3"/>
      </w:pPr>
      <w:r>
        <w:t>8. The failure mode and the voice</w:t>
      </w:r>
    </w:p>
    <w:p w14:paraId="242AE452" w14:textId="77777777" w:rsidR="0035712B" w:rsidRDefault="00000000">
      <w:pPr>
        <w:pStyle w:val="FirstParagraph"/>
      </w:pPr>
      <w:r>
        <w:t xml:space="preserve">This book’s death is </w:t>
      </w:r>
      <w:r>
        <w:rPr>
          <w:b/>
          <w:bCs/>
        </w:rPr>
        <w:t>blandness, not backlash.</w:t>
      </w:r>
      <w:r>
        <w:t xml:space="preserve"> It will not be shot at; it can only dissolve into a warm general feeling. So its discipline is the inverse of the trilogy’s: not evidentiary armor against attack, but </w:t>
      </w:r>
      <w:r>
        <w:rPr>
          <w:b/>
          <w:bCs/>
        </w:rPr>
        <w:t>edge and specificity</w:t>
      </w:r>
      <w:r>
        <w:t xml:space="preserve"> — the refusal to let hard-won counsel soften into the agreeable. The convergence is the comfort; the divergence at the ground is the edge that keeps it honest.</w:t>
      </w:r>
    </w:p>
    <w:p w14:paraId="1C85DF6E" w14:textId="77777777" w:rsidR="0035712B" w:rsidRDefault="00000000">
      <w:pPr>
        <w:pStyle w:val="BodyText"/>
      </w:pPr>
      <w:r>
        <w:t xml:space="preserve">Voice is person-specific and shifts with the work: brevity, directness, warmth carried in the work rather than announced around it. This book likely wants </w:t>
      </w:r>
      <w:r>
        <w:rPr>
          <w:b/>
          <w:bCs/>
        </w:rPr>
        <w:t>its own Voice Palette</w:t>
      </w:r>
      <w:r>
        <w:t xml:space="preserve"> rather than inheriting TMM’s or TCTCBE’s — and the register depends on the open gate (§11), since a witness that names fully speaks differently from one that points in silence. </w:t>
      </w:r>
      <w:r>
        <w:rPr>
          <w:i/>
          <w:iCs/>
        </w:rPr>
        <w:t>Voice Palette deferred until §11 is settled.</w:t>
      </w:r>
    </w:p>
    <w:p w14:paraId="56D936EE" w14:textId="77777777" w:rsidR="0035712B" w:rsidRDefault="00000000">
      <w:bookmarkStart w:id="9" w:name="the-failure-mode-and-the-voice"/>
      <w:r>
        <w:rPr>
          <w:noProof/>
        </w:rPr>
        <mc:AlternateContent>
          <mc:Choice Requires="wps">
            <w:drawing>
              <wp:inline distT="0" distB="0" distL="0" distR="0" wp14:anchorId="12BDF801" wp14:editId="1CDFF80F">
                <wp:extent cx="5943600" cy="19050"/>
                <wp:effectExtent l="0" t="0" r="0" b="0"/>
                <wp:docPr id="21" name="Rectangle 2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A5E8D5C" id="Rectangle 2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
    </w:p>
    <w:p w14:paraId="661D3C99" w14:textId="77777777" w:rsidR="0035712B" w:rsidRDefault="00000000">
      <w:pPr>
        <w:pStyle w:val="Heading3"/>
      </w:pPr>
      <w:r>
        <w:t>9. Status-tag legend</w:t>
      </w:r>
    </w:p>
    <w:p w14:paraId="0AAAA841" w14:textId="77777777" w:rsidR="0035712B" w:rsidRDefault="00000000">
      <w:pPr>
        <w:pStyle w:val="Compact"/>
        <w:numPr>
          <w:ilvl w:val="0"/>
          <w:numId w:val="4"/>
        </w:numPr>
      </w:pPr>
      <w:r>
        <w:rPr>
          <w:rStyle w:val="VerbatimChar"/>
        </w:rPr>
        <w:t>[TEXT]</w:t>
      </w:r>
      <w:r>
        <w:t xml:space="preserve"> — anchored to a named primary source</w:t>
      </w:r>
    </w:p>
    <w:p w14:paraId="500583F4" w14:textId="77777777" w:rsidR="0035712B" w:rsidRDefault="00000000">
      <w:pPr>
        <w:pStyle w:val="Compact"/>
        <w:numPr>
          <w:ilvl w:val="0"/>
          <w:numId w:val="5"/>
        </w:numPr>
      </w:pPr>
      <w:r>
        <w:rPr>
          <w:rStyle w:val="VerbatimChar"/>
        </w:rPr>
        <w:t>[TRAD]</w:t>
      </w:r>
      <w:r>
        <w:t xml:space="preserve"> — a tradition’s self-understanding (on its own terms)</w:t>
      </w:r>
    </w:p>
    <w:p w14:paraId="7EA40646" w14:textId="77777777" w:rsidR="0035712B" w:rsidRDefault="00000000">
      <w:pPr>
        <w:pStyle w:val="Compact"/>
        <w:numPr>
          <w:ilvl w:val="0"/>
          <w:numId w:val="6"/>
        </w:numPr>
      </w:pPr>
      <w:r>
        <w:rPr>
          <w:rStyle w:val="VerbatimChar"/>
        </w:rPr>
        <w:t>[SCHOLAR]</w:t>
      </w:r>
      <w:r>
        <w:t xml:space="preserve"> — established scholarly reading</w:t>
      </w:r>
    </w:p>
    <w:p w14:paraId="75919513" w14:textId="77777777" w:rsidR="0035712B" w:rsidRDefault="00000000">
      <w:pPr>
        <w:pStyle w:val="Compact"/>
        <w:numPr>
          <w:ilvl w:val="0"/>
          <w:numId w:val="7"/>
        </w:numPr>
      </w:pPr>
      <w:r>
        <w:rPr>
          <w:rStyle w:val="VerbatimChar"/>
        </w:rPr>
        <w:t>[CONTESTED]</w:t>
      </w:r>
      <w:r>
        <w:t xml:space="preserve"> — live scholarly dispute; weight genuinely unsettled</w:t>
      </w:r>
    </w:p>
    <w:p w14:paraId="6D10FE73" w14:textId="77777777" w:rsidR="0035712B" w:rsidRDefault="00000000">
      <w:pPr>
        <w:pStyle w:val="Compact"/>
        <w:numPr>
          <w:ilvl w:val="0"/>
          <w:numId w:val="8"/>
        </w:numPr>
      </w:pPr>
      <w:r>
        <w:rPr>
          <w:rStyle w:val="VerbatimChar"/>
        </w:rPr>
        <w:t>[SYNTH]</w:t>
      </w:r>
      <w:r>
        <w:t xml:space="preserve"> — our own connective claim, not drawn from a source</w:t>
      </w:r>
    </w:p>
    <w:p w14:paraId="3FFE680E" w14:textId="77777777" w:rsidR="0035712B" w:rsidRDefault="00000000">
      <w:pPr>
        <w:pStyle w:val="Compact"/>
        <w:numPr>
          <w:ilvl w:val="0"/>
          <w:numId w:val="9"/>
        </w:numPr>
      </w:pPr>
      <w:r>
        <w:rPr>
          <w:rStyle w:val="VerbatimChar"/>
        </w:rPr>
        <w:t>[HYP]</w:t>
      </w:r>
      <w:r>
        <w:t xml:space="preserve"> — held as hypothesis, awaiting the material’s verdict</w:t>
      </w:r>
    </w:p>
    <w:p w14:paraId="1DEAB8AE" w14:textId="77777777" w:rsidR="0035712B" w:rsidRDefault="00000000">
      <w:bookmarkStart w:id="10" w:name="status-tag-legend"/>
      <w:r>
        <w:rPr>
          <w:noProof/>
        </w:rPr>
        <mc:AlternateContent>
          <mc:Choice Requires="wps">
            <w:drawing>
              <wp:inline distT="0" distB="0" distL="0" distR="0" wp14:anchorId="573C2C0B" wp14:editId="3A727E9C">
                <wp:extent cx="5943600" cy="19050"/>
                <wp:effectExtent l="0" t="0" r="0" b="0"/>
                <wp:docPr id="23" name="Rectangle 2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DA7E423" id="Rectangle 2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
    </w:p>
    <w:p w14:paraId="50BBABA6" w14:textId="77777777" w:rsidR="0035712B" w:rsidRDefault="00000000">
      <w:pPr>
        <w:pStyle w:val="Heading3"/>
      </w:pPr>
      <w:r>
        <w:t>10. The architecture</w:t>
      </w:r>
    </w:p>
    <w:p w14:paraId="4AB4E13C" w14:textId="77777777" w:rsidR="0035712B" w:rsidRDefault="00000000">
      <w:pPr>
        <w:pStyle w:val="FirstParagraph"/>
      </w:pPr>
      <w:r>
        <w:t>Three movements, with an inside/outside axis running through, and the individual/society mirror as structural axis (§6).</w:t>
      </w:r>
    </w:p>
    <w:p w14:paraId="1831A426" w14:textId="77777777" w:rsidR="0035712B" w:rsidRDefault="00000000">
      <w:pPr>
        <w:pStyle w:val="Compact"/>
        <w:numPr>
          <w:ilvl w:val="0"/>
          <w:numId w:val="10"/>
        </w:numPr>
      </w:pPr>
      <w:r>
        <w:rPr>
          <w:b/>
          <w:bCs/>
        </w:rPr>
        <w:lastRenderedPageBreak/>
        <w:t>ENVISION — what wisdom is.</w:t>
      </w:r>
      <w:r>
        <w:t xml:space="preserve"> Dive 1 The Definitional Fault Line </w:t>
      </w:r>
      <w:r>
        <w:rPr>
          <w:i/>
          <w:iCs/>
        </w:rPr>
        <w:t>(built, v0.1)</w:t>
      </w:r>
      <w:r>
        <w:t xml:space="preserve"> · Dive 2 The Traditions and Their Grounds </w:t>
      </w:r>
      <w:r>
        <w:rPr>
          <w:i/>
          <w:iCs/>
        </w:rPr>
        <w:t>(built, v0.2)</w:t>
      </w:r>
      <w:r>
        <w:t xml:space="preserve"> · Dive 3 The Empirical Turn </w:t>
      </w:r>
      <w:r>
        <w:rPr>
          <w:i/>
          <w:iCs/>
        </w:rPr>
        <w:t>(next; requires web-verification before locking)</w:t>
      </w:r>
      <w:r>
        <w:t xml:space="preserve"> · Dive 4 Inside vs. Outside.</w:t>
      </w:r>
    </w:p>
    <w:p w14:paraId="4373081E" w14:textId="77777777" w:rsidR="0035712B" w:rsidRDefault="00000000">
      <w:pPr>
        <w:pStyle w:val="Compact"/>
        <w:numPr>
          <w:ilvl w:val="0"/>
          <w:numId w:val="11"/>
        </w:numPr>
      </w:pPr>
      <w:r>
        <w:rPr>
          <w:b/>
          <w:bCs/>
        </w:rPr>
        <w:t>LIVE — how wisdom is practiced.</w:t>
      </w:r>
      <w:r>
        <w:t xml:space="preserve"> Philosophy as a Way of Life (Hadot) · The Practical Canon · Attention and Love.</w:t>
      </w:r>
    </w:p>
    <w:p w14:paraId="2F0B3739" w14:textId="77777777" w:rsidR="0035712B" w:rsidRDefault="00000000">
      <w:pPr>
        <w:pStyle w:val="Compact"/>
        <w:numPr>
          <w:ilvl w:val="0"/>
          <w:numId w:val="12"/>
        </w:numPr>
      </w:pPr>
      <w:r>
        <w:rPr>
          <w:b/>
          <w:bCs/>
        </w:rPr>
        <w:t>DIE — how a wise life is tested and completed.</w:t>
      </w:r>
      <w:r>
        <w:t xml:space="preserve"> Learning to Die · The Modern Reckoning · Death as Not the Last Word.</w:t>
      </w:r>
    </w:p>
    <w:p w14:paraId="5C5254C1" w14:textId="77777777" w:rsidR="0035712B" w:rsidRDefault="00000000">
      <w:pPr>
        <w:pStyle w:val="Compact"/>
        <w:numPr>
          <w:ilvl w:val="0"/>
          <w:numId w:val="13"/>
        </w:numPr>
      </w:pPr>
      <w:r>
        <w:rPr>
          <w:b/>
          <w:bCs/>
        </w:rPr>
        <w:t>Cross-cutting finding</w:t>
      </w:r>
      <w:r>
        <w:t xml:space="preserve"> — written </w:t>
      </w:r>
      <w:r>
        <w:rPr>
          <w:i/>
          <w:iCs/>
        </w:rPr>
        <w:t>last</w:t>
      </w:r>
      <w:r>
        <w:t>; earns its shape from the material rather than preceding it.</w:t>
      </w:r>
    </w:p>
    <w:p w14:paraId="5D8A6227" w14:textId="77777777" w:rsidR="0035712B" w:rsidRDefault="00000000">
      <w:bookmarkStart w:id="11" w:name="the-architecture"/>
      <w:r>
        <w:rPr>
          <w:noProof/>
        </w:rPr>
        <mc:AlternateContent>
          <mc:Choice Requires="wps">
            <w:drawing>
              <wp:inline distT="0" distB="0" distL="0" distR="0" wp14:anchorId="556FEDA1" wp14:editId="41FC13DA">
                <wp:extent cx="5943600" cy="19050"/>
                <wp:effectExtent l="0" t="0" r="0" b="0"/>
                <wp:docPr id="25" name="Rectangle 2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74A7AE3" id="Rectangle 2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
    </w:p>
    <w:p w14:paraId="20E45D8B" w14:textId="77777777" w:rsidR="0035712B" w:rsidRDefault="00000000">
      <w:pPr>
        <w:pStyle w:val="Heading3"/>
      </w:pPr>
      <w:r>
        <w:t>11. Open gate — the volume of the testimony</w:t>
      </w:r>
    </w:p>
    <w:p w14:paraId="73E55C22" w14:textId="77777777" w:rsidR="0035712B" w:rsidRDefault="00000000">
      <w:pPr>
        <w:pStyle w:val="FirstParagraph"/>
      </w:pPr>
      <w:r>
        <w:t xml:space="preserve">One decision remains before the first real writing. The witness is set; its </w:t>
      </w:r>
      <w:r>
        <w:rPr>
          <w:b/>
          <w:bCs/>
        </w:rPr>
        <w:t>volume</w:t>
      </w:r>
      <w:r>
        <w:t xml:space="preserve"> is not. The trilogy is the menu:</w:t>
      </w:r>
    </w:p>
    <w:p w14:paraId="410C7EDC" w14:textId="77777777" w:rsidR="0035712B" w:rsidRDefault="00000000">
      <w:pPr>
        <w:pStyle w:val="Compact"/>
        <w:numPr>
          <w:ilvl w:val="0"/>
          <w:numId w:val="14"/>
        </w:numPr>
      </w:pPr>
      <w:r>
        <w:rPr>
          <w:b/>
          <w:bCs/>
        </w:rPr>
        <w:t>TMM register</w:t>
      </w:r>
      <w:r>
        <w:t xml:space="preserve"> — names the center fully.</w:t>
      </w:r>
    </w:p>
    <w:p w14:paraId="176B972A" w14:textId="77777777" w:rsidR="0035712B" w:rsidRDefault="00000000">
      <w:pPr>
        <w:pStyle w:val="Compact"/>
        <w:numPr>
          <w:ilvl w:val="0"/>
          <w:numId w:val="15"/>
        </w:numPr>
      </w:pPr>
      <w:r>
        <w:rPr>
          <w:b/>
          <w:bCs/>
        </w:rPr>
        <w:t>WTMDNS register</w:t>
      </w:r>
      <w:r>
        <w:t xml:space="preserve"> — reaches it by negative image.</w:t>
      </w:r>
    </w:p>
    <w:p w14:paraId="1592E68D" w14:textId="77777777" w:rsidR="0035712B" w:rsidRDefault="00000000">
      <w:pPr>
        <w:pStyle w:val="Compact"/>
        <w:numPr>
          <w:ilvl w:val="0"/>
          <w:numId w:val="16"/>
        </w:numPr>
      </w:pPr>
      <w:r>
        <w:rPr>
          <w:b/>
          <w:bCs/>
        </w:rPr>
        <w:t>TCTCBE register</w:t>
      </w:r>
      <w:r>
        <w:t xml:space="preserve"> — never names it; lets the reader feel the shape of the absence.</w:t>
      </w:r>
    </w:p>
    <w:p w14:paraId="3FA35CDB" w14:textId="77777777" w:rsidR="0035712B" w:rsidRDefault="00000000">
      <w:pPr>
        <w:pStyle w:val="FirstParagraph"/>
      </w:pPr>
      <w:r>
        <w:t xml:space="preserve">A witness can testify at any of these. For a wisdom book hoping to reach the skeptic, the most trusted testimony is often the quietest — shown more than asserted, the way wisdom literature has always borne witness, through parable and the recognized life rather than the proposition. This does not block research; the dives accumulate regardless. It gates the first writing and the Voice Palette (§8). </w:t>
      </w:r>
      <w:r>
        <w:rPr>
          <w:b/>
          <w:bCs/>
        </w:rPr>
        <w:t>Awaiting decision.</w:t>
      </w:r>
    </w:p>
    <w:p w14:paraId="792E08C9" w14:textId="77777777" w:rsidR="0035712B" w:rsidRDefault="00000000">
      <w:bookmarkStart w:id="12" w:name="open-gate-the-volume-of-the-testimony"/>
      <w:r>
        <w:rPr>
          <w:noProof/>
        </w:rPr>
        <mc:AlternateContent>
          <mc:Choice Requires="wps">
            <w:drawing>
              <wp:inline distT="0" distB="0" distL="0" distR="0" wp14:anchorId="7E926E47" wp14:editId="529DA310">
                <wp:extent cx="5943600" cy="19050"/>
                <wp:effectExtent l="0" t="0" r="0" b="0"/>
                <wp:docPr id="27" name="Rectangle 2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036C061" id="Rectangle 2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2"/>
    </w:p>
    <w:p w14:paraId="7613EEF1" w14:textId="77777777" w:rsidR="0035712B" w:rsidRDefault="00000000">
      <w:pPr>
        <w:pStyle w:val="Heading3"/>
      </w:pPr>
      <w:r>
        <w:t>12. Working protocol</w:t>
      </w:r>
    </w:p>
    <w:p w14:paraId="75C2915A" w14:textId="77777777" w:rsidR="0035712B" w:rsidRDefault="00000000">
      <w:pPr>
        <w:pStyle w:val="Compact"/>
        <w:numPr>
          <w:ilvl w:val="0"/>
          <w:numId w:val="17"/>
        </w:numPr>
      </w:pPr>
      <w:r>
        <w:rPr>
          <w:b/>
          <w:bCs/>
        </w:rPr>
        <w:t>Authorization.</w:t>
      </w:r>
      <w:r>
        <w:t xml:space="preserve"> Claude proposes, Kenneth authorizes, Claude implements. Appreciation is not authorization. No change to a settled artifact without explicit approval.</w:t>
      </w:r>
    </w:p>
    <w:p w14:paraId="444F2900" w14:textId="77777777" w:rsidR="0035712B" w:rsidRDefault="00000000">
      <w:pPr>
        <w:pStyle w:val="Compact"/>
        <w:numPr>
          <w:ilvl w:val="0"/>
          <w:numId w:val="18"/>
        </w:numPr>
      </w:pPr>
      <w:r>
        <w:rPr>
          <w:b/>
          <w:bCs/>
        </w:rPr>
        <w:t>Versioning.</w:t>
      </w:r>
      <w:r>
        <w:t xml:space="preserve"> Dives are versioned sequentially; this note is the apparatus front matter (v1.0) and is updated as governing decisions settle. The volume decision (§11) and the Voice Palette (§8) are the next expected updates.</w:t>
      </w:r>
    </w:p>
    <w:p w14:paraId="2BE4AFDB" w14:textId="77777777" w:rsidR="0035712B" w:rsidRDefault="00000000">
      <w:pPr>
        <w:pStyle w:val="Compact"/>
        <w:numPr>
          <w:ilvl w:val="0"/>
          <w:numId w:val="19"/>
        </w:numPr>
      </w:pPr>
      <w:r>
        <w:rPr>
          <w:b/>
          <w:bCs/>
        </w:rPr>
        <w:t>Verification.</w:t>
      </w:r>
      <w:r>
        <w:t xml:space="preserve"> Empirical claims are web-verified before they lock; Dive 3 is the first that requires it. External pressure-testing (Grok) feeds findings back into the compendium.</w:t>
      </w:r>
    </w:p>
    <w:p w14:paraId="7F3B29A4" w14:textId="77777777" w:rsidR="0035712B" w:rsidRDefault="00000000">
      <w:pPr>
        <w:pStyle w:val="Compact"/>
        <w:numPr>
          <w:ilvl w:val="0"/>
          <w:numId w:val="20"/>
        </w:numPr>
      </w:pPr>
      <w:r>
        <w:rPr>
          <w:b/>
          <w:bCs/>
        </w:rPr>
        <w:t>The system serves the work.</w:t>
      </w:r>
      <w:r>
        <w:t xml:space="preserve"> Where procedure creates friction rather than clarity, the procedure yields.</w:t>
      </w:r>
    </w:p>
    <w:p w14:paraId="1BB9648D" w14:textId="77777777" w:rsidR="0035712B" w:rsidRDefault="00000000">
      <w:bookmarkStart w:id="13" w:name="the-governing-note-apparatus"/>
      <w:bookmarkStart w:id="14" w:name="working-protocol"/>
      <w:r>
        <w:rPr>
          <w:noProof/>
        </w:rPr>
        <mc:AlternateContent>
          <mc:Choice Requires="wps">
            <w:drawing>
              <wp:inline distT="0" distB="0" distL="0" distR="0" wp14:anchorId="04856DAA" wp14:editId="0DCCC5DD">
                <wp:extent cx="5943600" cy="19050"/>
                <wp:effectExtent l="0" t="0" r="0" b="0"/>
                <wp:docPr id="29" name="Rectangle 2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D98F33E" id="Rectangle 2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3"/>
      <w:bookmarkEnd w:id="14"/>
    </w:p>
    <w:p w14:paraId="32534552" w14:textId="77777777" w:rsidR="0035712B" w:rsidRDefault="00000000">
      <w:pPr>
        <w:pStyle w:val="Heading2"/>
      </w:pPr>
      <w:r>
        <w:lastRenderedPageBreak/>
        <w:t>Movement I · Envision</w:t>
      </w:r>
    </w:p>
    <w:p w14:paraId="3F973B4C" w14:textId="77777777" w:rsidR="0035712B" w:rsidRDefault="00000000">
      <w:pPr>
        <w:pStyle w:val="Heading3"/>
      </w:pPr>
      <w:r>
        <w:t>Dive 1 — The Definitional Fault Line</w:t>
      </w:r>
    </w:p>
    <w:p w14:paraId="27CAAAA7" w14:textId="77777777" w:rsidR="0035712B" w:rsidRDefault="00000000">
      <w:pPr>
        <w:pStyle w:val="Heading4"/>
      </w:pPr>
      <w:r>
        <w:t>The governing question of this dive</w:t>
      </w:r>
    </w:p>
    <w:p w14:paraId="25018C8E" w14:textId="77777777" w:rsidR="0035712B" w:rsidRDefault="00000000">
      <w:pPr>
        <w:pStyle w:val="FirstParagraph"/>
      </w:pPr>
      <w:r>
        <w:rPr>
          <w:b/>
          <w:bCs/>
        </w:rPr>
        <w:t>1.1</w:t>
      </w:r>
      <w:r>
        <w:t xml:space="preserve"> </w:t>
      </w:r>
      <w:r>
        <w:rPr>
          <w:rStyle w:val="VerbatimChar"/>
        </w:rPr>
        <w:t>[SYNTH]</w:t>
      </w:r>
      <w:r>
        <w:t xml:space="preserve"> Before a book can say how to live wisely, it has to face a fault line that runs under the whole subject: the word </w:t>
      </w:r>
      <w:r>
        <w:rPr>
          <w:i/>
          <w:iCs/>
        </w:rPr>
        <w:t>wisdom</w:t>
      </w:r>
      <w:r>
        <w:t xml:space="preserve"> names two different things, and most of the confusion in the literature comes from treating them as one. This dive opens the crack deliberately, names the two sides, and then asks the question that the split forces — whether wisdom of the kind that matters for living can be </w:t>
      </w:r>
      <w:r>
        <w:rPr>
          <w:i/>
          <w:iCs/>
        </w:rPr>
        <w:t>taught</w:t>
      </w:r>
      <w:r>
        <w:t xml:space="preserve"> at all, or only </w:t>
      </w:r>
      <w:r>
        <w:rPr>
          <w:i/>
          <w:iCs/>
        </w:rPr>
        <w:t>formed</w:t>
      </w:r>
      <w:r>
        <w:t>. That question, in turn, produces the cross-cultural figure the whole tradition keeps returning to: the elder. Establishing this is what lets every later dive know which wisdom it is talking about.</w:t>
      </w:r>
    </w:p>
    <w:p w14:paraId="4779ECCA" w14:textId="77777777" w:rsidR="0035712B" w:rsidRDefault="00000000">
      <w:pPr>
        <w:pStyle w:val="BodyText"/>
      </w:pPr>
      <w:r>
        <w:rPr>
          <w:b/>
          <w:bCs/>
        </w:rPr>
        <w:t>1.2</w:t>
      </w:r>
      <w:r>
        <w:t xml:space="preserve"> </w:t>
      </w:r>
      <w:r>
        <w:rPr>
          <w:rStyle w:val="VerbatimChar"/>
        </w:rPr>
        <w:t>[HYP]</w:t>
      </w:r>
      <w:r>
        <w:t xml:space="preserve"> The compendium’s organizing hypothesis is introduced here only as orientation, not yet tested: the traditions </w:t>
      </w:r>
      <w:r>
        <w:rPr>
          <w:b/>
          <w:bCs/>
        </w:rPr>
        <w:t>converge at the level of dimensions and diverge at the ground.</w:t>
      </w:r>
      <w:r>
        <w:t xml:space="preserve"> Dive 1 lays the definitional floor; the first real test of the hypothesis comes in Dive 2, where the grounds are set side by side.</w:t>
      </w:r>
    </w:p>
    <w:p w14:paraId="2B7DECFB" w14:textId="77777777" w:rsidR="0035712B" w:rsidRDefault="00000000">
      <w:bookmarkStart w:id="15" w:name="the-governing-question-of-this-dive"/>
      <w:r>
        <w:rPr>
          <w:noProof/>
        </w:rPr>
        <mc:AlternateContent>
          <mc:Choice Requires="wps">
            <w:drawing>
              <wp:inline distT="0" distB="0" distL="0" distR="0" wp14:anchorId="03CF5E1F" wp14:editId="455A6C88">
                <wp:extent cx="5943600" cy="19050"/>
                <wp:effectExtent l="0" t="0" r="0" b="0"/>
                <wp:docPr id="31" name="Rectangle 3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81C7673" id="Rectangle 3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5"/>
    </w:p>
    <w:p w14:paraId="18F92CBB" w14:textId="77777777" w:rsidR="0035712B" w:rsidRDefault="00000000">
      <w:pPr>
        <w:pStyle w:val="Heading4"/>
      </w:pPr>
      <w:r>
        <w:t xml:space="preserve">I. The fault line — </w:t>
      </w:r>
      <w:r>
        <w:rPr>
          <w:iCs/>
        </w:rPr>
        <w:t>sophia</w:t>
      </w:r>
      <w:r>
        <w:t xml:space="preserve"> and </w:t>
      </w:r>
      <w:r>
        <w:rPr>
          <w:iCs/>
        </w:rPr>
        <w:t>phronesis</w:t>
      </w:r>
    </w:p>
    <w:p w14:paraId="2A35C9B7" w14:textId="77777777" w:rsidR="0035712B" w:rsidRDefault="00000000">
      <w:pPr>
        <w:pStyle w:val="FirstParagraph"/>
      </w:pPr>
      <w:r>
        <w:rPr>
          <w:b/>
          <w:bCs/>
        </w:rPr>
        <w:t>1.3</w:t>
      </w:r>
      <w:r>
        <w:t xml:space="preserve"> </w:t>
      </w:r>
      <w:r>
        <w:rPr>
          <w:rStyle w:val="VerbatimChar"/>
        </w:rPr>
        <w:t>[TEXT]</w:t>
      </w:r>
      <w:r>
        <w:t xml:space="preserve"> Aristotle draws the line cleanly in Book VI of the </w:t>
      </w:r>
      <w:r>
        <w:rPr>
          <w:i/>
          <w:iCs/>
        </w:rPr>
        <w:t>Nicomachean Ethics</w:t>
      </w:r>
      <w:r>
        <w:t xml:space="preserve">. Among the intellectual virtues he distinguishes </w:t>
      </w:r>
      <w:r>
        <w:rPr>
          <w:i/>
          <w:iCs/>
        </w:rPr>
        <w:t>sophia</w:t>
      </w:r>
      <w:r>
        <w:t xml:space="preserve"> — theoretical wisdom, the knowledge of first and highest things, of what is eternal and does not change — from </w:t>
      </w:r>
      <w:r>
        <w:rPr>
          <w:i/>
          <w:iCs/>
        </w:rPr>
        <w:t>phronesis</w:t>
      </w:r>
      <w:r>
        <w:t xml:space="preserve">, practical wisdom, the trained capacity to deliberate well about what is good for a human life as a whole and to act on it. </w:t>
      </w:r>
      <w:r>
        <w:rPr>
          <w:i/>
          <w:iCs/>
        </w:rPr>
        <w:t>Sophia</w:t>
      </w:r>
      <w:r>
        <w:t xml:space="preserve"> contemplates; </w:t>
      </w:r>
      <w:r>
        <w:rPr>
          <w:i/>
          <w:iCs/>
        </w:rPr>
        <w:t>phronesis</w:t>
      </w:r>
      <w:r>
        <w:t xml:space="preserve"> acts. One is aimed at truth about the unchanging; the other at right action in the particular, contingent, unrepeatable situation.</w:t>
      </w:r>
    </w:p>
    <w:p w14:paraId="6C884BC4" w14:textId="77777777" w:rsidR="0035712B" w:rsidRDefault="00000000">
      <w:pPr>
        <w:pStyle w:val="BodyText"/>
      </w:pPr>
      <w:r>
        <w:rPr>
          <w:b/>
          <w:bCs/>
        </w:rPr>
        <w:t>1.4</w:t>
      </w:r>
      <w:r>
        <w:t xml:space="preserve"> </w:t>
      </w:r>
      <w:r>
        <w:rPr>
          <w:rStyle w:val="VerbatimChar"/>
        </w:rPr>
        <w:t>[TEXT]</w:t>
      </w:r>
      <w:r>
        <w:t xml:space="preserve"> The two are not ranked the same way for the same purpose. Aristotle holds </w:t>
      </w:r>
      <w:r>
        <w:rPr>
          <w:i/>
          <w:iCs/>
        </w:rPr>
        <w:t>sophia</w:t>
      </w:r>
      <w:r>
        <w:t xml:space="preserve"> the higher in dignity — it concerns the divine and necessary — but </w:t>
      </w:r>
      <w:r>
        <w:rPr>
          <w:i/>
          <w:iCs/>
        </w:rPr>
        <w:t>phronesis</w:t>
      </w:r>
      <w:r>
        <w:t xml:space="preserve"> is the wisdom that governs a life, because life is lived in particulars that no general knowledge can fully anticipate. The person of practical wisdom, the </w:t>
      </w:r>
      <w:r>
        <w:rPr>
          <w:i/>
          <w:iCs/>
        </w:rPr>
        <w:t>phronimos</w:t>
      </w:r>
      <w:r>
        <w:t xml:space="preserve">, is his standard for ethical judgment: not the one who knows the most, but the one who reliably perceives what the situation calls for and does it. </w:t>
      </w:r>
      <w:r>
        <w:rPr>
          <w:rStyle w:val="VerbatimChar"/>
        </w:rPr>
        <w:t>[SCHOLAR]</w:t>
      </w:r>
      <w:r>
        <w:t xml:space="preserve"> Aristotle ties </w:t>
      </w:r>
      <w:r>
        <w:rPr>
          <w:i/>
          <w:iCs/>
        </w:rPr>
        <w:t>phronesis</w:t>
      </w:r>
      <w:r>
        <w:t xml:space="preserve"> and moral virtue together — you cannot have full virtue without practical wisdom, and you cannot have practical wisdom without the formed character that makes you want the right ends.</w:t>
      </w:r>
    </w:p>
    <w:p w14:paraId="43CF99AF" w14:textId="77777777" w:rsidR="0035712B" w:rsidRDefault="00000000">
      <w:pPr>
        <w:pStyle w:val="BodyText"/>
      </w:pPr>
      <w:r>
        <w:rPr>
          <w:b/>
          <w:bCs/>
        </w:rPr>
        <w:t>1.5</w:t>
      </w:r>
      <w:r>
        <w:t xml:space="preserve"> </w:t>
      </w:r>
      <w:r>
        <w:rPr>
          <w:rStyle w:val="VerbatimChar"/>
        </w:rPr>
        <w:t>[SYNTH]</w:t>
      </w:r>
      <w:r>
        <w:t xml:space="preserve"> Here is the payoff of the distinction, and the reason it belongs first. </w:t>
      </w:r>
      <w:r>
        <w:rPr>
          <w:b/>
          <w:bCs/>
        </w:rPr>
        <w:t xml:space="preserve">Almost all of the “how to live” literature — ancient and modern — is really about </w:t>
      </w:r>
      <w:r>
        <w:rPr>
          <w:b/>
          <w:bCs/>
          <w:i/>
          <w:iCs/>
        </w:rPr>
        <w:t>phronesis</w:t>
      </w:r>
      <w:r>
        <w:rPr>
          <w:b/>
          <w:bCs/>
        </w:rPr>
        <w:t xml:space="preserve">, and almost all of its confusion comes from smuggling in the prestige of </w:t>
      </w:r>
      <w:r>
        <w:rPr>
          <w:b/>
          <w:bCs/>
          <w:i/>
          <w:iCs/>
        </w:rPr>
        <w:t>sophia</w:t>
      </w:r>
      <w:r>
        <w:rPr>
          <w:b/>
          <w:bCs/>
        </w:rPr>
        <w:t>.</w:t>
      </w:r>
      <w:r>
        <w:t xml:space="preserve"> A book promises wisdom about the cosmos and delivers, at best, good counsel about life; or it offers life-counsel and dresses it as metaphysics. Naming the fault line is the discipline that keeps </w:t>
      </w:r>
      <w:r>
        <w:rPr>
          <w:i/>
          <w:iCs/>
        </w:rPr>
        <w:t>The Wise Life</w:t>
      </w:r>
      <w:r>
        <w:t xml:space="preserve"> honest about which wisdom it is in a position to offer. It is, overwhelmingly, the practical kind.</w:t>
      </w:r>
    </w:p>
    <w:p w14:paraId="0E47B59B" w14:textId="77777777" w:rsidR="0035712B" w:rsidRDefault="00000000">
      <w:bookmarkStart w:id="16" w:name="i.-the-fault-line-sophia-and-phronesis"/>
      <w:r>
        <w:rPr>
          <w:noProof/>
        </w:rPr>
        <mc:AlternateContent>
          <mc:Choice Requires="wps">
            <w:drawing>
              <wp:inline distT="0" distB="0" distL="0" distR="0" wp14:anchorId="390269C2" wp14:editId="2CA014D7">
                <wp:extent cx="5943600" cy="19050"/>
                <wp:effectExtent l="0" t="0" r="0" b="0"/>
                <wp:docPr id="33" name="Rectangle 3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C669EFD" id="Rectangle 3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6"/>
    </w:p>
    <w:p w14:paraId="700EA56A" w14:textId="77777777" w:rsidR="0035712B" w:rsidRDefault="00000000">
      <w:pPr>
        <w:pStyle w:val="Heading4"/>
      </w:pPr>
      <w:r>
        <w:lastRenderedPageBreak/>
        <w:t xml:space="preserve">II. Can it be taught? — the </w:t>
      </w:r>
      <w:r>
        <w:rPr>
          <w:iCs/>
        </w:rPr>
        <w:t>Meno</w:t>
      </w:r>
      <w:r>
        <w:t xml:space="preserve"> problem</w:t>
      </w:r>
    </w:p>
    <w:p w14:paraId="7CECD6DB" w14:textId="77777777" w:rsidR="0035712B" w:rsidRDefault="00000000">
      <w:pPr>
        <w:pStyle w:val="FirstParagraph"/>
      </w:pPr>
      <w:r>
        <w:rPr>
          <w:b/>
          <w:bCs/>
        </w:rPr>
        <w:t>1.6</w:t>
      </w:r>
      <w:r>
        <w:t xml:space="preserve"> </w:t>
      </w:r>
      <w:r>
        <w:rPr>
          <w:rStyle w:val="VerbatimChar"/>
        </w:rPr>
        <w:t>[TEXT]</w:t>
      </w:r>
      <w:r>
        <w:t xml:space="preserve"> Plato’s </w:t>
      </w:r>
      <w:r>
        <w:rPr>
          <w:i/>
          <w:iCs/>
        </w:rPr>
        <w:t>Meno</w:t>
      </w:r>
      <w:r>
        <w:t xml:space="preserve"> opens with the exact question this dive has to face. Meno asks whether virtue (</w:t>
      </w:r>
      <w:r>
        <w:rPr>
          <w:i/>
          <w:iCs/>
        </w:rPr>
        <w:t>aretē</w:t>
      </w:r>
      <w:r>
        <w:t xml:space="preserve">) can be taught, or acquired by practice, or comes by nature, or arrives some other way. Socrates refuses the question as posed: he says he does not yet know </w:t>
      </w:r>
      <w:r>
        <w:rPr>
          <w:i/>
          <w:iCs/>
        </w:rPr>
        <w:t>what virtue is</w:t>
      </w:r>
      <w:r>
        <w:t>, and you cannot ask whether a thing can be taught before you know what it is. The priority of the definition over every further question is itself the Socratic move — and it is why a compendium on wisdom has to begin, as this one does, by defining its terms before living them.</w:t>
      </w:r>
    </w:p>
    <w:p w14:paraId="24FB796F" w14:textId="77777777" w:rsidR="0035712B" w:rsidRDefault="00000000">
      <w:pPr>
        <w:pStyle w:val="BodyText"/>
      </w:pPr>
      <w:r>
        <w:rPr>
          <w:b/>
          <w:bCs/>
        </w:rPr>
        <w:t>1.7</w:t>
      </w:r>
      <w:r>
        <w:t xml:space="preserve"> </w:t>
      </w:r>
      <w:r>
        <w:rPr>
          <w:rStyle w:val="VerbatimChar"/>
        </w:rPr>
        <w:t>[TEXT]</w:t>
      </w:r>
      <w:r>
        <w:t xml:space="preserve"> The dialogue then runs its famous demonstration — the untaught slave boy led to a geometrical truth by questioning alone, offered as evidence that learning is </w:t>
      </w:r>
      <w:r>
        <w:rPr>
          <w:i/>
          <w:iCs/>
        </w:rPr>
        <w:t>recollection</w:t>
      </w:r>
      <w:r>
        <w:t xml:space="preserve"> (</w:t>
      </w:r>
      <w:r>
        <w:rPr>
          <w:i/>
          <w:iCs/>
        </w:rPr>
        <w:t>anamnesis</w:t>
      </w:r>
      <w:r>
        <w:t xml:space="preserve">), the drawing-out of what the soul already holds rather than the pouring-in of what it lacks. </w:t>
      </w:r>
      <w:r>
        <w:rPr>
          <w:rStyle w:val="VerbatimChar"/>
        </w:rPr>
        <w:t>[SYNTH]</w:t>
      </w:r>
      <w:r>
        <w:t xml:space="preserve"> Whatever one makes of the metaphysics, the pedagogical claim survives it: the deepest kind of knowing is elicited, not transmitted. That distinction will matter the moment we ask how wisdom passes from one person to another.</w:t>
      </w:r>
    </w:p>
    <w:p w14:paraId="5E6E6420" w14:textId="77777777" w:rsidR="0035712B" w:rsidRDefault="00000000">
      <w:pPr>
        <w:pStyle w:val="BodyText"/>
      </w:pPr>
      <w:r>
        <w:rPr>
          <w:b/>
          <w:bCs/>
        </w:rPr>
        <w:t>1.8</w:t>
      </w:r>
      <w:r>
        <w:t xml:space="preserve"> </w:t>
      </w:r>
      <w:r>
        <w:rPr>
          <w:rStyle w:val="VerbatimChar"/>
        </w:rPr>
        <w:t>[TEXT]</w:t>
      </w:r>
      <w:r>
        <w:t xml:space="preserve"> The </w:t>
      </w:r>
      <w:r>
        <w:rPr>
          <w:i/>
          <w:iCs/>
        </w:rPr>
        <w:t>Meno</w:t>
      </w:r>
      <w:r>
        <w:t xml:space="preserve"> ends in deliberate aporia. If virtue were a kind of knowledge it would be teachable — but there appear to be no teachers of it. The sophists who claim the role do not qualify; and the conspicuously virtuous men of Athens — Themistocles, Aristides, Pericles — could not make their own sons virtuous, which they surely would have done had virtue been teachable like a craft. Socrates concludes, provisionally, that virtue comes not by teaching but by a kind of divine dispensation (</w:t>
      </w:r>
      <w:r>
        <w:rPr>
          <w:i/>
          <w:iCs/>
        </w:rPr>
        <w:t>theia moira</w:t>
      </w:r>
      <w:r>
        <w:t xml:space="preserve">), absent the true statesman who could form another in it. </w:t>
      </w:r>
      <w:r>
        <w:rPr>
          <w:rStyle w:val="VerbatimChar"/>
        </w:rPr>
        <w:t>[SYNTH]</w:t>
      </w:r>
      <w:r>
        <w:t xml:space="preserve"> Map this onto wisdom — licensed by the Socratic closeness of virtue and knowledge — and the paradox is sharp: the thing most worth having cannot be handed over like information, yet it plainly does pass from some lives to others. The resolution is not “it cannot be taught” but “it is not taught </w:t>
      </w:r>
      <w:r>
        <w:rPr>
          <w:i/>
          <w:iCs/>
        </w:rPr>
        <w:t>as a subject</w:t>
      </w:r>
      <w:r>
        <w:t xml:space="preserve">.” It is </w:t>
      </w:r>
      <w:r>
        <w:rPr>
          <w:b/>
          <w:bCs/>
        </w:rPr>
        <w:t>formed.</w:t>
      </w:r>
    </w:p>
    <w:p w14:paraId="4C04006F" w14:textId="77777777" w:rsidR="0035712B" w:rsidRDefault="00000000">
      <w:bookmarkStart w:id="17" w:name="ii.-can-it-be-taught-the-meno-problem"/>
      <w:r>
        <w:rPr>
          <w:noProof/>
        </w:rPr>
        <mc:AlternateContent>
          <mc:Choice Requires="wps">
            <w:drawing>
              <wp:inline distT="0" distB="0" distL="0" distR="0" wp14:anchorId="144C3C06" wp14:editId="4BA76355">
                <wp:extent cx="5943600" cy="19050"/>
                <wp:effectExtent l="0" t="0" r="0" b="0"/>
                <wp:docPr id="35" name="Rectangle 3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4B503E3" id="Rectangle 3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7"/>
    </w:p>
    <w:p w14:paraId="50916FE0" w14:textId="77777777" w:rsidR="0035712B" w:rsidRDefault="00000000">
      <w:pPr>
        <w:pStyle w:val="Heading4"/>
      </w:pPr>
      <w:r>
        <w:t>III. The elder — wisdom’s cross-cultural archetype</w:t>
      </w:r>
    </w:p>
    <w:p w14:paraId="767DBE23" w14:textId="77777777" w:rsidR="0035712B" w:rsidRDefault="00000000">
      <w:pPr>
        <w:pStyle w:val="FirstParagraph"/>
      </w:pPr>
      <w:r>
        <w:rPr>
          <w:b/>
          <w:bCs/>
        </w:rPr>
        <w:t>1.9</w:t>
      </w:r>
      <w:r>
        <w:t xml:space="preserve"> </w:t>
      </w:r>
      <w:r>
        <w:rPr>
          <w:rStyle w:val="VerbatimChar"/>
        </w:rPr>
        <w:t>[SYNTH]</w:t>
      </w:r>
      <w:r>
        <w:t xml:space="preserve"> The teachability paradox produces a figure, not a theory, and the figure is the same across traditions: not the scholar, not the prodigy, but the </w:t>
      </w:r>
      <w:r>
        <w:rPr>
          <w:b/>
          <w:bCs/>
        </w:rPr>
        <w:t>elder</w:t>
      </w:r>
      <w:r>
        <w:t xml:space="preserve"> — the one in whom wisdom appears as the fruit of a life actually lived. </w:t>
      </w:r>
      <w:r>
        <w:rPr>
          <w:rStyle w:val="VerbatimChar"/>
        </w:rPr>
        <w:t>[TRAD]</w:t>
      </w:r>
      <w:r>
        <w:t xml:space="preserve"> The Hebrew </w:t>
      </w:r>
      <w:r>
        <w:rPr>
          <w:i/>
          <w:iCs/>
        </w:rPr>
        <w:t>zaqen</w:t>
      </w:r>
      <w:r>
        <w:t xml:space="preserve"> and the council of elders; the Greek </w:t>
      </w:r>
      <w:r>
        <w:rPr>
          <w:i/>
          <w:iCs/>
        </w:rPr>
        <w:t>presbyteros</w:t>
      </w:r>
      <w:r>
        <w:t xml:space="preserve">; the Confucian reverence for age bound to the matured </w:t>
      </w:r>
      <w:r>
        <w:rPr>
          <w:i/>
          <w:iCs/>
        </w:rPr>
        <w:t>junzi</w:t>
      </w:r>
      <w:r>
        <w:t xml:space="preserve">; the desert </w:t>
      </w:r>
      <w:r>
        <w:rPr>
          <w:i/>
          <w:iCs/>
        </w:rPr>
        <w:t>abba</w:t>
      </w:r>
      <w:r>
        <w:t xml:space="preserve"> and </w:t>
      </w:r>
      <w:r>
        <w:rPr>
          <w:i/>
          <w:iCs/>
        </w:rPr>
        <w:t>amma</w:t>
      </w:r>
      <w:r>
        <w:t xml:space="preserve"> of early monasticism; the </w:t>
      </w:r>
      <w:r>
        <w:rPr>
          <w:i/>
          <w:iCs/>
        </w:rPr>
        <w:t>staretz</w:t>
      </w:r>
      <w:r>
        <w:t>, the guru, the indigenous elder — independently, these traditions locate wisdom in someone time has worked on. The convergence is itself a datum.</w:t>
      </w:r>
    </w:p>
    <w:p w14:paraId="50F435C8" w14:textId="77777777" w:rsidR="0035712B" w:rsidRDefault="00000000">
      <w:pPr>
        <w:pStyle w:val="BodyText"/>
      </w:pPr>
      <w:r>
        <w:rPr>
          <w:b/>
          <w:bCs/>
        </w:rPr>
        <w:t>1.10</w:t>
      </w:r>
      <w:r>
        <w:t xml:space="preserve"> </w:t>
      </w:r>
      <w:r>
        <w:rPr>
          <w:rStyle w:val="VerbatimChar"/>
        </w:rPr>
        <w:t>[SYNTH]</w:t>
      </w:r>
      <w:r>
        <w:t xml:space="preserve"> The elder resolves the </w:t>
      </w:r>
      <w:r>
        <w:rPr>
          <w:i/>
          <w:iCs/>
        </w:rPr>
        <w:t>Meno</w:t>
      </w:r>
      <w:r>
        <w:t xml:space="preserve"> paradox at the level of </w:t>
      </w:r>
      <w:r>
        <w:rPr>
          <w:i/>
          <w:iCs/>
        </w:rPr>
        <w:t>formation</w:t>
      </w:r>
      <w:r>
        <w:t xml:space="preserve">. Wisdom does not transmit as a subject because it is not, finally, a body of content; it is a trained perception, a settled character, a judgment shaped by years of consequence — and that can only be </w:t>
      </w:r>
      <w:r>
        <w:rPr>
          <w:i/>
          <w:iCs/>
        </w:rPr>
        <w:t>grown</w:t>
      </w:r>
      <w:r>
        <w:t xml:space="preserve">, slowly, usually in proximity to someone who already has it. This is why the elder is recognized rather than credentialed: the mark of practical wisdom is not what the person knows but how the person sees and acts, which shows only over time. </w:t>
      </w:r>
      <w:r>
        <w:rPr>
          <w:rStyle w:val="VerbatimChar"/>
        </w:rPr>
        <w:t>[SYNTH]</w:t>
      </w:r>
      <w:r>
        <w:t xml:space="preserve"> That </w:t>
      </w:r>
      <w:r>
        <w:lastRenderedPageBreak/>
        <w:t xml:space="preserve">recognition-from-outside is the </w:t>
      </w:r>
      <w:r>
        <w:rPr>
          <w:b/>
          <w:bCs/>
        </w:rPr>
        <w:t>external signature</w:t>
      </w:r>
      <w:r>
        <w:t xml:space="preserve"> of wisdom — its appearance to those who seek counsel — and it is the thread Dive 4 (inside vs. outside) picks up in full.</w:t>
      </w:r>
    </w:p>
    <w:p w14:paraId="43C0173E" w14:textId="77777777" w:rsidR="0035712B" w:rsidRDefault="00000000">
      <w:pPr>
        <w:pStyle w:val="BodyText"/>
      </w:pPr>
      <w:r>
        <w:rPr>
          <w:b/>
          <w:bCs/>
        </w:rPr>
        <w:t>1.11</w:t>
      </w:r>
      <w:r>
        <w:t xml:space="preserve"> </w:t>
      </w:r>
      <w:r>
        <w:rPr>
          <w:rStyle w:val="VerbatimChar"/>
        </w:rPr>
        <w:t>[SYNTH]</w:t>
      </w:r>
      <w:r>
        <w:t xml:space="preserve"> </w:t>
      </w:r>
      <w:r>
        <w:rPr>
          <w:b/>
          <w:bCs/>
        </w:rPr>
        <w:t>The dual reading, held lightly.</w:t>
      </w:r>
      <w:r>
        <w:t xml:space="preserve"> The elder is an individual, but the elder is never only individual: the figure exists </w:t>
      </w:r>
      <w:r>
        <w:rPr>
          <w:i/>
          <w:iCs/>
        </w:rPr>
        <w:t>because</w:t>
      </w:r>
      <w:r>
        <w:t xml:space="preserve"> wisdom passes between generations, which makes the elder a single node in a social system of transmission. And Aristotle himself runs the personal straight into the political — the </w:t>
      </w:r>
      <w:r>
        <w:rPr>
          <w:i/>
          <w:iCs/>
        </w:rPr>
        <w:t>Nicomachean Ethics</w:t>
      </w:r>
      <w:r>
        <w:t xml:space="preserve"> opens onto the </w:t>
      </w:r>
      <w:r>
        <w:rPr>
          <w:i/>
          <w:iCs/>
        </w:rPr>
        <w:t>Politics</w:t>
      </w:r>
      <w:r>
        <w:t xml:space="preserve">, because </w:t>
      </w:r>
      <w:r>
        <w:rPr>
          <w:i/>
          <w:iCs/>
        </w:rPr>
        <w:t>phronesis</w:t>
      </w:r>
      <w:r>
        <w:t xml:space="preserve"> perfected is the wisdom of governing a shared life, not just one’s own. So the fault line shows its two scales from the start: practical wisdom in the person, and the formed civic capacity of a people. The mechanism is one — </w:t>
      </w:r>
      <w:r>
        <w:rPr>
          <w:i/>
          <w:iCs/>
        </w:rPr>
        <w:t>formation, slow and losable, grown not installed</w:t>
      </w:r>
      <w:r>
        <w:t xml:space="preserve"> — seen large and seen small. The compendium notes the bridge here and develops it only where later dives genuinely earn it.</w:t>
      </w:r>
    </w:p>
    <w:p w14:paraId="3B487A58" w14:textId="77777777" w:rsidR="0035712B" w:rsidRDefault="00000000">
      <w:bookmarkStart w:id="18" w:name="X2cf2efdc02f755c596318a0947ab9d1f4fdc734"/>
      <w:r>
        <w:rPr>
          <w:noProof/>
        </w:rPr>
        <mc:AlternateContent>
          <mc:Choice Requires="wps">
            <w:drawing>
              <wp:inline distT="0" distB="0" distL="0" distR="0" wp14:anchorId="6F9A93B6" wp14:editId="1821932C">
                <wp:extent cx="5943600" cy="19050"/>
                <wp:effectExtent l="0" t="0" r="0" b="0"/>
                <wp:docPr id="37" name="Rectangle 3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9C99FE4" id="Rectangle 3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8"/>
    </w:p>
    <w:p w14:paraId="668A4D1F" w14:textId="77777777" w:rsidR="0035712B" w:rsidRDefault="00000000">
      <w:pPr>
        <w:pStyle w:val="Heading4"/>
      </w:pPr>
      <w:r>
        <w:t>IV. What the fault line sets up</w:t>
      </w:r>
    </w:p>
    <w:p w14:paraId="62BD7F38" w14:textId="77777777" w:rsidR="0035712B" w:rsidRDefault="00000000">
      <w:pPr>
        <w:pStyle w:val="FirstParagraph"/>
      </w:pPr>
      <w:r>
        <w:rPr>
          <w:b/>
          <w:bCs/>
        </w:rPr>
        <w:t>1.12</w:t>
      </w:r>
      <w:r>
        <w:t xml:space="preserve"> </w:t>
      </w:r>
      <w:r>
        <w:rPr>
          <w:rStyle w:val="VerbatimChar"/>
        </w:rPr>
        <w:t>[SYNTH]</w:t>
      </w:r>
      <w:r>
        <w:t xml:space="preserve"> With the floor laid, the rest of </w:t>
      </w:r>
      <w:r>
        <w:rPr>
          <w:i/>
          <w:iCs/>
        </w:rPr>
        <w:t>Envision</w:t>
      </w:r>
      <w:r>
        <w:t xml:space="preserve"> has its questions. If wisdom-for-living is </w:t>
      </w:r>
      <w:r>
        <w:rPr>
          <w:i/>
          <w:iCs/>
        </w:rPr>
        <w:t>phronesis</w:t>
      </w:r>
      <w:r>
        <w:t xml:space="preserve">, cultivated across a life rather than taught as doctrine, then the next question is </w:t>
      </w:r>
      <w:r>
        <w:rPr>
          <w:b/>
          <w:bCs/>
        </w:rPr>
        <w:t>what each tradition grounds that cultivation in</w:t>
      </w:r>
      <w:r>
        <w:t xml:space="preserve"> — the soil it says formation draws on. That is Dive 2, and it is where the convergence/divergence hypothesis takes its first real test. Dive 3, the empirical turn, is the modern attempt to do what Aristotle began — to </w:t>
      </w:r>
      <w:r>
        <w:rPr>
          <w:i/>
          <w:iCs/>
        </w:rPr>
        <w:t>operationalize</w:t>
      </w:r>
      <w:r>
        <w:t xml:space="preserve"> practical wisdom, to specify and even measure it — and will require current-state web-verification before it locks. Dive 4 takes up the elder’s external signature against the inner experience of being wise.</w:t>
      </w:r>
    </w:p>
    <w:p w14:paraId="1AC662D5" w14:textId="77777777" w:rsidR="0035712B" w:rsidRDefault="00000000">
      <w:bookmarkStart w:id="19" w:name="iv.-what-the-fault-line-sets-up"/>
      <w:r>
        <w:rPr>
          <w:noProof/>
        </w:rPr>
        <mc:AlternateContent>
          <mc:Choice Requires="wps">
            <w:drawing>
              <wp:inline distT="0" distB="0" distL="0" distR="0" wp14:anchorId="5B17C198" wp14:editId="396AD06A">
                <wp:extent cx="5943600" cy="19050"/>
                <wp:effectExtent l="0" t="0" r="0" b="0"/>
                <wp:docPr id="39" name="Rectangle 3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15A1B64" id="Rectangle 3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9"/>
    </w:p>
    <w:p w14:paraId="47CA56E7" w14:textId="77777777" w:rsidR="0035712B" w:rsidRDefault="00000000">
      <w:pPr>
        <w:pStyle w:val="Heading4"/>
      </w:pPr>
      <w:r>
        <w:t>Thinker &amp; source catalogue — additions from this dive</w:t>
      </w:r>
    </w:p>
    <w:p w14:paraId="3874A75F" w14:textId="77777777" w:rsidR="0035712B" w:rsidRDefault="00000000">
      <w:pPr>
        <w:pStyle w:val="FirstParagraph"/>
      </w:pPr>
      <w:r>
        <w:rPr>
          <w:i/>
          <w:iCs/>
        </w:rPr>
        <w:t>(cross-referenced; format carried through the master catalogue)</w:t>
      </w:r>
    </w:p>
    <w:p w14:paraId="6E45BDFA" w14:textId="77777777" w:rsidR="0035712B" w:rsidRDefault="00000000">
      <w:pPr>
        <w:pStyle w:val="Compact"/>
        <w:numPr>
          <w:ilvl w:val="0"/>
          <w:numId w:val="21"/>
        </w:numPr>
      </w:pPr>
      <w:r>
        <w:rPr>
          <w:b/>
          <w:bCs/>
        </w:rPr>
        <w:t>Aristotle</w:t>
      </w:r>
      <w:r>
        <w:t xml:space="preserve"> — </w:t>
      </w:r>
      <w:r>
        <w:rPr>
          <w:i/>
          <w:iCs/>
        </w:rPr>
        <w:t>Nicomachean Ethics</w:t>
      </w:r>
      <w:r>
        <w:t xml:space="preserve"> VI. The </w:t>
      </w:r>
      <w:r>
        <w:rPr>
          <w:i/>
          <w:iCs/>
        </w:rPr>
        <w:t>sophia</w:t>
      </w:r>
      <w:r>
        <w:t>/</w:t>
      </w:r>
      <w:r>
        <w:rPr>
          <w:i/>
          <w:iCs/>
        </w:rPr>
        <w:t>phronesis</w:t>
      </w:r>
      <w:r>
        <w:t xml:space="preserve"> distinction; the </w:t>
      </w:r>
      <w:r>
        <w:rPr>
          <w:i/>
          <w:iCs/>
        </w:rPr>
        <w:t>phronimos</w:t>
      </w:r>
      <w:r>
        <w:t xml:space="preserve"> as ethical standard; the dependence of practical wisdom on formed character. </w:t>
      </w:r>
      <w:r>
        <w:rPr>
          <w:i/>
          <w:iCs/>
        </w:rPr>
        <w:t>Ethics</w:t>
      </w:r>
      <w:r>
        <w:t xml:space="preserve"> runs into </w:t>
      </w:r>
      <w:r>
        <w:rPr>
          <w:i/>
          <w:iCs/>
        </w:rPr>
        <w:t>Politics</w:t>
      </w:r>
      <w:r>
        <w:t xml:space="preserve"> — phronesis is already social. </w:t>
      </w:r>
      <w:r>
        <w:rPr>
          <w:i/>
          <w:iCs/>
        </w:rPr>
        <w:t>Cross-ref: Dive 2 Stoa; Live movement; the dual-scale axis.</w:t>
      </w:r>
    </w:p>
    <w:p w14:paraId="04961131" w14:textId="77777777" w:rsidR="0035712B" w:rsidRDefault="00000000">
      <w:pPr>
        <w:pStyle w:val="Compact"/>
        <w:numPr>
          <w:ilvl w:val="0"/>
          <w:numId w:val="22"/>
        </w:numPr>
      </w:pPr>
      <w:r>
        <w:rPr>
          <w:b/>
          <w:bCs/>
        </w:rPr>
        <w:t>Plato / Socrates</w:t>
      </w:r>
      <w:r>
        <w:t xml:space="preserve"> — </w:t>
      </w:r>
      <w:r>
        <w:rPr>
          <w:i/>
          <w:iCs/>
        </w:rPr>
        <w:t>Meno</w:t>
      </w:r>
      <w:r>
        <w:t>. The priority of the definition; teachability of virtue; recollection (</w:t>
      </w:r>
      <w:r>
        <w:rPr>
          <w:i/>
          <w:iCs/>
        </w:rPr>
        <w:t>anamnesis</w:t>
      </w:r>
      <w:r>
        <w:t xml:space="preserve">); the aporetic close and divine dispensation; the sons of the virtuous as evidence of non-teachability. </w:t>
      </w:r>
      <w:r>
        <w:rPr>
          <w:i/>
          <w:iCs/>
        </w:rPr>
        <w:t>Cross-ref: the formation resolution; Dive 2 §2.5 falsifiability.</w:t>
      </w:r>
    </w:p>
    <w:p w14:paraId="0C1E3189" w14:textId="77777777" w:rsidR="0035712B" w:rsidRDefault="00000000">
      <w:pPr>
        <w:pStyle w:val="Compact"/>
        <w:numPr>
          <w:ilvl w:val="0"/>
          <w:numId w:val="23"/>
        </w:numPr>
      </w:pPr>
      <w:r>
        <w:rPr>
          <w:b/>
          <w:bCs/>
        </w:rPr>
        <w:t>The elder archetype</w:t>
      </w:r>
      <w:r>
        <w:t xml:space="preserve"> — cross-tradition (</w:t>
      </w:r>
      <w:r>
        <w:rPr>
          <w:i/>
          <w:iCs/>
        </w:rPr>
        <w:t>zaqen</w:t>
      </w:r>
      <w:r>
        <w:t xml:space="preserve">, </w:t>
      </w:r>
      <w:r>
        <w:rPr>
          <w:i/>
          <w:iCs/>
        </w:rPr>
        <w:t>presbyteros</w:t>
      </w:r>
      <w:r>
        <w:t xml:space="preserve">, the matured </w:t>
      </w:r>
      <w:r>
        <w:rPr>
          <w:i/>
          <w:iCs/>
        </w:rPr>
        <w:t>junzi</w:t>
      </w:r>
      <w:r>
        <w:t xml:space="preserve">, </w:t>
      </w:r>
      <w:r>
        <w:rPr>
          <w:i/>
          <w:iCs/>
        </w:rPr>
        <w:t>abba</w:t>
      </w:r>
      <w:r>
        <w:t>/</w:t>
      </w:r>
      <w:r>
        <w:rPr>
          <w:i/>
          <w:iCs/>
        </w:rPr>
        <w:t>amma</w:t>
      </w:r>
      <w:r>
        <w:t xml:space="preserve">, </w:t>
      </w:r>
      <w:r>
        <w:rPr>
          <w:i/>
          <w:iCs/>
        </w:rPr>
        <w:t>staretz</w:t>
      </w:r>
      <w:r>
        <w:t xml:space="preserve">, guru, indigenous elder). Wisdom as the fruit of a life; recognized, not credentialed. </w:t>
      </w:r>
      <w:r>
        <w:rPr>
          <w:i/>
          <w:iCs/>
        </w:rPr>
        <w:t>Cross-ref: Dive 4 external signature.</w:t>
      </w:r>
    </w:p>
    <w:p w14:paraId="7D5F191A" w14:textId="77777777" w:rsidR="0035712B" w:rsidRDefault="00000000">
      <w:bookmarkStart w:id="20" w:name="Xf9ae88e312d809fed284898383e390faf716b10"/>
      <w:r>
        <w:rPr>
          <w:noProof/>
        </w:rPr>
        <mc:AlternateContent>
          <mc:Choice Requires="wps">
            <w:drawing>
              <wp:inline distT="0" distB="0" distL="0" distR="0" wp14:anchorId="51CA576F" wp14:editId="5A8930DD">
                <wp:extent cx="5943600" cy="19050"/>
                <wp:effectExtent l="0" t="0" r="0" b="0"/>
                <wp:docPr id="41" name="Rectangle 4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7097D6E" id="Rectangle 4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0"/>
    </w:p>
    <w:p w14:paraId="4452ED76" w14:textId="77777777" w:rsidR="0035712B" w:rsidRDefault="00000000">
      <w:pPr>
        <w:pStyle w:val="Heading4"/>
      </w:pPr>
      <w:r>
        <w:lastRenderedPageBreak/>
        <w:t>Open threads carried forward</w:t>
      </w:r>
    </w:p>
    <w:p w14:paraId="3C6C9AD0" w14:textId="77777777" w:rsidR="0035712B" w:rsidRDefault="00000000">
      <w:pPr>
        <w:pStyle w:val="Compact"/>
        <w:numPr>
          <w:ilvl w:val="0"/>
          <w:numId w:val="24"/>
        </w:numPr>
      </w:pPr>
      <w:r>
        <w:t xml:space="preserve">The </w:t>
      </w:r>
      <w:r>
        <w:rPr>
          <w:b/>
          <w:bCs/>
        </w:rPr>
        <w:t>formation resolution</w:t>
      </w:r>
      <w:r>
        <w:t xml:space="preserve"> of the </w:t>
      </w:r>
      <w:r>
        <w:rPr>
          <w:i/>
          <w:iCs/>
        </w:rPr>
        <w:t>Meno</w:t>
      </w:r>
      <w:r>
        <w:t xml:space="preserve"> paradox (§1.8, §1.10) is the conceptual spine that connects all three movements: wisdom is grown, not installed, at every scale. Candidate for a load-bearing early passage in the book.</w:t>
      </w:r>
    </w:p>
    <w:p w14:paraId="2D7BFA53" w14:textId="77777777" w:rsidR="0035712B" w:rsidRDefault="00000000">
      <w:pPr>
        <w:pStyle w:val="Compact"/>
        <w:numPr>
          <w:ilvl w:val="0"/>
          <w:numId w:val="25"/>
        </w:numPr>
      </w:pPr>
      <w:r>
        <w:t xml:space="preserve">The </w:t>
      </w:r>
      <w:r>
        <w:rPr>
          <w:b/>
          <w:bCs/>
        </w:rPr>
        <w:t>dual reading</w:t>
      </w:r>
      <w:r>
        <w:t xml:space="preserve"> (§1.11) is sanctioned (precedent: TMM’s two-part structure) but deliberately held light here; each later dive decides for itself how heavily to read at the social scale. The import rule stands: structure transfers, cases stay in their home texts.</w:t>
      </w:r>
    </w:p>
    <w:p w14:paraId="083F170D" w14:textId="77777777" w:rsidR="0035712B" w:rsidRDefault="00000000">
      <w:pPr>
        <w:pStyle w:val="Compact"/>
        <w:numPr>
          <w:ilvl w:val="0"/>
          <w:numId w:val="26"/>
        </w:numPr>
      </w:pPr>
      <w:r>
        <w:rPr>
          <w:b/>
          <w:bCs/>
        </w:rPr>
        <w:t>Recognition vs. credential</w:t>
      </w:r>
      <w:r>
        <w:t xml:space="preserve"> (§1.10) is a sharp, usable contrast and a likely hinge for Dive 4.</w:t>
      </w:r>
    </w:p>
    <w:p w14:paraId="7763F97A" w14:textId="77777777" w:rsidR="0035712B" w:rsidRDefault="00000000">
      <w:pPr>
        <w:pStyle w:val="Compact"/>
        <w:numPr>
          <w:ilvl w:val="0"/>
          <w:numId w:val="27"/>
        </w:numPr>
      </w:pPr>
      <w:r>
        <w:t xml:space="preserve">No </w:t>
      </w:r>
      <w:r>
        <w:rPr>
          <w:rStyle w:val="VerbatimChar"/>
        </w:rPr>
        <w:t>[CONTESTED]</w:t>
      </w:r>
      <w:r>
        <w:t>-grade empirical weight in this dive; it is textual and definitional. Empirical pressure begins in Dive 3.</w:t>
      </w:r>
    </w:p>
    <w:p w14:paraId="5166C085" w14:textId="77777777" w:rsidR="0035712B" w:rsidRDefault="00000000">
      <w:bookmarkStart w:id="21" w:name="dive-1-the-definitional-fault-line"/>
      <w:bookmarkStart w:id="22" w:name="open-threads-carried-forward"/>
      <w:r>
        <w:rPr>
          <w:noProof/>
        </w:rPr>
        <mc:AlternateContent>
          <mc:Choice Requires="wps">
            <w:drawing>
              <wp:inline distT="0" distB="0" distL="0" distR="0" wp14:anchorId="5C246B92" wp14:editId="7C3F9F58">
                <wp:extent cx="5943600" cy="19050"/>
                <wp:effectExtent l="0" t="0" r="0" b="0"/>
                <wp:docPr id="43" name="Rectangle 4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E436B57" id="Rectangle 4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1"/>
      <w:bookmarkEnd w:id="22"/>
    </w:p>
    <w:p w14:paraId="6DF48A40" w14:textId="77777777" w:rsidR="0035712B" w:rsidRDefault="00000000">
      <w:pPr>
        <w:pStyle w:val="Heading3"/>
      </w:pPr>
      <w:r>
        <w:t>Dive 2 — The Traditions and Their Grounds</w:t>
      </w:r>
    </w:p>
    <w:p w14:paraId="5968B495" w14:textId="77777777" w:rsidR="0035712B" w:rsidRDefault="00000000">
      <w:pPr>
        <w:pStyle w:val="Heading4"/>
      </w:pPr>
      <w:r>
        <w:t>The governing question of this dive</w:t>
      </w:r>
    </w:p>
    <w:p w14:paraId="20E49139" w14:textId="77777777" w:rsidR="0035712B" w:rsidRDefault="00000000">
      <w:pPr>
        <w:pStyle w:val="FirstParagraph"/>
      </w:pPr>
      <w:r>
        <w:rPr>
          <w:b/>
          <w:bCs/>
        </w:rPr>
        <w:t>2.1</w:t>
      </w:r>
      <w:r>
        <w:t xml:space="preserve"> </w:t>
      </w:r>
      <w:r>
        <w:rPr>
          <w:rStyle w:val="VerbatimChar"/>
        </w:rPr>
        <w:t>[SYNTH]</w:t>
      </w:r>
      <w:r>
        <w:t xml:space="preserve"> Dive 1 separated the two faces of wisdom: </w:t>
      </w:r>
      <w:r>
        <w:rPr>
          <w:i/>
          <w:iCs/>
        </w:rPr>
        <w:t>sophia</w:t>
      </w:r>
      <w:r>
        <w:t xml:space="preserve">, knowledge of first things, and </w:t>
      </w:r>
      <w:r>
        <w:rPr>
          <w:i/>
          <w:iCs/>
        </w:rPr>
        <w:t>phronesis</w:t>
      </w:r>
      <w:r>
        <w:t xml:space="preserve">, the trained capacity to deliberate well about how to live. That split is internal to a single Greek inheritance. The question this dive opens is prior and wider: when a tradition says </w:t>
      </w:r>
      <w:r>
        <w:rPr>
          <w:i/>
          <w:iCs/>
        </w:rPr>
        <w:t>wisdom</w:t>
      </w:r>
      <w:r>
        <w:t xml:space="preserve">, </w:t>
      </w:r>
      <w:r>
        <w:rPr>
          <w:b/>
          <w:bCs/>
        </w:rPr>
        <w:t>what does it ground the word in?</w:t>
      </w:r>
      <w:r>
        <w:t xml:space="preserve"> Not what wisdom does, not how it feels from inside, but what it finally rests on. This is the question on which the convergence-with-divergence hypothesis stands or falls, so the discipline here is to present each ground at full strength and resist, for now, the pull to rank them.</w:t>
      </w:r>
    </w:p>
    <w:p w14:paraId="7BA3EA0E" w14:textId="77777777" w:rsidR="0035712B" w:rsidRDefault="00000000">
      <w:pPr>
        <w:pStyle w:val="BodyText"/>
      </w:pPr>
      <w:r>
        <w:rPr>
          <w:b/>
          <w:bCs/>
        </w:rPr>
        <w:t>2.2</w:t>
      </w:r>
      <w:r>
        <w:t xml:space="preserve"> </w:t>
      </w:r>
      <w:r>
        <w:rPr>
          <w:rStyle w:val="VerbatimChar"/>
        </w:rPr>
        <w:t>[SYNTH]</w:t>
      </w:r>
      <w:r>
        <w:t xml:space="preserve"> A note of integrity before the survey. One of the grounds below — wisdom as personal, incarnate, the Logos — is the author’s own. The compendium’s worth depends on that ground being set out at exactly the same strength as the others, neither softened to seem modest nor privileged to seem true. A survey that already knows the answer is not a survey. Where the material pushes back against tidy agreement, that pushback is recorded as a finding, not smoothed over.</w:t>
      </w:r>
    </w:p>
    <w:p w14:paraId="5A571DAF" w14:textId="77777777" w:rsidR="0035712B" w:rsidRDefault="00000000">
      <w:bookmarkStart w:id="23" w:name="the-governing-question-of-this-dive-1"/>
      <w:r>
        <w:rPr>
          <w:noProof/>
        </w:rPr>
        <mc:AlternateContent>
          <mc:Choice Requires="wps">
            <w:drawing>
              <wp:inline distT="0" distB="0" distL="0" distR="0" wp14:anchorId="2FD0F4F8" wp14:editId="7E52ADA0">
                <wp:extent cx="5943600" cy="19050"/>
                <wp:effectExtent l="0" t="0" r="0" b="0"/>
                <wp:docPr id="45" name="Rectangle 4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5627271" id="Rectangle 4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3"/>
    </w:p>
    <w:p w14:paraId="5B1AB37D" w14:textId="77777777" w:rsidR="0035712B" w:rsidRDefault="00000000">
      <w:pPr>
        <w:pStyle w:val="Heading4"/>
      </w:pPr>
      <w:r>
        <w:t xml:space="preserve">I. Hebrew </w:t>
      </w:r>
      <w:r>
        <w:rPr>
          <w:iCs/>
        </w:rPr>
        <w:t>chokmah</w:t>
      </w:r>
      <w:r>
        <w:t xml:space="preserve"> — wisdom grounded in a covenantal God</w:t>
      </w:r>
    </w:p>
    <w:p w14:paraId="2A64B859" w14:textId="77777777" w:rsidR="0035712B" w:rsidRDefault="00000000">
      <w:pPr>
        <w:pStyle w:val="FirstParagraph"/>
      </w:pPr>
      <w:r>
        <w:rPr>
          <w:b/>
          <w:bCs/>
        </w:rPr>
        <w:t>2.3</w:t>
      </w:r>
      <w:r>
        <w:t xml:space="preserve"> </w:t>
      </w:r>
      <w:r>
        <w:rPr>
          <w:rStyle w:val="VerbatimChar"/>
        </w:rPr>
        <w:t>[TEXT]</w:t>
      </w:r>
      <w:r>
        <w:t xml:space="preserve"> The Hebrew wisdom literature does not begin with a definition; it begins with a posture. </w:t>
      </w:r>
      <w:r>
        <w:rPr>
          <w:i/>
          <w:iCs/>
        </w:rPr>
        <w:t>“The fear of the LORD is the beginning of wisdom”</w:t>
      </w:r>
      <w:r>
        <w:t xml:space="preserve"> (Proverbs 9:10; cf. 1:7). </w:t>
      </w:r>
      <w:r>
        <w:rPr>
          <w:i/>
          <w:iCs/>
        </w:rPr>
        <w:t>Chokmah</w:t>
      </w:r>
      <w:r>
        <w:t xml:space="preserve"> is practical and craft-rooted — the same word covers the skill of the artisan and the discernment of the ruler — but Proverbs subordinates all of it to a relation: wisdom is not a freestanding human achievement but the fruit of standing rightly before God. </w:t>
      </w:r>
      <w:r>
        <w:rPr>
          <w:rStyle w:val="VerbatimChar"/>
        </w:rPr>
        <w:t>[TRAD]</w:t>
      </w:r>
      <w:r>
        <w:t xml:space="preserve"> On its own terms, the ground is not reason and not nature but a person who is feared, obeyed, and trusted.</w:t>
      </w:r>
    </w:p>
    <w:p w14:paraId="7501046C" w14:textId="77777777" w:rsidR="0035712B" w:rsidRDefault="00000000">
      <w:pPr>
        <w:pStyle w:val="BodyText"/>
      </w:pPr>
      <w:r>
        <w:rPr>
          <w:b/>
          <w:bCs/>
        </w:rPr>
        <w:t>2.4</w:t>
      </w:r>
      <w:r>
        <w:t xml:space="preserve"> </w:t>
      </w:r>
      <w:r>
        <w:rPr>
          <w:rStyle w:val="VerbatimChar"/>
        </w:rPr>
        <w:t>[TEXT]</w:t>
      </w:r>
      <w:r>
        <w:t xml:space="preserve"> Proverbs then does something the Greek tradition never quite does: it </w:t>
      </w:r>
      <w:r>
        <w:rPr>
          <w:i/>
          <w:iCs/>
        </w:rPr>
        <w:t>personifies</w:t>
      </w:r>
      <w:r>
        <w:t xml:space="preserve"> wisdom. In chapter 8, Wisdom (Hokmah) speaks in the first person and claims </w:t>
      </w:r>
      <w:r>
        <w:lastRenderedPageBreak/>
        <w:t xml:space="preserve">to have been present before creation — </w:t>
      </w:r>
      <w:r>
        <w:rPr>
          <w:i/>
          <w:iCs/>
        </w:rPr>
        <w:t>“The LORD brought me forth as the first of his works”</w:t>
      </w:r>
      <w:r>
        <w:t xml:space="preserve"> (8:22) — a master craftsman at God’s side. </w:t>
      </w:r>
      <w:r>
        <w:rPr>
          <w:rStyle w:val="VerbatimChar"/>
        </w:rPr>
        <w:t>[SCHOLAR]</w:t>
      </w:r>
      <w:r>
        <w:t xml:space="preserve"> This figure, rendered </w:t>
      </w:r>
      <w:r>
        <w:rPr>
          <w:i/>
          <w:iCs/>
        </w:rPr>
        <w:t>Sophia</w:t>
      </w:r>
      <w:r>
        <w:t xml:space="preserve"> in the Greek of the Septuagint and developed further in the deuterocanonical Wisdom of Solomon, becomes the textual bridge the early Christian writers will walk across. The personification matters: wisdom here is already tending toward someone, not something.</w:t>
      </w:r>
    </w:p>
    <w:p w14:paraId="4313981F" w14:textId="77777777" w:rsidR="0035712B" w:rsidRDefault="00000000">
      <w:pPr>
        <w:pStyle w:val="BodyText"/>
      </w:pPr>
      <w:r>
        <w:rPr>
          <w:b/>
          <w:bCs/>
        </w:rPr>
        <w:t>2.5</w:t>
      </w:r>
      <w:r>
        <w:t xml:space="preserve"> </w:t>
      </w:r>
      <w:r>
        <w:rPr>
          <w:rStyle w:val="VerbatimChar"/>
        </w:rPr>
        <w:t>[TEXT]</w:t>
      </w:r>
      <w:r>
        <w:t xml:space="preserve"> The canon then turns the knife on itself. Ecclesiastes (Qoheleth) holds wisdom up against mortality and finds it cannot purchase what it promises: </w:t>
      </w:r>
      <w:r>
        <w:rPr>
          <w:i/>
          <w:iCs/>
        </w:rPr>
        <w:t>“in much wisdom is much grief”</w:t>
      </w:r>
      <w:r>
        <w:t xml:space="preserve"> (1:18), and the wise man dies as the fool dies. The recurring word </w:t>
      </w:r>
      <w:r>
        <w:rPr>
          <w:i/>
          <w:iCs/>
        </w:rPr>
        <w:t>hevel</w:t>
      </w:r>
      <w:r>
        <w:t xml:space="preserve"> — vapor, breath, the thing you cannot grasp — names the limit. </w:t>
      </w:r>
      <w:r>
        <w:rPr>
          <w:rStyle w:val="VerbatimChar"/>
        </w:rPr>
        <w:t>[SYNTH]</w:t>
      </w:r>
      <w:r>
        <w:t xml:space="preserve"> This is the tradition installing its own falsifiability clause: it refuses to let </w:t>
      </w:r>
      <w:r>
        <w:rPr>
          <w:i/>
          <w:iCs/>
        </w:rPr>
        <w:t>chokmah</w:t>
      </w:r>
      <w:r>
        <w:t xml:space="preserve"> harden into a technique that masters life. Wisdom that does not know its own limit is, by this book’s standard, not yet wisdom.</w:t>
      </w:r>
    </w:p>
    <w:p w14:paraId="61BFC4E3" w14:textId="77777777" w:rsidR="0035712B" w:rsidRDefault="00000000">
      <w:pPr>
        <w:pStyle w:val="BodyText"/>
      </w:pPr>
      <w:r>
        <w:rPr>
          <w:b/>
          <w:bCs/>
        </w:rPr>
        <w:t>2.6</w:t>
      </w:r>
      <w:r>
        <w:t xml:space="preserve"> </w:t>
      </w:r>
      <w:r>
        <w:rPr>
          <w:rStyle w:val="VerbatimChar"/>
        </w:rPr>
        <w:t>[TEXT]</w:t>
      </w:r>
      <w:r>
        <w:t xml:space="preserve"> Job pushes to the edge. The wisdom hymn asks </w:t>
      </w:r>
      <w:r>
        <w:rPr>
          <w:i/>
          <w:iCs/>
        </w:rPr>
        <w:t>“But where shall wisdom be found?”</w:t>
      </w:r>
      <w:r>
        <w:t xml:space="preserve"> (28:12) and answers that no living thing knows the way to it; it is hidden with God. Then the whirlwind speeches (chapters 38–41) deliver God’s reply — which is not an explanation but a manifestation. </w:t>
      </w:r>
      <w:r>
        <w:rPr>
          <w:rStyle w:val="VerbatimChar"/>
        </w:rPr>
        <w:t>[SYNTH]</w:t>
      </w:r>
      <w:r>
        <w:t xml:space="preserve"> Job’s resolution is the deepest move in the Hebrew ground: the wise response to suffering is not an account of why, but a re-grounding in the One who exceeds the account. Wisdom terminates in encounter, not in answer.</w:t>
      </w:r>
    </w:p>
    <w:p w14:paraId="14F11A53" w14:textId="77777777" w:rsidR="0035712B" w:rsidRDefault="00000000">
      <w:bookmarkStart w:id="24" w:name="Xb6c97ff1bd4e85d6a023b599cbc972ba3d53bc6"/>
      <w:r>
        <w:rPr>
          <w:noProof/>
        </w:rPr>
        <mc:AlternateContent>
          <mc:Choice Requires="wps">
            <w:drawing>
              <wp:inline distT="0" distB="0" distL="0" distR="0" wp14:anchorId="44DBC3AB" wp14:editId="3DEE4A38">
                <wp:extent cx="5943600" cy="19050"/>
                <wp:effectExtent l="0" t="0" r="0" b="0"/>
                <wp:docPr id="47" name="Rectangle 4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2778E94" id="Rectangle 4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4"/>
    </w:p>
    <w:p w14:paraId="008B9E2D" w14:textId="77777777" w:rsidR="0035712B" w:rsidRDefault="00000000">
      <w:pPr>
        <w:pStyle w:val="Heading4"/>
      </w:pPr>
      <w:r>
        <w:t>II. The Christian synthesis — wisdom as a person, incarnate</w:t>
      </w:r>
    </w:p>
    <w:p w14:paraId="073FC46C" w14:textId="77777777" w:rsidR="0035712B" w:rsidRDefault="00000000">
      <w:pPr>
        <w:pStyle w:val="FirstParagraph"/>
      </w:pPr>
      <w:r>
        <w:rPr>
          <w:b/>
          <w:bCs/>
        </w:rPr>
        <w:t>2.7</w:t>
      </w:r>
      <w:r>
        <w:t xml:space="preserve"> </w:t>
      </w:r>
      <w:r>
        <w:rPr>
          <w:rStyle w:val="VerbatimChar"/>
        </w:rPr>
        <w:t>[TEXT]</w:t>
      </w:r>
      <w:r>
        <w:t xml:space="preserve"> Christianity makes the boldest grounding claim in the survey: wisdom is not a quality, a discipline, or a principle, but a person. Paul names </w:t>
      </w:r>
      <w:r>
        <w:rPr>
          <w:i/>
          <w:iCs/>
        </w:rPr>
        <w:t>“Christ the power of God and the wisdom of God”</w:t>
      </w:r>
      <w:r>
        <w:t xml:space="preserve"> (1 Corinthians 1:24), and locates </w:t>
      </w:r>
      <w:r>
        <w:rPr>
          <w:i/>
          <w:iCs/>
        </w:rPr>
        <w:t>“all the treasures of wisdom and knowledge”</w:t>
      </w:r>
      <w:r>
        <w:t xml:space="preserve"> as hidden in him (Colossians 2:3). The personified Sophia of Proverbs 8 is read forward and identified.</w:t>
      </w:r>
    </w:p>
    <w:p w14:paraId="345F0CD2" w14:textId="77777777" w:rsidR="0035712B" w:rsidRDefault="00000000">
      <w:pPr>
        <w:pStyle w:val="BodyText"/>
      </w:pPr>
      <w:r>
        <w:rPr>
          <w:b/>
          <w:bCs/>
        </w:rPr>
        <w:t>2.8</w:t>
      </w:r>
      <w:r>
        <w:t xml:space="preserve"> </w:t>
      </w:r>
      <w:r>
        <w:rPr>
          <w:rStyle w:val="VerbatimChar"/>
        </w:rPr>
        <w:t>[TEXT]</w:t>
      </w:r>
      <w:r>
        <w:t xml:space="preserve"> The Johannine prologue performs the synthesis at the level of vocabulary. </w:t>
      </w:r>
      <w:r>
        <w:rPr>
          <w:i/>
          <w:iCs/>
        </w:rPr>
        <w:t>“In the beginning was the Logos… and the Logos was God… and the Logos became flesh”</w:t>
      </w:r>
      <w:r>
        <w:t xml:space="preserve"> (John 1:1, 14). </w:t>
      </w:r>
      <w:r>
        <w:rPr>
          <w:rStyle w:val="VerbatimChar"/>
        </w:rPr>
        <w:t>[SYNTH]</w:t>
      </w:r>
      <w:r>
        <w:t xml:space="preserve"> The Greek philosophical </w:t>
      </w:r>
      <w:r>
        <w:rPr>
          <w:i/>
          <w:iCs/>
        </w:rPr>
        <w:t>Logos</w:t>
      </w:r>
      <w:r>
        <w:t xml:space="preserve"> — the rational order of the cosmos — is seized and made personal, then made incarnate. This is the author’s own ground (John 14:6, 8:12, 1:4), and on its own terms the claim is precise: wisdom can be </w:t>
      </w:r>
      <w:r>
        <w:rPr>
          <w:i/>
          <w:iCs/>
        </w:rPr>
        <w:t>encountered</w:t>
      </w:r>
      <w:r>
        <w:t xml:space="preserve">, because Wisdom is someone who took on flesh, died, and rose. </w:t>
      </w:r>
      <w:r>
        <w:rPr>
          <w:rStyle w:val="VerbatimChar"/>
        </w:rPr>
        <w:t>[TRAD]</w:t>
      </w:r>
      <w:r>
        <w:t xml:space="preserve"> The ground is therefore not cosmic reason but a particular person — and crucially, one who can be in relation with you.</w:t>
      </w:r>
    </w:p>
    <w:p w14:paraId="3D7BB25D" w14:textId="77777777" w:rsidR="0035712B" w:rsidRDefault="00000000">
      <w:pPr>
        <w:pStyle w:val="BodyText"/>
      </w:pPr>
      <w:r>
        <w:rPr>
          <w:b/>
          <w:bCs/>
        </w:rPr>
        <w:t>2.9</w:t>
      </w:r>
      <w:r>
        <w:t xml:space="preserve"> </w:t>
      </w:r>
      <w:r>
        <w:rPr>
          <w:rStyle w:val="VerbatimChar"/>
        </w:rPr>
        <w:t>[SYNTH]</w:t>
      </w:r>
      <w:r>
        <w:t xml:space="preserve"> The sharpness of this ground is easy to miss because it shares its central word with the Stoics (II below). Hold the difference for §2.16; it is the hinge of the whole dive.</w:t>
      </w:r>
    </w:p>
    <w:p w14:paraId="4D76625A" w14:textId="77777777" w:rsidR="0035712B" w:rsidRDefault="00000000">
      <w:bookmarkStart w:id="25" w:name="X7078ae9a273ff796c9ee61e8a6a1fbecd5e9b41"/>
      <w:r>
        <w:rPr>
          <w:noProof/>
        </w:rPr>
        <mc:AlternateContent>
          <mc:Choice Requires="wps">
            <w:drawing>
              <wp:inline distT="0" distB="0" distL="0" distR="0" wp14:anchorId="79A20AAD" wp14:editId="588081DD">
                <wp:extent cx="5943600" cy="19050"/>
                <wp:effectExtent l="0" t="0" r="0" b="0"/>
                <wp:docPr id="49" name="Rectangle 4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1C6D60C" id="Rectangle 4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5"/>
    </w:p>
    <w:p w14:paraId="51A800A5" w14:textId="77777777" w:rsidR="0035712B" w:rsidRDefault="00000000">
      <w:pPr>
        <w:pStyle w:val="Heading4"/>
      </w:pPr>
      <w:r>
        <w:t xml:space="preserve">III. Stoic </w:t>
      </w:r>
      <w:r>
        <w:rPr>
          <w:iCs/>
        </w:rPr>
        <w:t>sophia</w:t>
      </w:r>
      <w:r>
        <w:t xml:space="preserve"> — wisdom grounded in cosmic reason</w:t>
      </w:r>
    </w:p>
    <w:p w14:paraId="352D8DA3" w14:textId="77777777" w:rsidR="0035712B" w:rsidRDefault="00000000">
      <w:pPr>
        <w:pStyle w:val="FirstParagraph"/>
      </w:pPr>
      <w:r>
        <w:rPr>
          <w:b/>
          <w:bCs/>
        </w:rPr>
        <w:t>2.10</w:t>
      </w:r>
      <w:r>
        <w:t xml:space="preserve"> </w:t>
      </w:r>
      <w:r>
        <w:rPr>
          <w:rStyle w:val="VerbatimChar"/>
        </w:rPr>
        <w:t>[TRAD]</w:t>
      </w:r>
      <w:r>
        <w:t xml:space="preserve"> The Stoics define wisdom in the inherited formula — knowledge of things human and divine — and ground it in the </w:t>
      </w:r>
      <w:r>
        <w:rPr>
          <w:i/>
          <w:iCs/>
        </w:rPr>
        <w:t>Logos</w:t>
      </w:r>
      <w:r>
        <w:t xml:space="preserve">: an impersonal rational principle that </w:t>
      </w:r>
      <w:r>
        <w:lastRenderedPageBreak/>
        <w:t xml:space="preserve">pervades and orders the entire cosmos, identical with God, Nature, fate, and providence all at once. To be wise is to </w:t>
      </w:r>
      <w:r>
        <w:rPr>
          <w:i/>
          <w:iCs/>
        </w:rPr>
        <w:t>live according to nature</w:t>
      </w:r>
      <w:r>
        <w:t xml:space="preserve"> (</w:t>
      </w:r>
      <w:r>
        <w:rPr>
          <w:i/>
          <w:iCs/>
        </w:rPr>
        <w:t>kata physin</w:t>
      </w:r>
      <w:r>
        <w:t>), which means to bring one’s own reason into alignment with the universal reason that is already running everything.</w:t>
      </w:r>
    </w:p>
    <w:p w14:paraId="2F9F7BEF" w14:textId="77777777" w:rsidR="0035712B" w:rsidRDefault="00000000">
      <w:pPr>
        <w:pStyle w:val="BodyText"/>
      </w:pPr>
      <w:r>
        <w:rPr>
          <w:b/>
          <w:bCs/>
        </w:rPr>
        <w:t>2.11</w:t>
      </w:r>
      <w:r>
        <w:t xml:space="preserve"> </w:t>
      </w:r>
      <w:r>
        <w:rPr>
          <w:rStyle w:val="VerbatimChar"/>
        </w:rPr>
        <w:t>[TEXT]</w:t>
      </w:r>
      <w:r>
        <w:t xml:space="preserve"> Cleanthes’ </w:t>
      </w:r>
      <w:r>
        <w:rPr>
          <w:i/>
          <w:iCs/>
        </w:rPr>
        <w:t>Hymn to Zeus</w:t>
      </w:r>
      <w:r>
        <w:t xml:space="preserve"> is the devotional face of this: a near-prayer addressed to a principle. </w:t>
      </w:r>
      <w:r>
        <w:rPr>
          <w:rStyle w:val="VerbatimChar"/>
        </w:rPr>
        <w:t>[SCHOLAR]</w:t>
      </w:r>
      <w:r>
        <w:t xml:space="preserve"> But the Stoic ground is decisively </w:t>
      </w:r>
      <w:r>
        <w:rPr>
          <w:i/>
          <w:iCs/>
        </w:rPr>
        <w:t>impersonal</w:t>
      </w:r>
      <w:r>
        <w:t xml:space="preserve"> — the Logos is providential order, not a being who hears, chooses, or loves in the covenantal sense. </w:t>
      </w:r>
      <w:r>
        <w:rPr>
          <w:rStyle w:val="VerbatimChar"/>
        </w:rPr>
        <w:t>[TRAD]</w:t>
      </w:r>
      <w:r>
        <w:t xml:space="preserve"> The sage (</w:t>
      </w:r>
      <w:r>
        <w:rPr>
          <w:i/>
          <w:iCs/>
        </w:rPr>
        <w:t>sophos</w:t>
      </w:r>
      <w:r>
        <w:t>), the fully wise person, functions less as a description of anyone living than as an asymptote — a regulative ideal almost no one is held to have reached. Wisdom is real, fully specified, and effectively unattained: the target that orders the practice without ever being scored.</w:t>
      </w:r>
    </w:p>
    <w:p w14:paraId="146251E0" w14:textId="77777777" w:rsidR="0035712B" w:rsidRDefault="00000000">
      <w:bookmarkStart w:id="26" w:name="X0e03b9a1127c613373dcbd5d9c4271a3377b79b"/>
      <w:r>
        <w:rPr>
          <w:noProof/>
        </w:rPr>
        <mc:AlternateContent>
          <mc:Choice Requires="wps">
            <w:drawing>
              <wp:inline distT="0" distB="0" distL="0" distR="0" wp14:anchorId="5502CE3B" wp14:editId="67AE8A31">
                <wp:extent cx="5943600" cy="19050"/>
                <wp:effectExtent l="0" t="0" r="0" b="0"/>
                <wp:docPr id="51" name="Rectangle 5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E8D38CF" id="Rectangle 5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6"/>
    </w:p>
    <w:p w14:paraId="1AEBADE2" w14:textId="77777777" w:rsidR="0035712B" w:rsidRDefault="00000000">
      <w:pPr>
        <w:pStyle w:val="Heading4"/>
      </w:pPr>
      <w:r>
        <w:t xml:space="preserve">IV. Buddhist </w:t>
      </w:r>
      <w:r>
        <w:rPr>
          <w:iCs/>
        </w:rPr>
        <w:t>prajña</w:t>
      </w:r>
      <w:r>
        <w:t xml:space="preserve"> — wisdom grounded in no ground</w:t>
      </w:r>
    </w:p>
    <w:p w14:paraId="5E7A70B8" w14:textId="77777777" w:rsidR="0035712B" w:rsidRDefault="00000000">
      <w:pPr>
        <w:pStyle w:val="FirstParagraph"/>
      </w:pPr>
      <w:r>
        <w:rPr>
          <w:b/>
          <w:bCs/>
        </w:rPr>
        <w:t>2.12</w:t>
      </w:r>
      <w:r>
        <w:t xml:space="preserve"> </w:t>
      </w:r>
      <w:r>
        <w:rPr>
          <w:rStyle w:val="VerbatimChar"/>
        </w:rPr>
        <w:t>[TRAD]</w:t>
      </w:r>
      <w:r>
        <w:t xml:space="preserve"> </w:t>
      </w:r>
      <w:r>
        <w:rPr>
          <w:i/>
          <w:iCs/>
        </w:rPr>
        <w:t>Prajña</w:t>
      </w:r>
      <w:r>
        <w:t xml:space="preserve"> is insight, and what it sees is structural: the three marks of existence — impermanence (</w:t>
      </w:r>
      <w:r>
        <w:rPr>
          <w:i/>
          <w:iCs/>
        </w:rPr>
        <w:t>anicca</w:t>
      </w:r>
      <w:r>
        <w:t>), unsatisfactoriness (</w:t>
      </w:r>
      <w:r>
        <w:rPr>
          <w:i/>
          <w:iCs/>
        </w:rPr>
        <w:t>dukkha</w:t>
      </w:r>
      <w:r>
        <w:t>), and non-self (</w:t>
      </w:r>
      <w:r>
        <w:rPr>
          <w:i/>
          <w:iCs/>
        </w:rPr>
        <w:t>anatta</w:t>
      </w:r>
      <w:r>
        <w:t>). It is never solitary; it is yoked to compassion (</w:t>
      </w:r>
      <w:r>
        <w:rPr>
          <w:i/>
          <w:iCs/>
        </w:rPr>
        <w:t>karuna</w:t>
      </w:r>
      <w:r>
        <w:t>), the two functioning as a single competence. To be wise is to see, all the way down, that nothing — including the self that wants to be wise — is fixed or self-standing.</w:t>
      </w:r>
    </w:p>
    <w:p w14:paraId="1A4336D6" w14:textId="77777777" w:rsidR="0035712B" w:rsidRDefault="00000000">
      <w:pPr>
        <w:pStyle w:val="BodyText"/>
      </w:pPr>
      <w:r>
        <w:rPr>
          <w:b/>
          <w:bCs/>
        </w:rPr>
        <w:t>2.13</w:t>
      </w:r>
      <w:r>
        <w:t xml:space="preserve"> </w:t>
      </w:r>
      <w:r>
        <w:rPr>
          <w:rStyle w:val="VerbatimChar"/>
        </w:rPr>
        <w:t>[TRAD]</w:t>
      </w:r>
      <w:r>
        <w:t xml:space="preserve"> In the Mahayana development, </w:t>
      </w:r>
      <w:r>
        <w:rPr>
          <w:i/>
          <w:iCs/>
        </w:rPr>
        <w:t>prajñaparamita</w:t>
      </w:r>
      <w:r>
        <w:t xml:space="preserve"> (the perfection of wisdom) is insight into </w:t>
      </w:r>
      <w:r>
        <w:rPr>
          <w:i/>
          <w:iCs/>
        </w:rPr>
        <w:t>śūnyatā</w:t>
      </w:r>
      <w:r>
        <w:t>, emptiness — the absence of inherent, independent existence in anything — held together with dependent origination (</w:t>
      </w:r>
      <w:r>
        <w:rPr>
          <w:i/>
          <w:iCs/>
        </w:rPr>
        <w:t>pratītyasamutpāda</w:t>
      </w:r>
      <w:r>
        <w:t xml:space="preserve">): all things arise in conditioned relation. </w:t>
      </w:r>
      <w:r>
        <w:rPr>
          <w:rStyle w:val="VerbatimChar"/>
        </w:rPr>
        <w:t>[SYNTH]</w:t>
      </w:r>
      <w:r>
        <w:t xml:space="preserve"> This is the survey’s most radical ground because it is, precisely, </w:t>
      </w:r>
      <w:r>
        <w:rPr>
          <w:i/>
          <w:iCs/>
        </w:rPr>
        <w:t>not a ground</w:t>
      </w:r>
      <w:r>
        <w:t xml:space="preserve"> in the sense the others mean. There is no transcendent reality wisdom rests on — not a God, not a cosmic reason, not even a substantial Way. The wise insight is that the demand for such a footing is itself the error. Where Job terminates in encounter with the One who exceeds, </w:t>
      </w:r>
      <w:r>
        <w:rPr>
          <w:i/>
          <w:iCs/>
        </w:rPr>
        <w:t>prajña</w:t>
      </w:r>
      <w:r>
        <w:t xml:space="preserve"> terminates in the dissolution of the one who was seeking a footing at all.</w:t>
      </w:r>
    </w:p>
    <w:p w14:paraId="1F9B6A1D" w14:textId="77777777" w:rsidR="0035712B" w:rsidRDefault="00000000">
      <w:bookmarkStart w:id="27" w:name="Xeaac893b500d2403416859eedb042951b81bdf0"/>
      <w:r>
        <w:rPr>
          <w:noProof/>
        </w:rPr>
        <mc:AlternateContent>
          <mc:Choice Requires="wps">
            <w:drawing>
              <wp:inline distT="0" distB="0" distL="0" distR="0" wp14:anchorId="2DF8750F" wp14:editId="2FAF9292">
                <wp:extent cx="5943600" cy="19050"/>
                <wp:effectExtent l="0" t="0" r="0" b="0"/>
                <wp:docPr id="53" name="Rectangle 5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EC3C602" id="Rectangle 5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7"/>
    </w:p>
    <w:p w14:paraId="2842A11F" w14:textId="77777777" w:rsidR="0035712B" w:rsidRDefault="00000000">
      <w:pPr>
        <w:pStyle w:val="Heading4"/>
      </w:pPr>
      <w:r>
        <w:t>V. Taoist wisdom — grounded in the ineffable Way</w:t>
      </w:r>
    </w:p>
    <w:p w14:paraId="1F2BD9C9" w14:textId="77777777" w:rsidR="0035712B" w:rsidRDefault="00000000">
      <w:pPr>
        <w:pStyle w:val="FirstParagraph"/>
      </w:pPr>
      <w:r>
        <w:rPr>
          <w:b/>
          <w:bCs/>
        </w:rPr>
        <w:t>2.14</w:t>
      </w:r>
      <w:r>
        <w:t xml:space="preserve"> </w:t>
      </w:r>
      <w:r>
        <w:rPr>
          <w:rStyle w:val="VerbatimChar"/>
        </w:rPr>
        <w:t>[TEXT]</w:t>
      </w:r>
      <w:r>
        <w:t xml:space="preserve"> The </w:t>
      </w:r>
      <w:r>
        <w:rPr>
          <w:i/>
          <w:iCs/>
        </w:rPr>
        <w:t>Tao Te Ching</w:t>
      </w:r>
      <w:r>
        <w:t xml:space="preserve"> opens by disqualifying its own subject: </w:t>
      </w:r>
      <w:r>
        <w:rPr>
          <w:i/>
          <w:iCs/>
        </w:rPr>
        <w:t>“The Tao that can be told is not the eternal Tao”</w:t>
      </w:r>
      <w:r>
        <w:t xml:space="preserve"> (ch. 1). The ground is the Tao — the generative, immanent Way that everything follows and nothing can name. </w:t>
      </w:r>
      <w:r>
        <w:rPr>
          <w:rStyle w:val="VerbatimChar"/>
        </w:rPr>
        <w:t>[TRAD]</w:t>
      </w:r>
      <w:r>
        <w:t xml:space="preserve"> Wisdom is </w:t>
      </w:r>
      <w:r>
        <w:rPr>
          <w:i/>
          <w:iCs/>
        </w:rPr>
        <w:t>wu wei</w:t>
      </w:r>
      <w:r>
        <w:t>: not inaction, but effortless, non-forcing action — alignment so complete with the grain of things that effort and resistance fall away. The sage does not master the Way; the sage stops obstructing it.</w:t>
      </w:r>
    </w:p>
    <w:p w14:paraId="704EBE59" w14:textId="77777777" w:rsidR="0035712B" w:rsidRDefault="00000000">
      <w:pPr>
        <w:pStyle w:val="BodyText"/>
      </w:pPr>
      <w:r>
        <w:rPr>
          <w:b/>
          <w:bCs/>
        </w:rPr>
        <w:t>2.15</w:t>
      </w:r>
      <w:r>
        <w:t xml:space="preserve"> </w:t>
      </w:r>
      <w:r>
        <w:rPr>
          <w:rStyle w:val="VerbatimChar"/>
        </w:rPr>
        <w:t>[SYNTH]</w:t>
      </w:r>
      <w:r>
        <w:t xml:space="preserve"> The Taoist ground sits oddly between the others. It is not personal (unlike the Hebrew/Christian God), not exactly rational order (the Stoic Logos is law-like; the Tao is more like a current), and not the emptiness of the Buddhist account (the Tao is generative, the mother of the ten thousand things, not a denial of inherent existence). It is its own thing: a ground that is real and pervasive but constitutively unspeakable.</w:t>
      </w:r>
    </w:p>
    <w:p w14:paraId="17E93D5E" w14:textId="77777777" w:rsidR="0035712B" w:rsidRDefault="00000000">
      <w:bookmarkStart w:id="28" w:name="X877458c74465f954e69174565b2ebeea94e0a1d"/>
      <w:r>
        <w:rPr>
          <w:noProof/>
        </w:rPr>
        <mc:AlternateContent>
          <mc:Choice Requires="wps">
            <w:drawing>
              <wp:inline distT="0" distB="0" distL="0" distR="0" wp14:anchorId="7D96C7DF" wp14:editId="1C7EB83D">
                <wp:extent cx="5943600" cy="19050"/>
                <wp:effectExtent l="0" t="0" r="0" b="0"/>
                <wp:docPr id="55" name="Rectangle 5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E9158F8" id="Rectangle 5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8"/>
    </w:p>
    <w:p w14:paraId="69E3FB50" w14:textId="77777777" w:rsidR="0035712B" w:rsidRDefault="00000000">
      <w:pPr>
        <w:pStyle w:val="Heading4"/>
      </w:pPr>
      <w:r>
        <w:lastRenderedPageBreak/>
        <w:t>VI. The convergence-with-divergence reading</w:t>
      </w:r>
    </w:p>
    <w:p w14:paraId="6A2D26CB" w14:textId="77777777" w:rsidR="0035712B" w:rsidRDefault="00000000">
      <w:pPr>
        <w:pStyle w:val="FirstParagraph"/>
      </w:pPr>
      <w:r>
        <w:rPr>
          <w:b/>
          <w:bCs/>
        </w:rPr>
        <w:t>2.16</w:t>
      </w:r>
      <w:r>
        <w:t xml:space="preserve"> </w:t>
      </w:r>
      <w:r>
        <w:rPr>
          <w:rStyle w:val="VerbatimChar"/>
        </w:rPr>
        <w:t>[HYP]</w:t>
      </w:r>
      <w:r>
        <w:t xml:space="preserve"> </w:t>
      </w:r>
      <w:r>
        <w:rPr>
          <w:b/>
          <w:bCs/>
        </w:rPr>
        <w:t>The hinge — one word, four grounds.</w:t>
      </w:r>
      <w:r>
        <w:t xml:space="preserve"> </w:t>
      </w:r>
      <w:r>
        <w:rPr>
          <w:i/>
          <w:iCs/>
        </w:rPr>
        <w:t>Logos</w:t>
      </w:r>
      <w:r>
        <w:t xml:space="preserve"> is the place to watch the whole structure. Heraclitus uses it for cosmic order; the Stoics make it the impersonal rational principle that </w:t>
      </w:r>
      <w:r>
        <w:rPr>
          <w:i/>
          <w:iCs/>
        </w:rPr>
        <w:t>is</w:t>
      </w:r>
      <w:r>
        <w:t xml:space="preserve"> God-Nature-fate; John’s prologue takes the very same word and personalizes it, then incarnates it — </w:t>
      </w:r>
      <w:r>
        <w:rPr>
          <w:i/>
          <w:iCs/>
        </w:rPr>
        <w:t>the Word became flesh</w:t>
      </w:r>
      <w:r>
        <w:t xml:space="preserve">. The same vocabulary carries the deepest possible disagreement about the ground: impersonal cosmic reason in the one case, a particular person who can be encountered in the other. </w:t>
      </w:r>
      <w:r>
        <w:rPr>
          <w:rStyle w:val="VerbatimChar"/>
        </w:rPr>
        <w:t>[SYNTH]</w:t>
      </w:r>
      <w:r>
        <w:t xml:space="preserve"> This is the cleanest evidence for the hypothesis: traditions can share not just a theme but the actual </w:t>
      </w:r>
      <w:r>
        <w:rPr>
          <w:i/>
          <w:iCs/>
        </w:rPr>
        <w:t>term</w:t>
      </w:r>
      <w:r>
        <w:t xml:space="preserve"> and still diverge totally at the foundation. Shared shape, opposite ground.</w:t>
      </w:r>
    </w:p>
    <w:p w14:paraId="613627D0" w14:textId="77777777" w:rsidR="0035712B" w:rsidRDefault="00000000">
      <w:pPr>
        <w:pStyle w:val="BodyText"/>
      </w:pPr>
      <w:r>
        <w:rPr>
          <w:b/>
          <w:bCs/>
        </w:rPr>
        <w:t>2.17</w:t>
      </w:r>
      <w:r>
        <w:t xml:space="preserve"> </w:t>
      </w:r>
      <w:r>
        <w:rPr>
          <w:rStyle w:val="VerbatimChar"/>
        </w:rPr>
        <w:t>[HYP]</w:t>
      </w:r>
      <w:r>
        <w:t xml:space="preserve"> </w:t>
      </w:r>
      <w:r>
        <w:rPr>
          <w:b/>
          <w:bCs/>
        </w:rPr>
        <w:t>The convergence is at the level of dimensions.</w:t>
      </w:r>
      <w:r>
        <w:t xml:space="preserve"> Across all five, recognizable family resemblances hold: humility before what exceeds the self; the demand for self-knowledge; the ordering or mastery of desire; an insistence on limit; and the refusal to let wisdom collapse into mere cleverness or information. A reader could draw real, livable counsel from any of them and find it rhyming with the others.</w:t>
      </w:r>
    </w:p>
    <w:p w14:paraId="75A2503E" w14:textId="77777777" w:rsidR="0035712B" w:rsidRDefault="00000000">
      <w:pPr>
        <w:pStyle w:val="BodyText"/>
      </w:pPr>
      <w:r>
        <w:rPr>
          <w:b/>
          <w:bCs/>
        </w:rPr>
        <w:t>2.18</w:t>
      </w:r>
      <w:r>
        <w:t xml:space="preserve"> </w:t>
      </w:r>
      <w:r>
        <w:rPr>
          <w:rStyle w:val="VerbatimChar"/>
        </w:rPr>
        <w:t>[HYP]</w:t>
      </w:r>
      <w:r>
        <w:t xml:space="preserve"> </w:t>
      </w:r>
      <w:r>
        <w:rPr>
          <w:b/>
          <w:bCs/>
        </w:rPr>
        <w:t>The divergence is at the ground, and it is not cosmetic.</w:t>
      </w:r>
      <w:r>
        <w:t xml:space="preserve"> Beneath the shared dimensions: a covenantal personal God (Hebrew); that God made personal and incarnate (Christian); impersonal cosmic reason (Stoic); no transcendent ground at all (Buddhist); an ineffable immanent Way (Taoist). These are not five dialects of one thing. They are answers to the same question that exclude one another.</w:t>
      </w:r>
    </w:p>
    <w:p w14:paraId="6EED5A20" w14:textId="77777777" w:rsidR="0035712B" w:rsidRDefault="00000000">
      <w:pPr>
        <w:pStyle w:val="BodyText"/>
      </w:pPr>
      <w:r>
        <w:rPr>
          <w:b/>
          <w:bCs/>
        </w:rPr>
        <w:t>2.19</w:t>
      </w:r>
      <w:r>
        <w:t xml:space="preserve"> </w:t>
      </w:r>
      <w:r>
        <w:rPr>
          <w:rStyle w:val="VerbatimChar"/>
        </w:rPr>
        <w:t>[SYNTH]</w:t>
      </w:r>
      <w:r>
        <w:t xml:space="preserve"> </w:t>
      </w:r>
      <w:r>
        <w:rPr>
          <w:b/>
          <w:bCs/>
        </w:rPr>
        <w:t>Where the material pushes back — recorded as a finding.</w:t>
      </w:r>
      <w:r>
        <w:t xml:space="preserve"> The convergence on “mastery of desire” is the weakest seam. The Stoic disciplines desire so reason can govern; the Christian reorders desire toward its true object; but the Buddhist diagnosis goes further in kind, not degree — craving (</w:t>
      </w:r>
      <w:r>
        <w:rPr>
          <w:i/>
          <w:iCs/>
        </w:rPr>
        <w:t>tanha</w:t>
      </w:r>
      <w:r>
        <w:t xml:space="preserve">) is not to be governed or redirected but extinguished, because the self that craves is itself the illusion. Calling this “convergence” flattens a real difference. The honest version of the hypothesis is narrower: the traditions converge on </w:t>
      </w:r>
      <w:r>
        <w:rPr>
          <w:i/>
          <w:iCs/>
        </w:rPr>
        <w:t>the centrality of the desire problem</w:t>
      </w:r>
      <w:r>
        <w:t xml:space="preserve"> while diverging on </w:t>
      </w:r>
      <w:r>
        <w:rPr>
          <w:i/>
          <w:iCs/>
        </w:rPr>
        <w:t>what the solution finally is</w:t>
      </w:r>
      <w:r>
        <w:t xml:space="preserve"> — which is just the convergence-at-dimensions / divergence-at-ground structure reappearing one level down. The hypothesis survives the pushback, but only by getting more precise. That is the result worth keeping.</w:t>
      </w:r>
    </w:p>
    <w:p w14:paraId="22A7645B" w14:textId="77777777" w:rsidR="0035712B" w:rsidRDefault="00000000">
      <w:bookmarkStart w:id="29" w:name="Xde14ead243e3d87e88a9fb14506e6c30a6840f7"/>
      <w:r>
        <w:rPr>
          <w:noProof/>
        </w:rPr>
        <mc:AlternateContent>
          <mc:Choice Requires="wps">
            <w:drawing>
              <wp:inline distT="0" distB="0" distL="0" distR="0" wp14:anchorId="446ECA29" wp14:editId="694E641A">
                <wp:extent cx="5943600" cy="19050"/>
                <wp:effectExtent l="0" t="0" r="0" b="0"/>
                <wp:docPr id="57" name="Rectangle 5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210F05F" id="Rectangle 5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29"/>
    </w:p>
    <w:p w14:paraId="0AC1ABBD" w14:textId="77777777" w:rsidR="0035712B" w:rsidRDefault="00000000">
      <w:pPr>
        <w:pStyle w:val="Heading4"/>
      </w:pPr>
      <w:r>
        <w:t>Thinker &amp; source catalogue — additions from this dive</w:t>
      </w:r>
    </w:p>
    <w:p w14:paraId="42E6195F" w14:textId="77777777" w:rsidR="0035712B" w:rsidRDefault="00000000">
      <w:pPr>
        <w:pStyle w:val="FirstParagraph"/>
      </w:pPr>
      <w:r>
        <w:rPr>
          <w:i/>
          <w:iCs/>
        </w:rPr>
        <w:t>(cross-referenced; format carried from the master catalogue)</w:t>
      </w:r>
    </w:p>
    <w:p w14:paraId="106835B2" w14:textId="77777777" w:rsidR="0035712B" w:rsidRDefault="00000000">
      <w:pPr>
        <w:pStyle w:val="Compact"/>
        <w:numPr>
          <w:ilvl w:val="0"/>
          <w:numId w:val="28"/>
        </w:numPr>
      </w:pPr>
      <w:r>
        <w:rPr>
          <w:b/>
          <w:bCs/>
        </w:rPr>
        <w:t>The Hebrew sages</w:t>
      </w:r>
      <w:r>
        <w:t xml:space="preserve"> — Proverbs, Ecclesiastes (Qoheleth), Job. Ground: covenantal God. Key moves: fear of the LORD as beginning; </w:t>
      </w:r>
      <w:r>
        <w:rPr>
          <w:i/>
          <w:iCs/>
        </w:rPr>
        <w:t>hevel</w:t>
      </w:r>
      <w:r>
        <w:t xml:space="preserve"> as limit; encounter, not explanation. </w:t>
      </w:r>
      <w:r>
        <w:rPr>
          <w:i/>
          <w:iCs/>
        </w:rPr>
        <w:t>Cross-ref: Dive 1 elder archetype.</w:t>
      </w:r>
    </w:p>
    <w:p w14:paraId="08E09B86" w14:textId="77777777" w:rsidR="0035712B" w:rsidRDefault="00000000">
      <w:pPr>
        <w:pStyle w:val="Compact"/>
        <w:numPr>
          <w:ilvl w:val="0"/>
          <w:numId w:val="29"/>
        </w:numPr>
      </w:pPr>
      <w:r>
        <w:rPr>
          <w:b/>
          <w:bCs/>
        </w:rPr>
        <w:t>John the Evangelist / Paul</w:t>
      </w:r>
      <w:r>
        <w:t xml:space="preserve"> — the Logos personalized and incarnate; Christ as the Wisdom of God. Ground: a person. </w:t>
      </w:r>
      <w:r>
        <w:rPr>
          <w:i/>
          <w:iCs/>
        </w:rPr>
        <w:t>Author’s own ground; cross-ref future Die-movement resurrection frame.</w:t>
      </w:r>
    </w:p>
    <w:p w14:paraId="2BBB1D73" w14:textId="77777777" w:rsidR="0035712B" w:rsidRDefault="00000000">
      <w:pPr>
        <w:pStyle w:val="Compact"/>
        <w:numPr>
          <w:ilvl w:val="0"/>
          <w:numId w:val="30"/>
        </w:numPr>
      </w:pPr>
      <w:r>
        <w:rPr>
          <w:b/>
          <w:bCs/>
        </w:rPr>
        <w:t>Cleanthes, Chrysippus (Stoa)</w:t>
      </w:r>
      <w:r>
        <w:t xml:space="preserve"> — Logos as impersonal cosmic reason; living </w:t>
      </w:r>
      <w:r>
        <w:rPr>
          <w:i/>
          <w:iCs/>
        </w:rPr>
        <w:t>kata physin</w:t>
      </w:r>
      <w:r>
        <w:t xml:space="preserve">; the sage as asymptote. </w:t>
      </w:r>
      <w:r>
        <w:rPr>
          <w:i/>
          <w:iCs/>
        </w:rPr>
        <w:t>Cross-ref: Live movement, Epictetus/Marcus/Seneca.</w:t>
      </w:r>
    </w:p>
    <w:p w14:paraId="4465A057" w14:textId="77777777" w:rsidR="0035712B" w:rsidRDefault="00000000">
      <w:pPr>
        <w:pStyle w:val="Compact"/>
        <w:numPr>
          <w:ilvl w:val="0"/>
          <w:numId w:val="31"/>
        </w:numPr>
      </w:pPr>
      <w:r>
        <w:rPr>
          <w:b/>
          <w:bCs/>
        </w:rPr>
        <w:lastRenderedPageBreak/>
        <w:t>The Prajñaparamita tradition</w:t>
      </w:r>
      <w:r>
        <w:t xml:space="preserve"> — </w:t>
      </w:r>
      <w:r>
        <w:rPr>
          <w:i/>
          <w:iCs/>
        </w:rPr>
        <w:t>prajña</w:t>
      </w:r>
      <w:r>
        <w:t xml:space="preserve">, </w:t>
      </w:r>
      <w:r>
        <w:rPr>
          <w:i/>
          <w:iCs/>
        </w:rPr>
        <w:t>śūnyatā</w:t>
      </w:r>
      <w:r>
        <w:t>, dependent origination; wisdom yoked to compassion. Ground: no transcendent ground.</w:t>
      </w:r>
    </w:p>
    <w:p w14:paraId="09C50219" w14:textId="77777777" w:rsidR="0035712B" w:rsidRDefault="00000000">
      <w:pPr>
        <w:pStyle w:val="Compact"/>
        <w:numPr>
          <w:ilvl w:val="0"/>
          <w:numId w:val="32"/>
        </w:numPr>
      </w:pPr>
      <w:r>
        <w:rPr>
          <w:b/>
          <w:bCs/>
        </w:rPr>
        <w:t>Laozi / Zhuangzi</w:t>
      </w:r>
      <w:r>
        <w:t xml:space="preserve"> — the unnameable Tao; </w:t>
      </w:r>
      <w:r>
        <w:rPr>
          <w:i/>
          <w:iCs/>
        </w:rPr>
        <w:t>wu wei</w:t>
      </w:r>
      <w:r>
        <w:t>. Ground: ineffable immanent Way.</w:t>
      </w:r>
    </w:p>
    <w:p w14:paraId="65EE4069" w14:textId="77777777" w:rsidR="0035712B" w:rsidRDefault="00000000">
      <w:bookmarkStart w:id="30" w:name="X9148231168f8a3459023bed317bdb76344a8756"/>
      <w:r>
        <w:rPr>
          <w:noProof/>
        </w:rPr>
        <mc:AlternateContent>
          <mc:Choice Requires="wps">
            <w:drawing>
              <wp:inline distT="0" distB="0" distL="0" distR="0" wp14:anchorId="7F633825" wp14:editId="1C6DE991">
                <wp:extent cx="5943600" cy="19050"/>
                <wp:effectExtent l="0" t="0" r="0" b="0"/>
                <wp:docPr id="59" name="Rectangle 5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2807C5B" id="Rectangle 5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0"/>
    </w:p>
    <w:p w14:paraId="0029F95B" w14:textId="77777777" w:rsidR="0035712B" w:rsidRDefault="00000000">
      <w:pPr>
        <w:pStyle w:val="Heading4"/>
      </w:pPr>
      <w:r>
        <w:t>Open threads carried forward</w:t>
      </w:r>
    </w:p>
    <w:p w14:paraId="654FB92D" w14:textId="77777777" w:rsidR="0035712B" w:rsidRDefault="00000000">
      <w:pPr>
        <w:pStyle w:val="Compact"/>
        <w:numPr>
          <w:ilvl w:val="0"/>
          <w:numId w:val="33"/>
        </w:numPr>
      </w:pPr>
      <w:r>
        <w:rPr>
          <w:b/>
          <w:bCs/>
        </w:rPr>
        <w:t>2.16 (the Logos hinge)</w:t>
      </w:r>
      <w:r>
        <w:t xml:space="preserve"> is candidate material for a load-bearing passage in the eventual book — the single clearest demonstration of the convergence/divergence structure. Flagged for the Live or cross-cutting movement.</w:t>
      </w:r>
    </w:p>
    <w:p w14:paraId="3E7FD821" w14:textId="77777777" w:rsidR="0035712B" w:rsidRDefault="00000000">
      <w:pPr>
        <w:pStyle w:val="Compact"/>
        <w:numPr>
          <w:ilvl w:val="0"/>
          <w:numId w:val="34"/>
        </w:numPr>
      </w:pPr>
      <w:r>
        <w:t xml:space="preserve">The </w:t>
      </w:r>
      <w:r>
        <w:rPr>
          <w:b/>
          <w:bCs/>
        </w:rPr>
        <w:t>personified Sophia → Christ-as-Wisdom</w:t>
      </w:r>
      <w:r>
        <w:t xml:space="preserve"> genealogy (§2.4, §2.7) is a textual thread, not merely thematic; worth a dedicated note if the book wants to show convergence is sometimes </w:t>
      </w:r>
      <w:r>
        <w:rPr>
          <w:i/>
          <w:iCs/>
        </w:rPr>
        <w:t>descent from a shared source</w:t>
      </w:r>
      <w:r>
        <w:t>, not independent arrival.</w:t>
      </w:r>
    </w:p>
    <w:p w14:paraId="4993379D" w14:textId="77777777" w:rsidR="0035712B" w:rsidRDefault="00000000">
      <w:pPr>
        <w:pStyle w:val="Compact"/>
        <w:numPr>
          <w:ilvl w:val="0"/>
          <w:numId w:val="35"/>
        </w:numPr>
      </w:pPr>
      <w:r>
        <w:rPr>
          <w:rStyle w:val="VerbatimChar"/>
        </w:rPr>
        <w:t>[CONTESTED]</w:t>
      </w:r>
      <w:r>
        <w:t xml:space="preserve">-grade material was light in this dive (the grounds are matters of each tradition’s self-understanding, not empirical claims). The empirical pressure lands in </w:t>
      </w:r>
      <w:r>
        <w:rPr>
          <w:b/>
          <w:bCs/>
        </w:rPr>
        <w:t>Dive 3 (the empirical turn)</w:t>
      </w:r>
      <w:r>
        <w:t xml:space="preserve"> — Berlin, Sternberg, Ardelt, Grossmann — which is where web-verification of current research state is required before anything locks.</w:t>
      </w:r>
    </w:p>
    <w:p w14:paraId="2FC962C5" w14:textId="77777777" w:rsidR="0035712B" w:rsidRDefault="00000000">
      <w:bookmarkStart w:id="31" w:name="dive-2-the-traditions-and-their-grounds"/>
      <w:bookmarkStart w:id="32" w:name="open-threads-carried-forward-1"/>
      <w:r>
        <w:rPr>
          <w:noProof/>
        </w:rPr>
        <mc:AlternateContent>
          <mc:Choice Requires="wps">
            <w:drawing>
              <wp:inline distT="0" distB="0" distL="0" distR="0" wp14:anchorId="3FA61866" wp14:editId="6202C7C9">
                <wp:extent cx="5943600" cy="19050"/>
                <wp:effectExtent l="0" t="0" r="0" b="0"/>
                <wp:docPr id="61" name="Rectangle 6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2804D13" id="Rectangle 6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1"/>
      <w:bookmarkEnd w:id="32"/>
    </w:p>
    <w:p w14:paraId="5BDEE626" w14:textId="77777777" w:rsidR="0035712B" w:rsidRDefault="00000000">
      <w:pPr>
        <w:pStyle w:val="Heading3"/>
      </w:pPr>
      <w:r>
        <w:t>Dive 3 — The Empirical Turn</w:t>
      </w:r>
    </w:p>
    <w:p w14:paraId="11301DB1" w14:textId="77777777" w:rsidR="0035712B" w:rsidRDefault="00000000">
      <w:pPr>
        <w:pStyle w:val="Heading4"/>
      </w:pPr>
      <w:r>
        <w:t>The governing question of this dive</w:t>
      </w:r>
    </w:p>
    <w:p w14:paraId="7DEFD9A0" w14:textId="77777777" w:rsidR="0035712B" w:rsidRDefault="00000000">
      <w:pPr>
        <w:pStyle w:val="FirstParagraph"/>
      </w:pPr>
      <w:r>
        <w:rPr>
          <w:b/>
          <w:bCs/>
        </w:rPr>
        <w:t>3.1</w:t>
      </w:r>
      <w:r>
        <w:t xml:space="preserve"> </w:t>
      </w:r>
      <w:r>
        <w:rPr>
          <w:rStyle w:val="VerbatimChar"/>
        </w:rPr>
        <w:t>[SYNTH]</w:t>
      </w:r>
      <w:r>
        <w:t xml:space="preserve"> Dive 1 ended with Aristotle’s </w:t>
      </w:r>
      <w:r>
        <w:rPr>
          <w:i/>
          <w:iCs/>
        </w:rPr>
        <w:t>phronesis</w:t>
      </w:r>
      <w:r>
        <w:t xml:space="preserve"> — practical wisdom as a trained capacity. The empirical turn is the modern attempt to finish what he began: to take wisdom out of the philosopher’s definition and </w:t>
      </w:r>
      <w:r>
        <w:rPr>
          <w:i/>
          <w:iCs/>
        </w:rPr>
        <w:t>operationalize</w:t>
      </w:r>
      <w:r>
        <w:t xml:space="preserve"> it — specify its components, build instruments, measure it in people, and ask whether it can be trained. This dive surveys that effort at its current state, asks what it has actually established, and watches for the one thing that matters most to this book: whether secular science, pursuing wisdom with no theological stake, converges on the same dimensions the traditions did — and where it stops.</w:t>
      </w:r>
    </w:p>
    <w:p w14:paraId="757CD684" w14:textId="77777777" w:rsidR="0035712B" w:rsidRDefault="00000000">
      <w:bookmarkStart w:id="33" w:name="the-governing-question-of-this-dive-2"/>
      <w:r>
        <w:rPr>
          <w:noProof/>
        </w:rPr>
        <mc:AlternateContent>
          <mc:Choice Requires="wps">
            <w:drawing>
              <wp:inline distT="0" distB="0" distL="0" distR="0" wp14:anchorId="1FB755D8" wp14:editId="5765018E">
                <wp:extent cx="5943600" cy="19050"/>
                <wp:effectExtent l="0" t="0" r="0" b="0"/>
                <wp:docPr id="63" name="Rectangle 6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4786B0E" id="Rectangle 6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3"/>
    </w:p>
    <w:p w14:paraId="513E8ED9" w14:textId="77777777" w:rsidR="0035712B" w:rsidRDefault="00000000">
      <w:pPr>
        <w:pStyle w:val="Heading4"/>
      </w:pPr>
      <w:r>
        <w:t>I. The Berlin Wisdom Paradigm — wisdom as expertise</w:t>
      </w:r>
    </w:p>
    <w:p w14:paraId="67FAEF46" w14:textId="77777777" w:rsidR="0035712B" w:rsidRDefault="00000000">
      <w:pPr>
        <w:pStyle w:val="FirstParagraph"/>
      </w:pPr>
      <w:r>
        <w:rPr>
          <w:b/>
          <w:bCs/>
        </w:rPr>
        <w:t>3.2</w:t>
      </w:r>
      <w:r>
        <w:t xml:space="preserve"> </w:t>
      </w:r>
      <w:r>
        <w:rPr>
          <w:rStyle w:val="VerbatimChar"/>
        </w:rPr>
        <w:t>[EMPIRICAL]</w:t>
      </w:r>
      <w:r>
        <w:t xml:space="preserve"> The field’s founding model came from Paul Baltes and Ursula Staudinger at the Max Planck Institute, published in </w:t>
      </w:r>
      <w:r>
        <w:rPr>
          <w:i/>
          <w:iCs/>
        </w:rPr>
        <w:t>American Psychologist</w:t>
      </w:r>
      <w:r>
        <w:t xml:space="preserve"> in 2000. They defined wisdom as an expert knowledge system concerning the fundamental pragmatics of life — knowledge and judgment about the meaning and conduct of living. It became, in effect, the standard model against which later models are compared. The method was concrete: present a person with a difficult life dilemma, have them think aloud, and rate the response against criteria — rich factual and procedural knowledge of life, awareness that lives unfold in contexts and across a lifespan, tolerance of differing values, and the recognition and management of uncertainty.</w:t>
      </w:r>
    </w:p>
    <w:p w14:paraId="20BA4578" w14:textId="77777777" w:rsidR="0035712B" w:rsidRDefault="00000000">
      <w:pPr>
        <w:pStyle w:val="BodyText"/>
      </w:pPr>
      <w:r>
        <w:rPr>
          <w:b/>
          <w:bCs/>
        </w:rPr>
        <w:t>3.3</w:t>
      </w:r>
      <w:r>
        <w:t xml:space="preserve"> </w:t>
      </w:r>
      <w:r>
        <w:rPr>
          <w:rStyle w:val="VerbatimChar"/>
        </w:rPr>
        <w:t>[EMPIRICAL]</w:t>
      </w:r>
      <w:r>
        <w:t xml:space="preserve"> Two findings carry forward. The paradigm is descriptive, not prescriptive — it specifies what wisdom is but not how to get it. And wisdom-related performance </w:t>
      </w:r>
      <w:r>
        <w:lastRenderedPageBreak/>
        <w:t xml:space="preserve">proved </w:t>
      </w:r>
      <w:r>
        <w:rPr>
          <w:i/>
          <w:iCs/>
        </w:rPr>
        <w:t>movable</w:t>
      </w:r>
      <w:r>
        <w:t xml:space="preserve">: simply instructing people to discuss a dilemma with someone, or even to reflect alone before answering, raised scores markedly; asking them to imagine viewing the problem from far away — across the globe — raised the relativism and tolerance component. </w:t>
      </w:r>
      <w:r>
        <w:rPr>
          <w:rStyle w:val="VerbatimChar"/>
        </w:rPr>
        <w:t>[SYNTH]</w:t>
      </w:r>
      <w:r>
        <w:t xml:space="preserve"> Even the founding model showed wisdom responding to a change of vantage. Hold that; it returns as Solomon’s paradox (§V).</w:t>
      </w:r>
    </w:p>
    <w:p w14:paraId="2507DBCC" w14:textId="77777777" w:rsidR="0035712B" w:rsidRDefault="00000000">
      <w:pPr>
        <w:pStyle w:val="BodyText"/>
      </w:pPr>
      <w:r>
        <w:rPr>
          <w:b/>
          <w:bCs/>
        </w:rPr>
        <w:t>3.4</w:t>
      </w:r>
      <w:r>
        <w:t xml:space="preserve"> </w:t>
      </w:r>
      <w:r>
        <w:rPr>
          <w:rStyle w:val="VerbatimChar"/>
        </w:rPr>
        <w:t>[SCHOLAR]</w:t>
      </w:r>
      <w:r>
        <w:t xml:space="preserve"> The standard critique, pressed first by Monika Ardelt, is that the Berlin model is too purely </w:t>
      </w:r>
      <w:r>
        <w:rPr>
          <w:i/>
          <w:iCs/>
        </w:rPr>
        <w:t>cognitive</w:t>
      </w:r>
      <w:r>
        <w:t xml:space="preserve"> — it treats wisdom as a body of expert knowledge and underweights reflection and emotion. Staudinger later split </w:t>
      </w:r>
      <w:r>
        <w:rPr>
          <w:i/>
          <w:iCs/>
        </w:rPr>
        <w:t>general</w:t>
      </w:r>
      <w:r>
        <w:t xml:space="preserve"> wisdom (insight into life in general, interpersonal) from </w:t>
      </w:r>
      <w:r>
        <w:rPr>
          <w:i/>
          <w:iCs/>
        </w:rPr>
        <w:t>personal</w:t>
      </w:r>
      <w:r>
        <w:t xml:space="preserve"> wisdom (insight into one’s own life, intrapersonal) — a distinction that anticipates this book’s inside/outside axis.</w:t>
      </w:r>
    </w:p>
    <w:p w14:paraId="3987D45C" w14:textId="77777777" w:rsidR="0035712B" w:rsidRDefault="00000000">
      <w:bookmarkStart w:id="34" w:name="Xa7d616baa8630724643d9eed295cd93209ebc9e"/>
      <w:r>
        <w:rPr>
          <w:noProof/>
        </w:rPr>
        <mc:AlternateContent>
          <mc:Choice Requires="wps">
            <w:drawing>
              <wp:inline distT="0" distB="0" distL="0" distR="0" wp14:anchorId="58F9865E" wp14:editId="77A49F8F">
                <wp:extent cx="5943600" cy="19050"/>
                <wp:effectExtent l="0" t="0" r="0" b="0"/>
                <wp:docPr id="65" name="Rectangle 6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0B35010" id="Rectangle 6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4"/>
    </w:p>
    <w:p w14:paraId="2AEAB08E" w14:textId="77777777" w:rsidR="0035712B" w:rsidRDefault="00000000">
      <w:pPr>
        <w:pStyle w:val="Heading4"/>
      </w:pPr>
      <w:r>
        <w:t>II. Sternberg’s Balance Theory — the moral turn</w:t>
      </w:r>
    </w:p>
    <w:p w14:paraId="0883F6FB" w14:textId="77777777" w:rsidR="0035712B" w:rsidRDefault="00000000">
      <w:pPr>
        <w:pStyle w:val="FirstParagraph"/>
      </w:pPr>
      <w:r>
        <w:rPr>
          <w:b/>
          <w:bCs/>
        </w:rPr>
        <w:t>3.5</w:t>
      </w:r>
      <w:r>
        <w:t xml:space="preserve"> </w:t>
      </w:r>
      <w:r>
        <w:rPr>
          <w:rStyle w:val="VerbatimChar"/>
        </w:rPr>
        <w:t>[EMPIRICAL]</w:t>
      </w:r>
      <w:r>
        <w:t xml:space="preserve"> Robert Sternberg’s Balance Theory (1998, </w:t>
      </w:r>
      <w:r>
        <w:rPr>
          <w:i/>
          <w:iCs/>
        </w:rPr>
        <w:t>Review of General Psychology</w:t>
      </w:r>
      <w:r>
        <w:t xml:space="preserve">) made the decisive addition the Berlin model lacked: </w:t>
      </w:r>
      <w:r>
        <w:rPr>
          <w:i/>
          <w:iCs/>
        </w:rPr>
        <w:t>values and the common good</w:t>
      </w:r>
      <w:r>
        <w:t>. On this account wisdom is the application of intelligence, creativity, and tacit knowledge toward a common good, by balancing one’s own interests, others’ interests, and larger interests, across the short and long term, and balancing adaptation to, shaping of, and selection among environments. The model stresses the balancing of interests toward the common good.</w:t>
      </w:r>
    </w:p>
    <w:p w14:paraId="49A6A1EC" w14:textId="77777777" w:rsidR="0035712B" w:rsidRDefault="00000000">
      <w:pPr>
        <w:pStyle w:val="BodyText"/>
      </w:pPr>
      <w:r>
        <w:rPr>
          <w:b/>
          <w:bCs/>
        </w:rPr>
        <w:t>3.6</w:t>
      </w:r>
      <w:r>
        <w:t xml:space="preserve"> </w:t>
      </w:r>
      <w:r>
        <w:rPr>
          <w:rStyle w:val="VerbatimChar"/>
        </w:rPr>
        <w:t>[EMPIRICAL]</w:t>
      </w:r>
      <w:r>
        <w:t xml:space="preserve"> Sternberg also drew the pedagogical conclusion that bears on this book’s formation thesis: that teaching for wisdom means teaching </w:t>
      </w:r>
      <w:r>
        <w:rPr>
          <w:i/>
          <w:iCs/>
        </w:rPr>
        <w:t>how</w:t>
      </w:r>
      <w:r>
        <w:t xml:space="preserve"> to think, not </w:t>
      </w:r>
      <w:r>
        <w:rPr>
          <w:i/>
          <w:iCs/>
        </w:rPr>
        <w:t>what</w:t>
      </w:r>
      <w:r>
        <w:t xml:space="preserve"> to think. </w:t>
      </w:r>
      <w:r>
        <w:rPr>
          <w:rStyle w:val="VerbatimChar"/>
        </w:rPr>
        <w:t>[SCHOLAR]</w:t>
      </w:r>
      <w:r>
        <w:t xml:space="preserve"> His framework has since expanded into a Unified 6P model (Sternberg &amp; Karami, 2021). </w:t>
      </w:r>
      <w:r>
        <w:rPr>
          <w:rStyle w:val="VerbatimChar"/>
        </w:rPr>
        <w:t>[SYNTH]</w:t>
      </w:r>
      <w:r>
        <w:t xml:space="preserve"> The significance for the compendium is that the moment psychology tried to complete its picture of wisdom, it had to import </w:t>
      </w:r>
      <w:r>
        <w:rPr>
          <w:i/>
          <w:iCs/>
        </w:rPr>
        <w:t>morality</w:t>
      </w:r>
      <w:r>
        <w:t xml:space="preserve"> — wisdom was not cognition alone. The traditions had said this all along; the science arrived at it by a different road.</w:t>
      </w:r>
    </w:p>
    <w:p w14:paraId="189EB10E" w14:textId="77777777" w:rsidR="0035712B" w:rsidRDefault="00000000">
      <w:bookmarkStart w:id="35" w:name="X9f3361c355cae731c9bd51de7d60373c18f2b93"/>
      <w:r>
        <w:rPr>
          <w:noProof/>
        </w:rPr>
        <mc:AlternateContent>
          <mc:Choice Requires="wps">
            <w:drawing>
              <wp:inline distT="0" distB="0" distL="0" distR="0" wp14:anchorId="018A21DF" wp14:editId="2B42114C">
                <wp:extent cx="5943600" cy="19050"/>
                <wp:effectExtent l="0" t="0" r="0" b="0"/>
                <wp:docPr id="67" name="Rectangle 6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E51EAC1" id="Rectangle 6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5"/>
    </w:p>
    <w:p w14:paraId="1AFB2328" w14:textId="77777777" w:rsidR="0035712B" w:rsidRDefault="00000000">
      <w:pPr>
        <w:pStyle w:val="Heading4"/>
      </w:pPr>
      <w:r>
        <w:t>III. Ardelt’s Three-Dimensional model — wisdom as a property of persons</w:t>
      </w:r>
    </w:p>
    <w:p w14:paraId="2F806A6F" w14:textId="77777777" w:rsidR="0035712B" w:rsidRDefault="00000000">
      <w:pPr>
        <w:pStyle w:val="FirstParagraph"/>
      </w:pPr>
      <w:r>
        <w:rPr>
          <w:b/>
          <w:bCs/>
        </w:rPr>
        <w:t>3.7</w:t>
      </w:r>
      <w:r>
        <w:t xml:space="preserve"> </w:t>
      </w:r>
      <w:r>
        <w:rPr>
          <w:rStyle w:val="VerbatimChar"/>
        </w:rPr>
        <w:t>[EMPIRICAL]</w:t>
      </w:r>
      <w:r>
        <w:t xml:space="preserve"> Ardelt’s model (and her Three-Dimensional Wisdom Scale, 2003) defines wisdom as an integrated personality trait combining three dimensions: cognitive, reflective, and affective. The affective dimension is, centrally, compassion. </w:t>
      </w:r>
      <w:r>
        <w:rPr>
          <w:rStyle w:val="VerbatimChar"/>
        </w:rPr>
        <w:t>[SCHOLAR]</w:t>
      </w:r>
      <w:r>
        <w:t xml:space="preserve"> Her deeper move is a relocation: against Berlin’s sense that wisdom could live in objective artifacts like books or legal codes, Ardelt insists wisdom is a quality of </w:t>
      </w:r>
      <w:r>
        <w:rPr>
          <w:i/>
          <w:iCs/>
        </w:rPr>
        <w:t>persons</w:t>
      </w:r>
      <w:r>
        <w:t xml:space="preserve"> — the lived, subjective character of a wise human being, not a body of transmissible content. </w:t>
      </w:r>
      <w:r>
        <w:rPr>
          <w:rStyle w:val="VerbatimChar"/>
        </w:rPr>
        <w:t>[SYNTH]</w:t>
      </w:r>
      <w:r>
        <w:t xml:space="preserve"> This is Dive 1’s elder restated in the language of measurement: wisdom is recognized in a person, not stored in a text. The 3D-WS has since been validated across cultures, including recent North African adaptation.</w:t>
      </w:r>
    </w:p>
    <w:p w14:paraId="6C7FE0F0" w14:textId="77777777" w:rsidR="0035712B" w:rsidRDefault="00000000">
      <w:bookmarkStart w:id="36" w:name="X7227b3168dd7963f2f28acee457878bedcd9303"/>
      <w:r>
        <w:rPr>
          <w:noProof/>
        </w:rPr>
        <mc:AlternateContent>
          <mc:Choice Requires="wps">
            <w:drawing>
              <wp:inline distT="0" distB="0" distL="0" distR="0" wp14:anchorId="209E6DAC" wp14:editId="78E23563">
                <wp:extent cx="5943600" cy="19050"/>
                <wp:effectExtent l="0" t="0" r="0" b="0"/>
                <wp:docPr id="69" name="Rectangle 6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6804FBA" id="Rectangle 6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6"/>
    </w:p>
    <w:p w14:paraId="00E5555F" w14:textId="77777777" w:rsidR="0035712B" w:rsidRDefault="00000000">
      <w:pPr>
        <w:pStyle w:val="Heading4"/>
      </w:pPr>
      <w:r>
        <w:lastRenderedPageBreak/>
        <w:t>IV. Grossmann’s wise reasoning — and Solomon’s paradox</w:t>
      </w:r>
    </w:p>
    <w:p w14:paraId="7908CC7D" w14:textId="77777777" w:rsidR="0035712B" w:rsidRDefault="00000000">
      <w:pPr>
        <w:pStyle w:val="FirstParagraph"/>
      </w:pPr>
      <w:r>
        <w:rPr>
          <w:b/>
          <w:bCs/>
        </w:rPr>
        <w:t>3.8</w:t>
      </w:r>
      <w:r>
        <w:t xml:space="preserve"> </w:t>
      </w:r>
      <w:r>
        <w:rPr>
          <w:rStyle w:val="VerbatimChar"/>
        </w:rPr>
        <w:t>[EMPIRICAL]</w:t>
      </w:r>
      <w:r>
        <w:t xml:space="preserve"> Igor Grossmann (University of Waterloo) reframes wisdom as </w:t>
      </w:r>
      <w:r>
        <w:rPr>
          <w:i/>
          <w:iCs/>
        </w:rPr>
        <w:t>wise reasoning</w:t>
      </w:r>
      <w:r>
        <w:t xml:space="preserve">: pragmatic reasoning that requires transcending one’s egocentric viewpoint — recognizing the limits of one’s knowledge, acknowledging others’ perspectives, seeing situations as in flux, and seeking integration or compromise. </w:t>
      </w:r>
      <w:r>
        <w:rPr>
          <w:rStyle w:val="VerbatimChar"/>
        </w:rPr>
        <w:t>[SYNTH]</w:t>
      </w:r>
      <w:r>
        <w:t xml:space="preserve"> Note that every element is a form of </w:t>
      </w:r>
      <w:r>
        <w:rPr>
          <w:i/>
          <w:iCs/>
        </w:rPr>
        <w:t>getting outside oneself</w:t>
      </w:r>
      <w:r>
        <w:t>. That is the thread.</w:t>
      </w:r>
    </w:p>
    <w:p w14:paraId="6199D357" w14:textId="77777777" w:rsidR="0035712B" w:rsidRDefault="00000000">
      <w:pPr>
        <w:pStyle w:val="BodyText"/>
      </w:pPr>
      <w:r>
        <w:rPr>
          <w:b/>
          <w:bCs/>
        </w:rPr>
        <w:t>3.9</w:t>
      </w:r>
      <w:r>
        <w:t xml:space="preserve"> </w:t>
      </w:r>
      <w:r>
        <w:rPr>
          <w:rStyle w:val="VerbatimChar"/>
        </w:rPr>
        <w:t>[EMPIRICAL]</w:t>
      </w:r>
      <w:r>
        <w:t xml:space="preserve"> His signature finding is </w:t>
      </w:r>
      <w:r>
        <w:rPr>
          <w:b/>
          <w:bCs/>
        </w:rPr>
        <w:t>Solomon’s paradox</w:t>
      </w:r>
      <w:r>
        <w:t xml:space="preserve"> (Grossmann &amp; Kross, 2014, </w:t>
      </w:r>
      <w:r>
        <w:rPr>
          <w:i/>
          <w:iCs/>
        </w:rPr>
        <w:t>Psychological Science</w:t>
      </w:r>
      <w:r>
        <w:t>, N = 693): people reason more wisely about other people’s problems than about their own. Participants showed wiser reasoning about another person’s problems than their own; instructing them to self-distance rather than self-immerse eliminated the asymmetry; and the effects were comparable for younger and older adults. A later finding adds that the pursuit of virtue narrows the gap — people high in it reason about as wisely on their own troubles as on others’ (Huynh et al., 2017).</w:t>
      </w:r>
    </w:p>
    <w:p w14:paraId="654DA69E" w14:textId="77777777" w:rsidR="0035712B" w:rsidRDefault="00000000">
      <w:pPr>
        <w:pStyle w:val="BodyText"/>
      </w:pPr>
      <w:r>
        <w:rPr>
          <w:b/>
          <w:bCs/>
        </w:rPr>
        <w:t>3.10</w:t>
      </w:r>
      <w:r>
        <w:t xml:space="preserve"> </w:t>
      </w:r>
      <w:r>
        <w:rPr>
          <w:rStyle w:val="VerbatimChar"/>
        </w:rPr>
        <w:t>[SYNTH]</w:t>
      </w:r>
      <w:r>
        <w:t xml:space="preserve"> Solomon’s paradox is the single most useful gift the empirical turn hands this book. It is the scientific demonstration of why </w:t>
      </w:r>
      <w:r>
        <w:rPr>
          <w:b/>
          <w:bCs/>
        </w:rPr>
        <w:t>self-knowledge is the hardest wisdom</w:t>
      </w:r>
      <w:r>
        <w:t xml:space="preserve"> — the very thing the traditions warned about, now shown in the lab — and it identifies a usable lever: distance from the self restores the judgment we extend freely to others. It feeds Dive 4 (inside vs. outside) directly. And it reads cleanly at the social scale of the mirror: a people, too, may judge another nation’s crisis more wisely than its own.</w:t>
      </w:r>
    </w:p>
    <w:p w14:paraId="6EFDD875" w14:textId="77777777" w:rsidR="0035712B" w:rsidRDefault="00000000">
      <w:bookmarkStart w:id="37" w:name="Xf5bbe188d97a7968b7332ac5a7a10c831b8bb85"/>
      <w:r>
        <w:rPr>
          <w:noProof/>
        </w:rPr>
        <mc:AlternateContent>
          <mc:Choice Requires="wps">
            <w:drawing>
              <wp:inline distT="0" distB="0" distL="0" distR="0" wp14:anchorId="19270D9E" wp14:editId="0A421ED3">
                <wp:extent cx="5943600" cy="19050"/>
                <wp:effectExtent l="0" t="0" r="0" b="0"/>
                <wp:docPr id="71" name="Rectangle 7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D996C2E" id="Rectangle 7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7"/>
    </w:p>
    <w:p w14:paraId="1B65F146" w14:textId="77777777" w:rsidR="0035712B" w:rsidRDefault="00000000">
      <w:pPr>
        <w:pStyle w:val="Heading4"/>
      </w:pPr>
      <w:r>
        <w:t>V. The neurobiological turn — wisdom in the body</w:t>
      </w:r>
    </w:p>
    <w:p w14:paraId="30E5CC25" w14:textId="77777777" w:rsidR="0035712B" w:rsidRDefault="00000000">
      <w:pPr>
        <w:pStyle w:val="FirstParagraph"/>
      </w:pPr>
      <w:r>
        <w:rPr>
          <w:b/>
          <w:bCs/>
        </w:rPr>
        <w:t>3.11</w:t>
      </w:r>
      <w:r>
        <w:t xml:space="preserve"> </w:t>
      </w:r>
      <w:r>
        <w:rPr>
          <w:rStyle w:val="VerbatimChar"/>
        </w:rPr>
        <w:t>[EMPIRICAL]</w:t>
      </w:r>
      <w:r>
        <w:t xml:space="preserve"> Dilip Jeste and Michael Thomas (UC San Diego) built the San Diego Wisdom Scale (SD-WISE, 2017/2019) on the premise that wisdom is a trait with a neurobiological as well as psychosocial basis. Jeste argued that distinct brain regions and systems appear to govern the identified components of wisdom. Its components: social advising, decisiveness, emotional regulation, insight and self-reflection, prosocial behavior, and tolerance for divergent values — with spirituality added as a lesser seventh in the abbreviated SD-WISE-7.</w:t>
      </w:r>
    </w:p>
    <w:p w14:paraId="7AD56661" w14:textId="77777777" w:rsidR="0035712B" w:rsidRDefault="00000000">
      <w:pPr>
        <w:pStyle w:val="BodyText"/>
      </w:pPr>
      <w:r>
        <w:rPr>
          <w:b/>
          <w:bCs/>
        </w:rPr>
        <w:t>3.12</w:t>
      </w:r>
      <w:r>
        <w:t xml:space="preserve"> </w:t>
      </w:r>
      <w:r>
        <w:rPr>
          <w:rStyle w:val="VerbatimChar"/>
        </w:rPr>
        <w:t>[EMPIRICAL]</w:t>
      </w:r>
      <w:r>
        <w:t xml:space="preserve"> Two details matter for this book. First, even a neurobiological model of wisdom found itself adding </w:t>
      </w:r>
      <w:r>
        <w:rPr>
          <w:i/>
          <w:iCs/>
        </w:rPr>
        <w:t>spirituality</w:t>
      </w:r>
      <w:r>
        <w:t xml:space="preserve"> as a component — the ground kept pressing in. Second, in tracing wisdom’s components across cultures, Jeste and Vahia reported that the same components characterize the wisdom of the </w:t>
      </w:r>
      <w:r>
        <w:rPr>
          <w:i/>
          <w:iCs/>
        </w:rPr>
        <w:t>Bhagavad Gita</w:t>
      </w:r>
      <w:r>
        <w:t xml:space="preserve"> and, they suggest, the biblical wisdom books and most other religious traditions — more similarities than differences across cultures and times, though the relative emphasis varies. </w:t>
      </w:r>
      <w:r>
        <w:rPr>
          <w:rStyle w:val="VerbatimChar"/>
        </w:rPr>
        <w:t>[SYNTH]</w:t>
      </w:r>
      <w:r>
        <w:t xml:space="preserve"> The neuroscience independently restated the convergence finding.</w:t>
      </w:r>
    </w:p>
    <w:p w14:paraId="67C58741" w14:textId="77777777" w:rsidR="0035712B" w:rsidRDefault="00000000">
      <w:bookmarkStart w:id="38" w:name="X707d0510c75e7fddd1e6afd4289f3d790df7a95"/>
      <w:r>
        <w:rPr>
          <w:noProof/>
        </w:rPr>
        <mc:AlternateContent>
          <mc:Choice Requires="wps">
            <w:drawing>
              <wp:inline distT="0" distB="0" distL="0" distR="0" wp14:anchorId="25A52F83" wp14:editId="4D1C8A88">
                <wp:extent cx="5943600" cy="19050"/>
                <wp:effectExtent l="0" t="0" r="0" b="0"/>
                <wp:docPr id="73" name="Rectangle 7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0A90F4E" id="Rectangle 7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8"/>
    </w:p>
    <w:p w14:paraId="1FE2B7BC" w14:textId="77777777" w:rsidR="0035712B" w:rsidRDefault="00000000">
      <w:pPr>
        <w:pStyle w:val="Heading4"/>
      </w:pPr>
      <w:r>
        <w:t>VI. The convergence the field produced — the Common Wisdom Model</w:t>
      </w:r>
    </w:p>
    <w:p w14:paraId="57AF6915" w14:textId="77777777" w:rsidR="0035712B" w:rsidRDefault="00000000">
      <w:pPr>
        <w:pStyle w:val="FirstParagraph"/>
      </w:pPr>
      <w:r>
        <w:rPr>
          <w:b/>
          <w:bCs/>
        </w:rPr>
        <w:t>3.13</w:t>
      </w:r>
      <w:r>
        <w:t xml:space="preserve"> </w:t>
      </w:r>
      <w:r>
        <w:rPr>
          <w:rStyle w:val="VerbatimChar"/>
        </w:rPr>
        <w:t>[EMPIRICAL]</w:t>
      </w:r>
      <w:r>
        <w:t xml:space="preserve"> The decisive recent development. To end the field’s confusion — the same word meaning different things, different words meaning the same — wisdom </w:t>
      </w:r>
      <w:r>
        <w:lastRenderedPageBreak/>
        <w:t xml:space="preserve">researchers convened the Toronto Wisdom Task Force in July 2019 and, surveying scientists across the field, published a </w:t>
      </w:r>
      <w:r>
        <w:rPr>
          <w:b/>
          <w:bCs/>
        </w:rPr>
        <w:t>Common Wisdom Model</w:t>
      </w:r>
      <w:r>
        <w:t xml:space="preserve"> (Grossmann, Weststrate, Ardelt, Brienza, Ferrari, et al., </w:t>
      </w:r>
      <w:r>
        <w:rPr>
          <w:i/>
          <w:iCs/>
        </w:rPr>
        <w:t>Psychological Inquiry</w:t>
      </w:r>
      <w:r>
        <w:t>, 2020). Its conclusion: empirical approaches to wisdom converge on the morally-grounded application of metacognition to reasoning and problem-solving. Two components: perspectival meta-cognition and moral aspirations. Perspectival metacognition gathers intellectual humility, context-adaptability, perspective-taking, dialectical and reflective thinking. Moral aspirations gather orientation toward shared humanity, the balancing of interests, and the pursuit of truth and the common good.</w:t>
      </w:r>
    </w:p>
    <w:p w14:paraId="7F5F36E6" w14:textId="77777777" w:rsidR="0035712B" w:rsidRDefault="00000000">
      <w:bookmarkStart w:id="39" w:name="X8094ed22d37fa61ec64a6bb1dcadb4133dba4b4"/>
      <w:r>
        <w:rPr>
          <w:noProof/>
        </w:rPr>
        <mc:AlternateContent>
          <mc:Choice Requires="wps">
            <w:drawing>
              <wp:inline distT="0" distB="0" distL="0" distR="0" wp14:anchorId="5AFB6A5B" wp14:editId="7A2C14EC">
                <wp:extent cx="5943600" cy="19050"/>
                <wp:effectExtent l="0" t="0" r="0" b="0"/>
                <wp:docPr id="75" name="Rectangle 7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A29BFC4" id="Rectangle 7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39"/>
    </w:p>
    <w:p w14:paraId="02CA0175" w14:textId="77777777" w:rsidR="0035712B" w:rsidRDefault="00000000">
      <w:pPr>
        <w:pStyle w:val="Heading4"/>
      </w:pPr>
      <w:r>
        <w:t>VII. The reading — what the empirical turn shows, and where it stops</w:t>
      </w:r>
    </w:p>
    <w:p w14:paraId="1AA68833" w14:textId="77777777" w:rsidR="0035712B" w:rsidRDefault="00000000">
      <w:pPr>
        <w:pStyle w:val="FirstParagraph"/>
      </w:pPr>
      <w:r>
        <w:rPr>
          <w:b/>
          <w:bCs/>
        </w:rPr>
        <w:t>3.14</w:t>
      </w:r>
      <w:r>
        <w:t xml:space="preserve"> </w:t>
      </w:r>
      <w:r>
        <w:rPr>
          <w:rStyle w:val="VerbatimChar"/>
        </w:rPr>
        <w:t>[HYP]</w:t>
      </w:r>
      <w:r>
        <w:t xml:space="preserve"> </w:t>
      </w:r>
      <w:r>
        <w:rPr>
          <w:b/>
          <w:bCs/>
        </w:rPr>
        <w:t>The convergence hypothesis, confirmed from the secular side.</w:t>
      </w:r>
      <w:r>
        <w:t xml:space="preserve"> Pursued by researchers with no theological stake, across four decades and competing labs, the science </w:t>
      </w:r>
      <w:r>
        <w:rPr>
          <w:i/>
          <w:iCs/>
        </w:rPr>
        <w:t>converged</w:t>
      </w:r>
      <w:r>
        <w:t xml:space="preserve"> — and converged on exactly the dimensions the traditions named: humility about the limits of one’s knowledge, the de-centering of the self, the integration of emotion and compassion, and a moral orientation toward others. The field even held a summit and wrote the convergence down. This is the strongest possible support for the compendium’s claim that the traditions agree at the level of dimensions, because here the agreement is reached by people who were not trying to agree with the traditions at all.</w:t>
      </w:r>
    </w:p>
    <w:p w14:paraId="01C3C3D5" w14:textId="77777777" w:rsidR="0035712B" w:rsidRDefault="00000000">
      <w:pPr>
        <w:pStyle w:val="BodyText"/>
      </w:pPr>
      <w:r>
        <w:rPr>
          <w:b/>
          <w:bCs/>
        </w:rPr>
        <w:t>3.15</w:t>
      </w:r>
      <w:r>
        <w:t xml:space="preserve"> </w:t>
      </w:r>
      <w:r>
        <w:rPr>
          <w:rStyle w:val="VerbatimChar"/>
        </w:rPr>
        <w:t>[SYNTH]</w:t>
      </w:r>
      <w:r>
        <w:t xml:space="preserve"> </w:t>
      </w:r>
      <w:r>
        <w:rPr>
          <w:b/>
          <w:bCs/>
        </w:rPr>
        <w:t>And here is exactly where it stops — which is the more important finding.</w:t>
      </w:r>
      <w:r>
        <w:t xml:space="preserve"> The consensus phrase is </w:t>
      </w:r>
      <w:r>
        <w:rPr>
          <w:i/>
          <w:iCs/>
        </w:rPr>
        <w:t>morally-grounded</w:t>
      </w:r>
      <w:r>
        <w:t xml:space="preserve">. But the science names morality as essential without saying </w:t>
      </w:r>
      <w:r>
        <w:rPr>
          <w:i/>
          <w:iCs/>
        </w:rPr>
        <w:t>what grounds the morality.</w:t>
      </w:r>
      <w:r>
        <w:t xml:space="preserve"> It reaches the dimensions and halts at the threshold of the ground. Sternberg had to import “the common good”; Jeste’s neurobiology had to add “spirituality”; the task force settled on “moral aspirations” — each pointing at a foundation none of them could supply from within the method. </w:t>
      </w:r>
      <w:r>
        <w:rPr>
          <w:b/>
          <w:bCs/>
        </w:rPr>
        <w:t>The empirical turn is itself a witness to the convergence/divergence structure:</w:t>
      </w:r>
      <w:r>
        <w:t xml:space="preserve"> science can measure the shape of wisdom and cannot reach its foundation. For a book written as a declared witness, this is a gift — the most rigorous secular inquiry available arrives at the dimensions, confirms them, and then gestures at a ground it cannot itself provide.</w:t>
      </w:r>
    </w:p>
    <w:p w14:paraId="4E3C6871" w14:textId="77777777" w:rsidR="0035712B" w:rsidRDefault="00000000">
      <w:pPr>
        <w:pStyle w:val="BodyText"/>
      </w:pPr>
      <w:r>
        <w:rPr>
          <w:b/>
          <w:bCs/>
        </w:rPr>
        <w:t>3.16</w:t>
      </w:r>
      <w:r>
        <w:t xml:space="preserve"> </w:t>
      </w:r>
      <w:r>
        <w:rPr>
          <w:rStyle w:val="VerbatimChar"/>
        </w:rPr>
        <w:t>[CONTESTED]</w:t>
      </w:r>
      <w:r>
        <w:t xml:space="preserve"> </w:t>
      </w:r>
      <w:r>
        <w:rPr>
          <w:b/>
          <w:bCs/>
        </w:rPr>
        <w:t>The honest limits, recorded at full weight.</w:t>
      </w:r>
      <w:r>
        <w:t xml:space="preserve"> The instruments are disputed. Most rely on self-report, which is fragile precisely here — the genuinely wise tend to be humble about it, and “you know it when you see it” resists a questionnaire. Judith Glück and others press the lab-versus-life problem: hypothetical dilemmas may not measure wisdom as lived, and the field is now moving toward </w:t>
      </w:r>
      <w:r>
        <w:rPr>
          <w:i/>
          <w:iCs/>
        </w:rPr>
        <w:t>situated</w:t>
      </w:r>
      <w:r>
        <w:t xml:space="preserve"> assessment. The Common Wisdom Model has critics, including the charge that it underplayed the existing models it meant to unify. None of this is fatal; all of it must be carried, or the book commits the calibration error the trilogy was built to avoid. The science establishes convergence on the dimensions; it has not closed measurement, and it cannot adjudicate the ground.</w:t>
      </w:r>
    </w:p>
    <w:p w14:paraId="7E7F9B61" w14:textId="77777777" w:rsidR="0035712B" w:rsidRDefault="00000000">
      <w:pPr>
        <w:pStyle w:val="BodyText"/>
      </w:pPr>
      <w:r>
        <w:rPr>
          <w:b/>
          <w:bCs/>
        </w:rPr>
        <w:t>3.17</w:t>
      </w:r>
      <w:r>
        <w:t xml:space="preserve"> </w:t>
      </w:r>
      <w:r>
        <w:rPr>
          <w:rStyle w:val="VerbatimChar"/>
        </w:rPr>
        <w:t>[SCHOLAR]</w:t>
      </w:r>
      <w:r>
        <w:t xml:space="preserve"> </w:t>
      </w:r>
      <w:r>
        <w:rPr>
          <w:b/>
          <w:bCs/>
        </w:rPr>
        <w:t>The tension with the elder — and its resolution.</w:t>
      </w:r>
      <w:r>
        <w:t xml:space="preserve"> The empirical turn complicates Dive 1’s archetype. Age and wisdom turn out to be only weakly and non-linearly related: in Solomon’s-paradox studies the self-other asymmetry did not differ between younger and older adults, even as some work finds social-conflict reasoning </w:t>
      </w:r>
      <w:r>
        <w:lastRenderedPageBreak/>
        <w:t xml:space="preserve">improving into later life. </w:t>
      </w:r>
      <w:r>
        <w:rPr>
          <w:rStyle w:val="VerbatimChar"/>
        </w:rPr>
        <w:t>[SYNTH]</w:t>
      </w:r>
      <w:r>
        <w:t xml:space="preserve"> This does not refute the elder — it sharpens the formation thesis. Wisdom is not conferred by years; it is built by what the years are </w:t>
      </w:r>
      <w:r>
        <w:rPr>
          <w:i/>
          <w:iCs/>
        </w:rPr>
        <w:t>made to do</w:t>
      </w:r>
      <w:r>
        <w:t>. The wise elder is real, but as the fruit of formation, not of mere survival. The data and the archetype reconcile exactly at §1.10: grown, not merely aged.</w:t>
      </w:r>
    </w:p>
    <w:p w14:paraId="0078D167" w14:textId="77777777" w:rsidR="0035712B" w:rsidRDefault="00000000">
      <w:bookmarkStart w:id="40" w:name="X78aa2141b450d4a04e2dd31074b60454b997069"/>
      <w:r>
        <w:rPr>
          <w:noProof/>
        </w:rPr>
        <mc:AlternateContent>
          <mc:Choice Requires="wps">
            <w:drawing>
              <wp:inline distT="0" distB="0" distL="0" distR="0" wp14:anchorId="082BA935" wp14:editId="0E071951">
                <wp:extent cx="5943600" cy="19050"/>
                <wp:effectExtent l="0" t="0" r="0" b="0"/>
                <wp:docPr id="77" name="Rectangle 7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84D7D40" id="Rectangle 7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0"/>
    </w:p>
    <w:p w14:paraId="360604F5" w14:textId="77777777" w:rsidR="0035712B" w:rsidRDefault="00000000">
      <w:pPr>
        <w:pStyle w:val="Heading4"/>
      </w:pPr>
      <w:r>
        <w:t>Thinker &amp; source catalogue — additions from this dive</w:t>
      </w:r>
    </w:p>
    <w:p w14:paraId="1FF8E8C0" w14:textId="77777777" w:rsidR="0035712B" w:rsidRDefault="00000000">
      <w:pPr>
        <w:pStyle w:val="Compact"/>
        <w:numPr>
          <w:ilvl w:val="0"/>
          <w:numId w:val="36"/>
        </w:numPr>
      </w:pPr>
      <w:r>
        <w:rPr>
          <w:b/>
          <w:bCs/>
        </w:rPr>
        <w:t>Paul Baltes &amp; Ursula Staudinger</w:t>
      </w:r>
      <w:r>
        <w:t xml:space="preserve"> — the Berlin Wisdom Paradigm; wisdom as expertise in life’s fundamental pragmatics; descriptive not prescriptive; general vs. personal wisdom. </w:t>
      </w:r>
      <w:r>
        <w:rPr>
          <w:i/>
          <w:iCs/>
        </w:rPr>
        <w:t>(Baltes &amp; Staudinger, 2000, American Psychologist.)</w:t>
      </w:r>
    </w:p>
    <w:p w14:paraId="2B05C01A" w14:textId="77777777" w:rsidR="0035712B" w:rsidRDefault="00000000">
      <w:pPr>
        <w:pStyle w:val="Compact"/>
        <w:numPr>
          <w:ilvl w:val="0"/>
          <w:numId w:val="37"/>
        </w:numPr>
      </w:pPr>
      <w:r>
        <w:rPr>
          <w:b/>
          <w:bCs/>
        </w:rPr>
        <w:t>Robert Sternberg</w:t>
      </w:r>
      <w:r>
        <w:t xml:space="preserve"> — Balance Theory of Wisdom; the common good and values; teaching how, not what; Unified 6P framework. </w:t>
      </w:r>
      <w:r>
        <w:rPr>
          <w:i/>
          <w:iCs/>
        </w:rPr>
        <w:t>(Sternberg, 1998; Sternberg &amp; Karami, 2021.)</w:t>
      </w:r>
    </w:p>
    <w:p w14:paraId="16A781AF" w14:textId="77777777" w:rsidR="0035712B" w:rsidRDefault="00000000">
      <w:pPr>
        <w:pStyle w:val="Compact"/>
        <w:numPr>
          <w:ilvl w:val="0"/>
          <w:numId w:val="38"/>
        </w:numPr>
      </w:pPr>
      <w:r>
        <w:rPr>
          <w:b/>
          <w:bCs/>
        </w:rPr>
        <w:t>Monika Ardelt</w:t>
      </w:r>
      <w:r>
        <w:t xml:space="preserve"> — Three-Dimensional Wisdom Scale; cognitive/reflective/affective; wisdom as a property of persons, not artifacts; compassion. </w:t>
      </w:r>
      <w:r>
        <w:rPr>
          <w:i/>
          <w:iCs/>
        </w:rPr>
        <w:t>(Ardelt, 2003.)</w:t>
      </w:r>
    </w:p>
    <w:p w14:paraId="3326E10E" w14:textId="77777777" w:rsidR="0035712B" w:rsidRDefault="00000000">
      <w:pPr>
        <w:pStyle w:val="Compact"/>
        <w:numPr>
          <w:ilvl w:val="0"/>
          <w:numId w:val="39"/>
        </w:numPr>
      </w:pPr>
      <w:r>
        <w:rPr>
          <w:b/>
          <w:bCs/>
        </w:rPr>
        <w:t>Igor Grossmann</w:t>
      </w:r>
      <w:r>
        <w:t xml:space="preserve"> — wise reasoning; Solomon’s paradox; self-distancing as lever; virtue as moderator. </w:t>
      </w:r>
      <w:r>
        <w:rPr>
          <w:i/>
          <w:iCs/>
        </w:rPr>
        <w:t>(Grossmann &amp; Kross, 2014; Huynh et al., 2017.) Cross-ref: Dive 4 inside/outside.</w:t>
      </w:r>
    </w:p>
    <w:p w14:paraId="75949EB0" w14:textId="77777777" w:rsidR="0035712B" w:rsidRDefault="00000000">
      <w:pPr>
        <w:pStyle w:val="Compact"/>
        <w:numPr>
          <w:ilvl w:val="0"/>
          <w:numId w:val="40"/>
        </w:numPr>
      </w:pPr>
      <w:r>
        <w:rPr>
          <w:b/>
          <w:bCs/>
        </w:rPr>
        <w:t>Dilip Jeste &amp; Michael Thomas</w:t>
      </w:r>
      <w:r>
        <w:t xml:space="preserve"> — SD-WISE; neurobiological model; cross-cultural convergence incl. the Bhagavad Gita; spirituality added in SD-WISE-7. </w:t>
      </w:r>
      <w:r>
        <w:rPr>
          <w:i/>
          <w:iCs/>
        </w:rPr>
        <w:t>(Thomas et al., 2017/2019; Jeste &amp; Vahia, 2008.)</w:t>
      </w:r>
    </w:p>
    <w:p w14:paraId="6198C683" w14:textId="77777777" w:rsidR="0035712B" w:rsidRDefault="00000000">
      <w:pPr>
        <w:pStyle w:val="Compact"/>
        <w:numPr>
          <w:ilvl w:val="0"/>
          <w:numId w:val="41"/>
        </w:numPr>
      </w:pPr>
      <w:r>
        <w:rPr>
          <w:b/>
          <w:bCs/>
        </w:rPr>
        <w:t>The Toronto Wisdom Task Force / Common Wisdom Model</w:t>
      </w:r>
      <w:r>
        <w:t xml:space="preserve"> — morally-grounded application of metacognition; perspectival metacognition + moral aspirations. </w:t>
      </w:r>
      <w:r>
        <w:rPr>
          <w:i/>
          <w:iCs/>
        </w:rPr>
        <w:t>(Grossmann, Weststrate, Ardelt, et al., 2020, Psychological Inquiry.)</w:t>
      </w:r>
    </w:p>
    <w:p w14:paraId="3D04841B" w14:textId="77777777" w:rsidR="0035712B" w:rsidRDefault="00000000">
      <w:pPr>
        <w:pStyle w:val="Compact"/>
        <w:numPr>
          <w:ilvl w:val="0"/>
          <w:numId w:val="42"/>
        </w:numPr>
      </w:pPr>
      <w:r>
        <w:rPr>
          <w:b/>
          <w:bCs/>
        </w:rPr>
        <w:t>Judith Glück</w:t>
      </w:r>
      <w:r>
        <w:t xml:space="preserve"> (and critics) — measurement validity; lab vs. life; the limits of self-report. </w:t>
      </w:r>
      <w:r>
        <w:rPr>
          <w:i/>
          <w:iCs/>
        </w:rPr>
        <w:t>Cross-ref: the calibration discipline (Governing Note §12).</w:t>
      </w:r>
    </w:p>
    <w:p w14:paraId="714CC497" w14:textId="77777777" w:rsidR="0035712B" w:rsidRDefault="00000000">
      <w:bookmarkStart w:id="41" w:name="X8afddf267ab42ebae02621e875d614649db1732"/>
      <w:r>
        <w:rPr>
          <w:noProof/>
        </w:rPr>
        <mc:AlternateContent>
          <mc:Choice Requires="wps">
            <w:drawing>
              <wp:inline distT="0" distB="0" distL="0" distR="0" wp14:anchorId="416301B5" wp14:editId="0E4548F6">
                <wp:extent cx="5943600" cy="19050"/>
                <wp:effectExtent l="0" t="0" r="0" b="0"/>
                <wp:docPr id="79" name="Rectangle 7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3B04D82" id="Rectangle 7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1"/>
    </w:p>
    <w:p w14:paraId="291ECB52" w14:textId="77777777" w:rsidR="0035712B" w:rsidRDefault="00000000">
      <w:pPr>
        <w:pStyle w:val="Heading4"/>
      </w:pPr>
      <w:r>
        <w:t>Open threads carried forward</w:t>
      </w:r>
    </w:p>
    <w:p w14:paraId="1D6AC303" w14:textId="77777777" w:rsidR="0035712B" w:rsidRDefault="00000000">
      <w:pPr>
        <w:pStyle w:val="Compact"/>
        <w:numPr>
          <w:ilvl w:val="0"/>
          <w:numId w:val="43"/>
        </w:numPr>
      </w:pPr>
      <w:r>
        <w:rPr>
          <w:b/>
          <w:bCs/>
        </w:rPr>
        <w:t>§3.15 (morally grounded, ground unspecified)</w:t>
      </w:r>
      <w:r>
        <w:t xml:space="preserve"> is candidate load-bearing material for the </w:t>
      </w:r>
      <w:r>
        <w:rPr>
          <w:b/>
          <w:bCs/>
        </w:rPr>
        <w:t>cross-cutting finding</w:t>
      </w:r>
      <w:r>
        <w:t>: the empirical turn as an unwitting witness to convergence-at-dimensions and divergence-at-ground. This is the most important single result of the dive.</w:t>
      </w:r>
    </w:p>
    <w:p w14:paraId="23C802BD" w14:textId="77777777" w:rsidR="0035712B" w:rsidRDefault="00000000">
      <w:pPr>
        <w:pStyle w:val="Compact"/>
        <w:numPr>
          <w:ilvl w:val="0"/>
          <w:numId w:val="44"/>
        </w:numPr>
      </w:pPr>
      <w:r>
        <w:rPr>
          <w:b/>
          <w:bCs/>
        </w:rPr>
        <w:t>Solomon’s paradox</w:t>
      </w:r>
      <w:r>
        <w:t xml:space="preserve"> (§3.9–3.10) transfers directly to </w:t>
      </w:r>
      <w:r>
        <w:rPr>
          <w:b/>
          <w:bCs/>
        </w:rPr>
        <w:t>Dive 4</w:t>
      </w:r>
      <w:r>
        <w:t xml:space="preserve"> as the empirical spine of the inside/outside axis, and reads at both scales of the mirror.</w:t>
      </w:r>
    </w:p>
    <w:p w14:paraId="4B1DCC6C" w14:textId="77777777" w:rsidR="0035712B" w:rsidRDefault="00000000">
      <w:pPr>
        <w:pStyle w:val="Compact"/>
        <w:numPr>
          <w:ilvl w:val="0"/>
          <w:numId w:val="45"/>
        </w:numPr>
      </w:pPr>
      <w:r>
        <w:rPr>
          <w:b/>
          <w:bCs/>
        </w:rPr>
        <w:t>The elder/age tension</w:t>
      </w:r>
      <w:r>
        <w:t xml:space="preserve"> (§3.17) feeds back to </w:t>
      </w:r>
      <w:r>
        <w:rPr>
          <w:b/>
          <w:bCs/>
        </w:rPr>
        <w:t>Dive 1 §1.10</w:t>
      </w:r>
      <w:r>
        <w:t xml:space="preserve"> and </w:t>
      </w:r>
      <w:r>
        <w:rPr>
          <w:i/>
          <w:iCs/>
        </w:rPr>
        <w:t>strengthens</w:t>
      </w:r>
      <w:r>
        <w:t xml:space="preserve"> the formation thesis rather than threatening it; worth a confirming note when the master is assembled.</w:t>
      </w:r>
    </w:p>
    <w:p w14:paraId="51383B2D" w14:textId="77777777" w:rsidR="0035712B" w:rsidRDefault="00000000">
      <w:pPr>
        <w:pStyle w:val="Compact"/>
        <w:numPr>
          <w:ilvl w:val="0"/>
          <w:numId w:val="46"/>
        </w:numPr>
      </w:pPr>
      <w:r>
        <w:rPr>
          <w:b/>
          <w:bCs/>
        </w:rPr>
        <w:t>Verification status:</w:t>
      </w:r>
      <w:r>
        <w:t xml:space="preserve"> all empirical claims here are web-verified as of June 2026. Per protocol, figures should be re-confirmed against primary sources before any publication, and run past Grok claim by claim — the same discipline applied to TMM Chapter Eight.</w:t>
      </w:r>
    </w:p>
    <w:p w14:paraId="7543156C" w14:textId="77777777" w:rsidR="0035712B" w:rsidRDefault="00000000">
      <w:bookmarkStart w:id="42" w:name="dive-3-the-empirical-turn"/>
      <w:bookmarkStart w:id="43" w:name="open-threads-carried-forward-2"/>
      <w:r>
        <w:rPr>
          <w:noProof/>
        </w:rPr>
        <mc:AlternateContent>
          <mc:Choice Requires="wps">
            <w:drawing>
              <wp:inline distT="0" distB="0" distL="0" distR="0" wp14:anchorId="130CAE6E" wp14:editId="688C7A1D">
                <wp:extent cx="5943600" cy="19050"/>
                <wp:effectExtent l="0" t="0" r="0" b="0"/>
                <wp:docPr id="81" name="Rectangle 8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61BD6DC" id="Rectangle 8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2"/>
      <w:bookmarkEnd w:id="43"/>
    </w:p>
    <w:p w14:paraId="2999B58A" w14:textId="77777777" w:rsidR="0035712B" w:rsidRDefault="00000000">
      <w:pPr>
        <w:pStyle w:val="Heading3"/>
      </w:pPr>
      <w:r>
        <w:lastRenderedPageBreak/>
        <w:t>Dive 4 — Inside vs. Outside</w:t>
      </w:r>
    </w:p>
    <w:p w14:paraId="08D638CB" w14:textId="77777777" w:rsidR="0035712B" w:rsidRDefault="00000000">
      <w:pPr>
        <w:pStyle w:val="Heading4"/>
      </w:pPr>
      <w:r>
        <w:t>The governing question of this dive</w:t>
      </w:r>
    </w:p>
    <w:p w14:paraId="1D4D6611" w14:textId="77777777" w:rsidR="0035712B" w:rsidRDefault="00000000">
      <w:pPr>
        <w:pStyle w:val="FirstParagraph"/>
      </w:pPr>
      <w:r>
        <w:rPr>
          <w:b/>
          <w:bCs/>
        </w:rPr>
        <w:t>4.1</w:t>
      </w:r>
      <w:r>
        <w:t xml:space="preserve"> </w:t>
      </w:r>
      <w:r>
        <w:rPr>
          <w:rStyle w:val="VerbatimChar"/>
        </w:rPr>
        <w:t>[SYNTH]</w:t>
      </w:r>
      <w:r>
        <w:t xml:space="preserve"> </w:t>
      </w:r>
      <w:r>
        <w:rPr>
          <w:i/>
          <w:iCs/>
        </w:rPr>
        <w:t>Envision</w:t>
      </w:r>
      <w:r>
        <w:t xml:space="preserve"> has defined wisdom (Dive 1), set its rival grounds side by side (Dive 2), and watched the science try to measure it (Dive 3). One question remains before the movement closes, and it is the one the title named at the start: how does wisdom appear </w:t>
      </w:r>
      <w:r>
        <w:rPr>
          <w:b/>
          <w:bCs/>
        </w:rPr>
        <w:t>from inside, and out</w:t>
      </w:r>
      <w:r>
        <w:t xml:space="preserve"> — what is it like to </w:t>
      </w:r>
      <w:r>
        <w:rPr>
          <w:i/>
          <w:iCs/>
        </w:rPr>
        <w:t>be</w:t>
      </w:r>
      <w:r>
        <w:t xml:space="preserve"> wise, and how is wisdom </w:t>
      </w:r>
      <w:r>
        <w:rPr>
          <w:i/>
          <w:iCs/>
        </w:rPr>
        <w:t>recognized</w:t>
      </w:r>
      <w:r>
        <w:t xml:space="preserve"> by those who seek it? The dive’s real discovery is that these two views do not match, that the gap between them is lawful rather than accidental, and that closing it is itself the central discipline of a wise life.</w:t>
      </w:r>
    </w:p>
    <w:p w14:paraId="3D5154FF" w14:textId="77777777" w:rsidR="0035712B" w:rsidRDefault="00000000">
      <w:bookmarkStart w:id="44" w:name="the-governing-question-of-this-dive-3"/>
      <w:r>
        <w:rPr>
          <w:noProof/>
        </w:rPr>
        <mc:AlternateContent>
          <mc:Choice Requires="wps">
            <w:drawing>
              <wp:inline distT="0" distB="0" distL="0" distR="0" wp14:anchorId="7035A7AA" wp14:editId="556E0BA2">
                <wp:extent cx="5943600" cy="19050"/>
                <wp:effectExtent l="0" t="0" r="0" b="0"/>
                <wp:docPr id="83" name="Rectangle 8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C297C49" id="Rectangle 8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4"/>
    </w:p>
    <w:p w14:paraId="743684AA" w14:textId="77777777" w:rsidR="0035712B" w:rsidRDefault="00000000">
      <w:pPr>
        <w:pStyle w:val="Heading4"/>
      </w:pPr>
      <w:r>
        <w:t>I. The inside — the phenomenology of being wise</w:t>
      </w:r>
    </w:p>
    <w:p w14:paraId="6A8C5947" w14:textId="77777777" w:rsidR="0035712B" w:rsidRDefault="00000000">
      <w:pPr>
        <w:pStyle w:val="FirstParagraph"/>
      </w:pPr>
      <w:r>
        <w:rPr>
          <w:b/>
          <w:bCs/>
        </w:rPr>
        <w:t>4.2</w:t>
      </w:r>
      <w:r>
        <w:t xml:space="preserve"> </w:t>
      </w:r>
      <w:r>
        <w:rPr>
          <w:rStyle w:val="VerbatimChar"/>
        </w:rPr>
        <w:t>[TEXT]</w:t>
      </w:r>
      <w:r>
        <w:t xml:space="preserve"> The inside of wisdom begins in a paradox set by Socrates. Told by the Delphic oracle that no one was wiser, he set out to disprove it, and concluded that his only wisdom lay in knowing the extent of his own ignorance — where others believed they knew, he at least knew that he did not. The injunction carved at Delphi, </w:t>
      </w:r>
      <w:r>
        <w:rPr>
          <w:i/>
          <w:iCs/>
        </w:rPr>
        <w:t>know thyself</w:t>
      </w:r>
      <w:r>
        <w:t xml:space="preserve">, names the task; the </w:t>
      </w:r>
      <w:r>
        <w:rPr>
          <w:i/>
          <w:iCs/>
        </w:rPr>
        <w:t>Apology</w:t>
      </w:r>
      <w:r>
        <w:t xml:space="preserve"> names its first fruit: the wise are marked, from inside, by an acute sense of how little they hold.</w:t>
      </w:r>
    </w:p>
    <w:p w14:paraId="2549EBCF" w14:textId="77777777" w:rsidR="0035712B" w:rsidRDefault="00000000">
      <w:pPr>
        <w:pStyle w:val="BodyText"/>
      </w:pPr>
      <w:r>
        <w:rPr>
          <w:b/>
          <w:bCs/>
        </w:rPr>
        <w:t>4.3</w:t>
      </w:r>
      <w:r>
        <w:t xml:space="preserve"> </w:t>
      </w:r>
      <w:r>
        <w:rPr>
          <w:rStyle w:val="VerbatimChar"/>
        </w:rPr>
        <w:t>[SYNTH]</w:t>
      </w:r>
      <w:r>
        <w:t xml:space="preserve"> This is why </w:t>
      </w:r>
      <w:r>
        <w:rPr>
          <w:b/>
          <w:bCs/>
        </w:rPr>
        <w:t>wisdom does not feel like wisdom from inside.</w:t>
      </w:r>
      <w:r>
        <w:t xml:space="preserve"> It feels like humility, like uncertainty carried well, like the awareness of limit — never like mastery. The Stoic sage was always an asymptote (Dive 2): no one was held to have arrived, least of all in their own estimate. The person far along the road experiences not arrival but the receding of the horizon.</w:t>
      </w:r>
    </w:p>
    <w:p w14:paraId="1FE83712" w14:textId="77777777" w:rsidR="0035712B" w:rsidRDefault="00000000">
      <w:pPr>
        <w:pStyle w:val="BodyText"/>
      </w:pPr>
      <w:r>
        <w:rPr>
          <w:b/>
          <w:bCs/>
        </w:rPr>
        <w:t>4.4</w:t>
      </w:r>
      <w:r>
        <w:t xml:space="preserve"> </w:t>
      </w:r>
      <w:r>
        <w:rPr>
          <w:rStyle w:val="VerbatimChar"/>
        </w:rPr>
        <w:t>[EMPIRICAL]</w:t>
      </w:r>
      <w:r>
        <w:t xml:space="preserve"> The science stumbles on exactly this. Self-report wisdom scales are fragile precisely here: the genuinely wise tend to be modest about it, so the trait resists the questionnaire that asks people to rate it in themselves (Dive 3 §3.16). The inside view is structurally poor at measuring its own wisdom — a finding that is itself evidence for §4.3.</w:t>
      </w:r>
    </w:p>
    <w:p w14:paraId="2A958355" w14:textId="77777777" w:rsidR="0035712B" w:rsidRDefault="00000000">
      <w:pPr>
        <w:pStyle w:val="BodyText"/>
      </w:pPr>
      <w:r>
        <w:rPr>
          <w:b/>
          <w:bCs/>
        </w:rPr>
        <w:t>4.5</w:t>
      </w:r>
      <w:r>
        <w:t xml:space="preserve"> </w:t>
      </w:r>
      <w:r>
        <w:rPr>
          <w:rStyle w:val="VerbatimChar"/>
        </w:rPr>
        <w:t>[EMPIRICAL]</w:t>
      </w:r>
      <w:r>
        <w:t xml:space="preserve"> What the inside </w:t>
      </w:r>
      <w:r>
        <w:rPr>
          <w:i/>
          <w:iCs/>
        </w:rPr>
        <w:t>does</w:t>
      </w:r>
      <w:r>
        <w:t xml:space="preserve"> hold has been mapped. Michael Levenson and Carolyn Aldwin’s model casts wisdom as </w:t>
      </w:r>
      <w:r>
        <w:rPr>
          <w:b/>
          <w:bCs/>
        </w:rPr>
        <w:t>self-transcendence</w:t>
      </w:r>
      <w:r>
        <w:t xml:space="preserve"> — a decreasing reliance on external things for the definition of the self, increasing interiority, and a greater sense of connection with past and future generations (Levenson, Jennings, Aldwin &amp; Shiraishi, 2005; Adult Self-Transcendence Inventory). Its inner texture, on their measure, is self-knowledge and integration, peace of mind, non-attachment, and presence in the here and now. </w:t>
      </w:r>
      <w:r>
        <w:rPr>
          <w:rStyle w:val="VerbatimChar"/>
        </w:rPr>
        <w:t>[SYNTH]</w:t>
      </w:r>
      <w:r>
        <w:t xml:space="preserve"> The inside of wisdom is a particular quality of inner life — quiet, unclutched, at home — not a stock of answers.</w:t>
      </w:r>
    </w:p>
    <w:p w14:paraId="44DC2CE5" w14:textId="77777777" w:rsidR="0035712B" w:rsidRDefault="00000000">
      <w:bookmarkStart w:id="45" w:name="X0d04fe860e2007117b931c4105e2ed25839c88c"/>
      <w:r>
        <w:rPr>
          <w:noProof/>
        </w:rPr>
        <mc:AlternateContent>
          <mc:Choice Requires="wps">
            <w:drawing>
              <wp:inline distT="0" distB="0" distL="0" distR="0" wp14:anchorId="79C12ED3" wp14:editId="032E40DA">
                <wp:extent cx="5943600" cy="19050"/>
                <wp:effectExtent l="0" t="0" r="0" b="0"/>
                <wp:docPr id="85" name="Rectangle 8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3E9C185" id="Rectangle 8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5"/>
    </w:p>
    <w:p w14:paraId="4DB31EF0" w14:textId="77777777" w:rsidR="0035712B" w:rsidRDefault="00000000">
      <w:pPr>
        <w:pStyle w:val="Heading4"/>
      </w:pPr>
      <w:r>
        <w:t>II. The outside — the external signature</w:t>
      </w:r>
    </w:p>
    <w:p w14:paraId="6BB6BD8B" w14:textId="77777777" w:rsidR="0035712B" w:rsidRDefault="00000000">
      <w:pPr>
        <w:pStyle w:val="FirstParagraph"/>
      </w:pPr>
      <w:r>
        <w:rPr>
          <w:b/>
          <w:bCs/>
        </w:rPr>
        <w:t>4.6</w:t>
      </w:r>
      <w:r>
        <w:t xml:space="preserve"> </w:t>
      </w:r>
      <w:r>
        <w:rPr>
          <w:rStyle w:val="VerbatimChar"/>
        </w:rPr>
        <w:t>[SYNTH]</w:t>
      </w:r>
      <w:r>
        <w:t xml:space="preserve"> From outside, wisdom shows differently: not as a felt state but as a signature others read. Dive 1 established that the elder is </w:t>
      </w:r>
      <w:r>
        <w:rPr>
          <w:i/>
          <w:iCs/>
        </w:rPr>
        <w:t>recognized, not credentialed</w:t>
      </w:r>
      <w:r>
        <w:t xml:space="preserve">. The clearest </w:t>
      </w:r>
      <w:r>
        <w:lastRenderedPageBreak/>
        <w:t xml:space="preserve">external sign is </w:t>
      </w:r>
      <w:r>
        <w:rPr>
          <w:b/>
          <w:bCs/>
        </w:rPr>
        <w:t>counsel</w:t>
      </w:r>
      <w:r>
        <w:t xml:space="preserve"> — the wise person is the one sought out for advice, and Baltes himself flagged the open question of whether those who score as wise are in fact the people others turn to (Dive 3).</w:t>
      </w:r>
    </w:p>
    <w:p w14:paraId="5C926DF6" w14:textId="77777777" w:rsidR="0035712B" w:rsidRDefault="00000000">
      <w:pPr>
        <w:pStyle w:val="BodyText"/>
      </w:pPr>
      <w:r>
        <w:rPr>
          <w:b/>
          <w:bCs/>
        </w:rPr>
        <w:t>4.7</w:t>
      </w:r>
      <w:r>
        <w:t xml:space="preserve"> </w:t>
      </w:r>
      <w:r>
        <w:rPr>
          <w:rStyle w:val="VerbatimChar"/>
        </w:rPr>
        <w:t>[EMPIRICAL]</w:t>
      </w:r>
      <w:r>
        <w:t xml:space="preserve"> The recognition is real and studiable even where definition fails. Sternberg’s foundational work on </w:t>
      </w:r>
      <w:r>
        <w:rPr>
          <w:b/>
          <w:bCs/>
        </w:rPr>
        <w:t>implicit theories of wisdom</w:t>
      </w:r>
      <w:r>
        <w:t xml:space="preserve"> (1985) showed that laypeople carry a shared, reliable prototype of the wise person and match candidates against it — we cannot define wisdom cleanly, yet we agree remarkably on who has it. </w:t>
      </w:r>
      <w:r>
        <w:rPr>
          <w:rStyle w:val="VerbatimChar"/>
        </w:rPr>
        <w:t>[SYNTH]</w:t>
      </w:r>
      <w:r>
        <w:t xml:space="preserve"> This is the empirical form of “you know it when you see it”: the outside view is competent at recognition long before the inside view can give an account.</w:t>
      </w:r>
    </w:p>
    <w:p w14:paraId="789168EE" w14:textId="77777777" w:rsidR="0035712B" w:rsidRDefault="00000000">
      <w:pPr>
        <w:pStyle w:val="BodyText"/>
      </w:pPr>
      <w:r>
        <w:rPr>
          <w:b/>
          <w:bCs/>
        </w:rPr>
        <w:t>4.8</w:t>
      </w:r>
      <w:r>
        <w:t xml:space="preserve"> </w:t>
      </w:r>
      <w:r>
        <w:rPr>
          <w:rStyle w:val="VerbatimChar"/>
        </w:rPr>
        <w:t>[EMPIRICAL]</w:t>
      </w:r>
      <w:r>
        <w:t xml:space="preserve"> The recognized signature is not single. Weststrate, Ferrari and Ardelt (2016) found that wisdom exemplars cluster into distinct prototypes — practical, philosophical, and benevolent. And implicit theories vary across cultures and persons (Takahashi &amp; Bordia, 2000). </w:t>
      </w:r>
      <w:r>
        <w:rPr>
          <w:rStyle w:val="VerbatimChar"/>
        </w:rPr>
        <w:t>[SYNTH]</w:t>
      </w:r>
      <w:r>
        <w:t xml:space="preserve"> The outside signature is real and convergent at its core, but culturally inflected at its edges — which is the convergence/divergence structure showing up once more, now in how wisdom is </w:t>
      </w:r>
      <w:r>
        <w:rPr>
          <w:i/>
          <w:iCs/>
        </w:rPr>
        <w:t>seen</w:t>
      </w:r>
      <w:r>
        <w:t xml:space="preserve"> rather than what it </w:t>
      </w:r>
      <w:r>
        <w:rPr>
          <w:i/>
          <w:iCs/>
        </w:rPr>
        <w:t>rests on</w:t>
      </w:r>
      <w:r>
        <w:t>.</w:t>
      </w:r>
    </w:p>
    <w:p w14:paraId="7D73683F" w14:textId="77777777" w:rsidR="0035712B" w:rsidRDefault="00000000">
      <w:bookmarkStart w:id="46" w:name="ii.-the-outside-the-external-signature"/>
      <w:r>
        <w:rPr>
          <w:noProof/>
        </w:rPr>
        <mc:AlternateContent>
          <mc:Choice Requires="wps">
            <w:drawing>
              <wp:inline distT="0" distB="0" distL="0" distR="0" wp14:anchorId="207AA9C3" wp14:editId="1CCF6B05">
                <wp:extent cx="5943600" cy="19050"/>
                <wp:effectExtent l="0" t="0" r="0" b="0"/>
                <wp:docPr id="87" name="Rectangle 8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28145E2" id="Rectangle 8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6"/>
    </w:p>
    <w:p w14:paraId="4F732768" w14:textId="77777777" w:rsidR="0035712B" w:rsidRDefault="00000000">
      <w:pPr>
        <w:pStyle w:val="Heading4"/>
      </w:pPr>
      <w:r>
        <w:t>III. The gap — why inside and outside diverge</w:t>
      </w:r>
    </w:p>
    <w:p w14:paraId="0FBB97A0" w14:textId="77777777" w:rsidR="0035712B" w:rsidRDefault="00000000">
      <w:pPr>
        <w:pStyle w:val="FirstParagraph"/>
      </w:pPr>
      <w:r>
        <w:rPr>
          <w:b/>
          <w:bCs/>
        </w:rPr>
        <w:t>4.9</w:t>
      </w:r>
      <w:r>
        <w:t xml:space="preserve"> </w:t>
      </w:r>
      <w:r>
        <w:rPr>
          <w:rStyle w:val="VerbatimChar"/>
        </w:rPr>
        <w:t>[EMPIRICAL]</w:t>
      </w:r>
      <w:r>
        <w:t xml:space="preserve"> The two views come apart, and lawfully. Solomon’s paradox (Dive 3 §3.9) is the sharpest demonstration: people reason more wisely about others’ problems than their own. The </w:t>
      </w:r>
      <w:r>
        <w:rPr>
          <w:b/>
          <w:bCs/>
        </w:rPr>
        <w:t>outside view of a life — someone else’s — is clearer than the inside view of one’s own.</w:t>
      </w:r>
      <w:r>
        <w:t xml:space="preserve"> Staudinger’s empirical split between </w:t>
      </w:r>
      <w:r>
        <w:rPr>
          <w:i/>
          <w:iCs/>
        </w:rPr>
        <w:t>general</w:t>
      </w:r>
      <w:r>
        <w:t xml:space="preserve"> wisdom (insight into life at large) and </w:t>
      </w:r>
      <w:r>
        <w:rPr>
          <w:i/>
          <w:iCs/>
        </w:rPr>
        <w:t>personal</w:t>
      </w:r>
      <w:r>
        <w:t xml:space="preserve"> wisdom (insight into one’s own life) points the same way: personal wisdom is the harder, rarer achievement (Dive 3 §3.4).</w:t>
      </w:r>
    </w:p>
    <w:p w14:paraId="2AB49C9C" w14:textId="77777777" w:rsidR="0035712B" w:rsidRDefault="00000000">
      <w:pPr>
        <w:pStyle w:val="BodyText"/>
      </w:pPr>
      <w:r>
        <w:rPr>
          <w:b/>
          <w:bCs/>
        </w:rPr>
        <w:t>4.10</w:t>
      </w:r>
      <w:r>
        <w:t xml:space="preserve"> </w:t>
      </w:r>
      <w:r>
        <w:rPr>
          <w:rStyle w:val="VerbatimChar"/>
        </w:rPr>
        <w:t>[SYNTH]</w:t>
      </w:r>
      <w:r>
        <w:t xml:space="preserve"> The structural reason is simple and severe. </w:t>
      </w:r>
      <w:r>
        <w:rPr>
          <w:b/>
          <w:bCs/>
        </w:rPr>
        <w:t>The self is the one object we cannot view from outside</w:t>
      </w:r>
      <w:r>
        <w:t xml:space="preserve"> — and wisdom is precisely the capacity to see clearly. So the self is wisdom’s native blind spot. This explains both halves at once: why the wise do not feel wise (the inside is occluded to itself), and why we recognize wisdom in others more readily than in ourselves (the outside is the easy direction of sight). The inside/outside axis, fully stated: </w:t>
      </w:r>
      <w:r>
        <w:rPr>
          <w:b/>
          <w:bCs/>
        </w:rPr>
        <w:t>wisdom looks outward with ease and inward only with difficulty.</w:t>
      </w:r>
    </w:p>
    <w:p w14:paraId="6DE8CB16" w14:textId="77777777" w:rsidR="0035712B" w:rsidRDefault="00000000">
      <w:bookmarkStart w:id="47" w:name="Xf5ca3502e5df08af849bdfebdfd42f0db988f1d"/>
      <w:r>
        <w:rPr>
          <w:noProof/>
        </w:rPr>
        <mc:AlternateContent>
          <mc:Choice Requires="wps">
            <w:drawing>
              <wp:inline distT="0" distB="0" distL="0" distR="0" wp14:anchorId="5C496CBE" wp14:editId="07DD8B45">
                <wp:extent cx="5943600" cy="19050"/>
                <wp:effectExtent l="0" t="0" r="0" b="0"/>
                <wp:docPr id="89" name="Rectangle 8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AAA0680" id="Rectangle 8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7"/>
    </w:p>
    <w:p w14:paraId="16C3F099" w14:textId="77777777" w:rsidR="0035712B" w:rsidRDefault="00000000">
      <w:pPr>
        <w:pStyle w:val="Heading4"/>
      </w:pPr>
      <w:r>
        <w:t>IV. The resolution — self-transcendence as the bridge</w:t>
      </w:r>
    </w:p>
    <w:p w14:paraId="75F1DCBE" w14:textId="77777777" w:rsidR="0035712B" w:rsidRDefault="00000000">
      <w:pPr>
        <w:pStyle w:val="FirstParagraph"/>
      </w:pPr>
      <w:r>
        <w:rPr>
          <w:b/>
          <w:bCs/>
        </w:rPr>
        <w:t>4.11</w:t>
      </w:r>
      <w:r>
        <w:t xml:space="preserve"> </w:t>
      </w:r>
      <w:r>
        <w:rPr>
          <w:rStyle w:val="VerbatimChar"/>
        </w:rPr>
        <w:t>[SYNTH]</w:t>
      </w:r>
      <w:r>
        <w:t xml:space="preserve"> If the inside is the hard direction, the discipline of wisdom is to </w:t>
      </w:r>
      <w:r>
        <w:rPr>
          <w:b/>
          <w:bCs/>
        </w:rPr>
        <w:t>achieve the outside view of oneself</w:t>
      </w:r>
      <w:r>
        <w:t xml:space="preserve"> — to learn to see one’s own life as if it were another’s. The two research programs converge on exactly this lever. Grossmann’s </w:t>
      </w:r>
      <w:r>
        <w:rPr>
          <w:i/>
          <w:iCs/>
        </w:rPr>
        <w:t>self-distancing</w:t>
      </w:r>
      <w:r>
        <w:t xml:space="preserve"> eliminates Solomon’s paradox (Dive 3 §3.9): addressed from a third-person distance, our own troubles draw the same wisdom we extend to others. Levenson’s </w:t>
      </w:r>
      <w:r>
        <w:rPr>
          <w:i/>
          <w:iCs/>
        </w:rPr>
        <w:t>self-transcendence</w:t>
      </w:r>
      <w:r>
        <w:t xml:space="preserve"> names the deeper version — the quieting of the ego, the dissolution of the rigid boundary between self and others, independence from external self-definitions (Levenson et al., 2005).</w:t>
      </w:r>
    </w:p>
    <w:p w14:paraId="5AAE69F2" w14:textId="77777777" w:rsidR="0035712B" w:rsidRDefault="00000000">
      <w:pPr>
        <w:pStyle w:val="BodyText"/>
      </w:pPr>
      <w:r>
        <w:rPr>
          <w:b/>
          <w:bCs/>
        </w:rPr>
        <w:lastRenderedPageBreak/>
        <w:t>4.12</w:t>
      </w:r>
      <w:r>
        <w:t xml:space="preserve"> </w:t>
      </w:r>
      <w:r>
        <w:rPr>
          <w:rStyle w:val="VerbatimChar"/>
        </w:rPr>
        <w:t>[HYP]</w:t>
      </w:r>
      <w:r>
        <w:t xml:space="preserve"> This is one of the deepest convergences in the whole survey. Every tradition demands the same movement out of the ego: the Stoic view from above, the Buddhist </w:t>
      </w:r>
      <w:r>
        <w:rPr>
          <w:i/>
          <w:iCs/>
        </w:rPr>
        <w:t>anatta</w:t>
      </w:r>
      <w:r>
        <w:t xml:space="preserve">, the Christian dying to self, the Taoist forgetting of the self. The de-centering of the self — Dive 2’s humility, Dive 3’s perspectival metacognition — </w:t>
      </w:r>
      <w:r>
        <w:rPr>
          <w:i/>
          <w:iCs/>
        </w:rPr>
        <w:t>is</w:t>
      </w:r>
      <w:r>
        <w:t xml:space="preserve"> the inside/outside resolution under another name. The traditions and the laboratories agree: wisdom is, centrally, getting outside oneself.</w:t>
      </w:r>
    </w:p>
    <w:p w14:paraId="70234B98" w14:textId="77777777" w:rsidR="0035712B" w:rsidRDefault="00000000">
      <w:pPr>
        <w:pStyle w:val="BodyText"/>
      </w:pPr>
      <w:r>
        <w:rPr>
          <w:b/>
          <w:bCs/>
        </w:rPr>
        <w:t>4.13</w:t>
      </w:r>
      <w:r>
        <w:t xml:space="preserve"> </w:t>
      </w:r>
      <w:r>
        <w:rPr>
          <w:rStyle w:val="VerbatimChar"/>
        </w:rPr>
        <w:t>[SYNTH]</w:t>
      </w:r>
      <w:r>
        <w:t xml:space="preserve"> </w:t>
      </w:r>
      <w:r>
        <w:rPr>
          <w:b/>
          <w:bCs/>
        </w:rPr>
        <w:t>And the ground reappears at the destination.</w:t>
      </w:r>
      <w:r>
        <w:t xml:space="preserve"> Self-transcendence is convergent as a </w:t>
      </w:r>
      <w:r>
        <w:rPr>
          <w:i/>
          <w:iCs/>
        </w:rPr>
        <w:t>movement</w:t>
      </w:r>
      <w:r>
        <w:t xml:space="preserve"> and divergent at its </w:t>
      </w:r>
      <w:r>
        <w:rPr>
          <w:i/>
          <w:iCs/>
        </w:rPr>
        <w:t>object</w:t>
      </w:r>
      <w:r>
        <w:t xml:space="preserve"> — transcendence toward </w:t>
      </w:r>
      <w:r>
        <w:rPr>
          <w:i/>
          <w:iCs/>
        </w:rPr>
        <w:t>what?</w:t>
      </w:r>
      <w:r>
        <w:t xml:space="preserve"> Levenson’s own measure folds in “increasing spirituality” and connection to “a greater whole” without naming the whole; the secular instrument reaches the threshold and stops, exactly as in §3.15. Getting outside the self is the shared road; what one finds there is where the traditions part. The convergence/divergence structure holds even here, at the most intimate point of the inquiry.</w:t>
      </w:r>
    </w:p>
    <w:p w14:paraId="1517E887" w14:textId="77777777" w:rsidR="0035712B" w:rsidRDefault="00000000">
      <w:bookmarkStart w:id="48" w:name="X6da967ed8b8cee74d430c71dbcbc573ffd49621"/>
      <w:r>
        <w:rPr>
          <w:noProof/>
        </w:rPr>
        <mc:AlternateContent>
          <mc:Choice Requires="wps">
            <w:drawing>
              <wp:inline distT="0" distB="0" distL="0" distR="0" wp14:anchorId="59348C2A" wp14:editId="4FF206A4">
                <wp:extent cx="5943600" cy="19050"/>
                <wp:effectExtent l="0" t="0" r="0" b="0"/>
                <wp:docPr id="91" name="Rectangle 9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659C33E" id="Rectangle 9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8"/>
    </w:p>
    <w:p w14:paraId="51404282" w14:textId="77777777" w:rsidR="0035712B" w:rsidRDefault="00000000">
      <w:pPr>
        <w:pStyle w:val="Heading4"/>
      </w:pPr>
      <w:r>
        <w:t>V. The reading — what the inside/outside axis gives the book</w:t>
      </w:r>
    </w:p>
    <w:p w14:paraId="2944494C" w14:textId="77777777" w:rsidR="0035712B" w:rsidRDefault="00000000">
      <w:pPr>
        <w:pStyle w:val="FirstParagraph"/>
      </w:pPr>
      <w:r>
        <w:rPr>
          <w:b/>
          <w:bCs/>
        </w:rPr>
        <w:t>4.14</w:t>
      </w:r>
      <w:r>
        <w:t xml:space="preserve"> </w:t>
      </w:r>
      <w:r>
        <w:rPr>
          <w:rStyle w:val="VerbatimChar"/>
        </w:rPr>
        <w:t>[SYNTH]</w:t>
      </w:r>
      <w:r>
        <w:t xml:space="preserve"> </w:t>
      </w:r>
      <w:r>
        <w:rPr>
          <w:b/>
          <w:bCs/>
        </w:rPr>
        <w:t>For the exemplars (Governing Note §7):</w:t>
      </w:r>
      <w:r>
        <w:t xml:space="preserve"> the wise person the book points to will not claim the title — cannot, if §4.3 is right. This is not a problem to solve but a feature to honor. The witness names wisdom where it sees it from outside, in lives and traditions; it does not wait for the wise to announce themselves, because the truly wise never will.</w:t>
      </w:r>
    </w:p>
    <w:p w14:paraId="3BBCBACE" w14:textId="77777777" w:rsidR="0035712B" w:rsidRDefault="00000000">
      <w:pPr>
        <w:pStyle w:val="BodyText"/>
      </w:pPr>
      <w:r>
        <w:rPr>
          <w:b/>
          <w:bCs/>
        </w:rPr>
        <w:t>4.15</w:t>
      </w:r>
      <w:r>
        <w:t xml:space="preserve"> </w:t>
      </w:r>
      <w:r>
        <w:rPr>
          <w:rStyle w:val="VerbatimChar"/>
        </w:rPr>
        <w:t>[SYNTH]</w:t>
      </w:r>
      <w:r>
        <w:t xml:space="preserve"> </w:t>
      </w:r>
      <w:r>
        <w:rPr>
          <w:b/>
          <w:bCs/>
        </w:rPr>
        <w:t>For the practical spine:</w:t>
      </w:r>
      <w:r>
        <w:t xml:space="preserve"> the self-knowledge paradox is usable and true. The hardest wisdom is wisdom about oneself; the lever is to step outside oneself; and the lever works — self-distancing is testable, teachable, repeatable. This reads at both scales of the mirror: a society, too, diagnoses another nation’s pathology faster than its own. Solomon’s paradox, writ large, is why self-examination is the rarest civic virtue.</w:t>
      </w:r>
    </w:p>
    <w:p w14:paraId="525754A4" w14:textId="77777777" w:rsidR="0035712B" w:rsidRDefault="00000000">
      <w:pPr>
        <w:pStyle w:val="BodyText"/>
      </w:pPr>
      <w:r>
        <w:rPr>
          <w:b/>
          <w:bCs/>
        </w:rPr>
        <w:t>4.16</w:t>
      </w:r>
      <w:r>
        <w:t xml:space="preserve"> </w:t>
      </w:r>
      <w:r>
        <w:rPr>
          <w:rStyle w:val="VerbatimChar"/>
        </w:rPr>
        <w:t>[SYNTH]</w:t>
      </w:r>
      <w:r>
        <w:t xml:space="preserve"> </w:t>
      </w:r>
      <w:r>
        <w:rPr>
          <w:b/>
          <w:bCs/>
        </w:rPr>
        <w:t>For the witness stance itself:</w:t>
      </w:r>
      <w:r>
        <w:t xml:space="preserve"> a truthful witness testifies from the </w:t>
      </w:r>
      <w:r>
        <w:rPr>
          <w:i/>
          <w:iCs/>
        </w:rPr>
        <w:t>outside</w:t>
      </w:r>
      <w:r>
        <w:t xml:space="preserve"> view — the clear-sighted gaze it can turn on lives and traditions — while practicing self-distancing on its own ground. The §3(a) discipline, </w:t>
      </w:r>
      <w:r>
        <w:rPr>
          <w:i/>
          <w:iCs/>
        </w:rPr>
        <w:t>diagnose the loss as ours</w:t>
      </w:r>
      <w:r>
        <w:t>, is revealed here as an act of self-transcendence: turning wisdom’s easy outward gaze back onto the writer’s own house. The book earns trust by doing to itself what it asks of the reader.</w:t>
      </w:r>
    </w:p>
    <w:p w14:paraId="7B56EF51" w14:textId="77777777" w:rsidR="0035712B" w:rsidRDefault="00000000">
      <w:bookmarkStart w:id="49" w:name="X81288224932e0ffb312dc8dc79ee4da70c912ff"/>
      <w:r>
        <w:rPr>
          <w:noProof/>
        </w:rPr>
        <mc:AlternateContent>
          <mc:Choice Requires="wps">
            <w:drawing>
              <wp:inline distT="0" distB="0" distL="0" distR="0" wp14:anchorId="12F5A430" wp14:editId="74A87A69">
                <wp:extent cx="5943600" cy="19050"/>
                <wp:effectExtent l="0" t="0" r="0" b="0"/>
                <wp:docPr id="93" name="Rectangle 9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68D0410" id="Rectangle 9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49"/>
    </w:p>
    <w:p w14:paraId="5127EB2A" w14:textId="77777777" w:rsidR="0035712B" w:rsidRDefault="00000000">
      <w:pPr>
        <w:pStyle w:val="Heading4"/>
      </w:pPr>
      <w:r>
        <w:t>Thinker &amp; source catalogue — additions from this dive</w:t>
      </w:r>
    </w:p>
    <w:p w14:paraId="037583F3" w14:textId="77777777" w:rsidR="0035712B" w:rsidRDefault="00000000">
      <w:pPr>
        <w:pStyle w:val="Compact"/>
        <w:numPr>
          <w:ilvl w:val="0"/>
          <w:numId w:val="47"/>
        </w:numPr>
      </w:pPr>
      <w:r>
        <w:rPr>
          <w:b/>
          <w:bCs/>
        </w:rPr>
        <w:t>Socrates</w:t>
      </w:r>
      <w:r>
        <w:t xml:space="preserve"> — </w:t>
      </w:r>
      <w:r>
        <w:rPr>
          <w:i/>
          <w:iCs/>
        </w:rPr>
        <w:t>Apology</w:t>
      </w:r>
      <w:r>
        <w:t xml:space="preserve">; the Delphic oracle and </w:t>
      </w:r>
      <w:r>
        <w:rPr>
          <w:i/>
          <w:iCs/>
        </w:rPr>
        <w:t>know thyself</w:t>
      </w:r>
      <w:r>
        <w:t xml:space="preserve">; wisdom as awareness of one’s own ignorance. </w:t>
      </w:r>
      <w:r>
        <w:rPr>
          <w:i/>
          <w:iCs/>
        </w:rPr>
        <w:t>The founding statement of the inside view. Cross-ref: Dive 1.</w:t>
      </w:r>
    </w:p>
    <w:p w14:paraId="4E53C503" w14:textId="77777777" w:rsidR="0035712B" w:rsidRDefault="00000000">
      <w:pPr>
        <w:pStyle w:val="Compact"/>
        <w:numPr>
          <w:ilvl w:val="0"/>
          <w:numId w:val="48"/>
        </w:numPr>
      </w:pPr>
      <w:r>
        <w:rPr>
          <w:b/>
          <w:bCs/>
        </w:rPr>
        <w:t>Robert Sternberg</w:t>
      </w:r>
      <w:r>
        <w:t xml:space="preserve"> — implicit theories of wisdom (1985, JPSP); the shared lay prototype; recognition without definition. </w:t>
      </w:r>
      <w:r>
        <w:rPr>
          <w:i/>
          <w:iCs/>
        </w:rPr>
        <w:t>The outside signature, empirically.</w:t>
      </w:r>
    </w:p>
    <w:p w14:paraId="7EB9E5B8" w14:textId="77777777" w:rsidR="0035712B" w:rsidRDefault="00000000">
      <w:pPr>
        <w:pStyle w:val="Compact"/>
        <w:numPr>
          <w:ilvl w:val="0"/>
          <w:numId w:val="49"/>
        </w:numPr>
      </w:pPr>
      <w:r>
        <w:rPr>
          <w:b/>
          <w:bCs/>
        </w:rPr>
        <w:t>Nic Weststrate, Michel Ferrari &amp; Monika Ardelt</w:t>
      </w:r>
      <w:r>
        <w:t xml:space="preserve"> — wisdom-exemplar prototypes: practical, philosophical, benevolent (2016). </w:t>
      </w:r>
      <w:r>
        <w:rPr>
          <w:i/>
          <w:iCs/>
        </w:rPr>
        <w:t>The plural faces of recognition.</w:t>
      </w:r>
    </w:p>
    <w:p w14:paraId="3CAEB7AF" w14:textId="77777777" w:rsidR="0035712B" w:rsidRDefault="00000000">
      <w:pPr>
        <w:pStyle w:val="Compact"/>
        <w:numPr>
          <w:ilvl w:val="0"/>
          <w:numId w:val="50"/>
        </w:numPr>
      </w:pPr>
      <w:r>
        <w:rPr>
          <w:b/>
          <w:bCs/>
        </w:rPr>
        <w:lastRenderedPageBreak/>
        <w:t>Ursula Staudinger</w:t>
      </w:r>
      <w:r>
        <w:t xml:space="preserve"> — general vs. personal wisdom; personal wisdom the rarer achievement. </w:t>
      </w:r>
      <w:r>
        <w:rPr>
          <w:i/>
          <w:iCs/>
        </w:rPr>
        <w:t>The empirical inside/outside split. Cross-ref: Dive 3 §3.4.</w:t>
      </w:r>
    </w:p>
    <w:p w14:paraId="15C9875F" w14:textId="77777777" w:rsidR="0035712B" w:rsidRDefault="00000000">
      <w:pPr>
        <w:pStyle w:val="Compact"/>
        <w:numPr>
          <w:ilvl w:val="0"/>
          <w:numId w:val="51"/>
        </w:numPr>
      </w:pPr>
      <w:r>
        <w:rPr>
          <w:b/>
          <w:bCs/>
        </w:rPr>
        <w:t>Michael Levenson &amp; Carolyn Aldwin</w:t>
      </w:r>
      <w:r>
        <w:t xml:space="preserve"> — wisdom as self-transcendence; the ASTI; ego-quieting, non-attachment, interiority. </w:t>
      </w:r>
      <w:r>
        <w:rPr>
          <w:i/>
          <w:iCs/>
        </w:rPr>
        <w:t>(Levenson et al., 2005; Aldwin, Igarashi &amp; Levenson, 2019, Cambridge Handbook of Wisdom.) The bridge concept.</w:t>
      </w:r>
    </w:p>
    <w:p w14:paraId="6F5B1655" w14:textId="77777777" w:rsidR="0035712B" w:rsidRDefault="00000000">
      <w:pPr>
        <w:pStyle w:val="Compact"/>
        <w:numPr>
          <w:ilvl w:val="0"/>
          <w:numId w:val="52"/>
        </w:numPr>
      </w:pPr>
      <w:r>
        <w:rPr>
          <w:b/>
          <w:bCs/>
        </w:rPr>
        <w:t>Igor Grossmann</w:t>
      </w:r>
      <w:r>
        <w:t xml:space="preserve"> — self-distancing as the lever that closes the inside/outside gap. </w:t>
      </w:r>
      <w:r>
        <w:rPr>
          <w:i/>
          <w:iCs/>
        </w:rPr>
        <w:t>Cross-ref: Dive 3 §3.9–3.10.</w:t>
      </w:r>
    </w:p>
    <w:p w14:paraId="1474BE62" w14:textId="77777777" w:rsidR="0035712B" w:rsidRDefault="00000000">
      <w:bookmarkStart w:id="50" w:name="X72ca71892c63699765a6344538f4f8d94d5a7ae"/>
      <w:r>
        <w:rPr>
          <w:noProof/>
        </w:rPr>
        <mc:AlternateContent>
          <mc:Choice Requires="wps">
            <w:drawing>
              <wp:inline distT="0" distB="0" distL="0" distR="0" wp14:anchorId="7E6CF817" wp14:editId="3576846A">
                <wp:extent cx="5943600" cy="19050"/>
                <wp:effectExtent l="0" t="0" r="0" b="0"/>
                <wp:docPr id="95" name="Rectangle 9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2292303" id="Rectangle 9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0"/>
    </w:p>
    <w:p w14:paraId="5DB860AF" w14:textId="77777777" w:rsidR="0035712B" w:rsidRDefault="00000000">
      <w:pPr>
        <w:pStyle w:val="Heading4"/>
      </w:pPr>
      <w:r>
        <w:t>Open threads carried forward</w:t>
      </w:r>
    </w:p>
    <w:p w14:paraId="0562046D" w14:textId="77777777" w:rsidR="0035712B" w:rsidRDefault="00000000">
      <w:pPr>
        <w:pStyle w:val="Compact"/>
        <w:numPr>
          <w:ilvl w:val="0"/>
          <w:numId w:val="53"/>
        </w:numPr>
      </w:pPr>
      <w:r>
        <w:rPr>
          <w:b/>
          <w:bCs/>
        </w:rPr>
        <w:t>Self-transcendence / unselfing</w:t>
      </w:r>
      <w:r>
        <w:t xml:space="preserve"> (§4.11–4.12) flows straight into the </w:t>
      </w:r>
      <w:r>
        <w:rPr>
          <w:b/>
          <w:bCs/>
        </w:rPr>
        <w:t>LIVE</w:t>
      </w:r>
      <w:r>
        <w:t xml:space="preserve"> movement — Weil and Murdoch on attention as “unselfing” are the practiced form of the same move. This is the natural pivot out of </w:t>
      </w:r>
      <w:r>
        <w:rPr>
          <w:i/>
          <w:iCs/>
        </w:rPr>
        <w:t>Envision</w:t>
      </w:r>
      <w:r>
        <w:t>.</w:t>
      </w:r>
    </w:p>
    <w:p w14:paraId="1C507DD3" w14:textId="77777777" w:rsidR="0035712B" w:rsidRDefault="00000000">
      <w:pPr>
        <w:pStyle w:val="Compact"/>
        <w:numPr>
          <w:ilvl w:val="0"/>
          <w:numId w:val="54"/>
        </w:numPr>
      </w:pPr>
      <w:r>
        <w:rPr>
          <w:b/>
          <w:bCs/>
        </w:rPr>
        <w:t>The destination of transcendence</w:t>
      </w:r>
      <w:r>
        <w:t xml:space="preserve"> (§4.13) is candidate material for the </w:t>
      </w:r>
      <w:r>
        <w:rPr>
          <w:b/>
          <w:bCs/>
        </w:rPr>
        <w:t>cross-cutting finding</w:t>
      </w:r>
      <w:r>
        <w:t>, alongside §3.15: convergence on the movement out of the self, divergence on what the self moves toward.</w:t>
      </w:r>
    </w:p>
    <w:p w14:paraId="56F7D248" w14:textId="77777777" w:rsidR="0035712B" w:rsidRDefault="00000000">
      <w:pPr>
        <w:pStyle w:val="Compact"/>
        <w:numPr>
          <w:ilvl w:val="0"/>
          <w:numId w:val="55"/>
        </w:numPr>
      </w:pPr>
      <w:r>
        <w:rPr>
          <w:b/>
          <w:bCs/>
        </w:rPr>
        <w:t>“Exemplars don’t claim the title”</w:t>
      </w:r>
      <w:r>
        <w:t xml:space="preserve"> (§4.14) sharpens </w:t>
      </w:r>
      <w:r>
        <w:rPr>
          <w:b/>
          <w:bCs/>
        </w:rPr>
        <w:t>Governing Note §7</w:t>
      </w:r>
      <w:r>
        <w:t xml:space="preserve"> — worth a confirming line when the master is assembled.</w:t>
      </w:r>
    </w:p>
    <w:p w14:paraId="7C4AEAB2" w14:textId="77777777" w:rsidR="0035712B" w:rsidRDefault="00000000">
      <w:pPr>
        <w:pStyle w:val="Compact"/>
        <w:numPr>
          <w:ilvl w:val="0"/>
          <w:numId w:val="56"/>
        </w:numPr>
      </w:pPr>
      <w:r>
        <w:rPr>
          <w:b/>
          <w:bCs/>
        </w:rPr>
        <w:t>Witness-as-self-distancing</w:t>
      </w:r>
      <w:r>
        <w:t xml:space="preserve"> (§4.16) reinforces </w:t>
      </w:r>
      <w:r>
        <w:rPr>
          <w:b/>
          <w:bCs/>
        </w:rPr>
        <w:t>Governing Note §3(a)</w:t>
      </w:r>
      <w:r>
        <w:t>: the diagnosis of common loss is itself an exercise of the wisdom the book describes.</w:t>
      </w:r>
    </w:p>
    <w:p w14:paraId="611AA6FF" w14:textId="77777777" w:rsidR="0035712B" w:rsidRDefault="00000000">
      <w:pPr>
        <w:pStyle w:val="Compact"/>
        <w:numPr>
          <w:ilvl w:val="0"/>
          <w:numId w:val="57"/>
        </w:numPr>
      </w:pPr>
      <w:r>
        <w:rPr>
          <w:b/>
          <w:bCs/>
        </w:rPr>
        <w:t>ENVISION is now complete.</w:t>
      </w:r>
      <w:r>
        <w:t xml:space="preserve"> Define → ground → measure → see from inside and out. Natural next movement: </w:t>
      </w:r>
      <w:r>
        <w:rPr>
          <w:b/>
          <w:bCs/>
        </w:rPr>
        <w:t>LIVE</w:t>
      </w:r>
      <w:r>
        <w:t>, opening with Hadot and philosophy as a way of life.</w:t>
      </w:r>
    </w:p>
    <w:p w14:paraId="568579E6" w14:textId="77777777" w:rsidR="0035712B" w:rsidRDefault="00000000">
      <w:bookmarkStart w:id="51" w:name="movement-i-envision"/>
      <w:bookmarkStart w:id="52" w:name="dive-4-inside-vs.-outside"/>
      <w:bookmarkStart w:id="53" w:name="open-threads-carried-forward-3"/>
      <w:r>
        <w:rPr>
          <w:noProof/>
        </w:rPr>
        <mc:AlternateContent>
          <mc:Choice Requires="wps">
            <w:drawing>
              <wp:inline distT="0" distB="0" distL="0" distR="0" wp14:anchorId="1EC2AC4E" wp14:editId="2D58DEFD">
                <wp:extent cx="5943600" cy="19050"/>
                <wp:effectExtent l="0" t="0" r="0" b="0"/>
                <wp:docPr id="97" name="Rectangle 9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C513E01" id="Rectangle 9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1"/>
      <w:bookmarkEnd w:id="52"/>
      <w:bookmarkEnd w:id="53"/>
    </w:p>
    <w:p w14:paraId="59A250A8" w14:textId="77777777" w:rsidR="0035712B" w:rsidRDefault="00000000">
      <w:pPr>
        <w:pStyle w:val="Heading2"/>
      </w:pPr>
      <w:r>
        <w:t>Movement II · Live</w:t>
      </w:r>
    </w:p>
    <w:p w14:paraId="42FD30A5" w14:textId="77777777" w:rsidR="0035712B" w:rsidRDefault="00000000">
      <w:pPr>
        <w:pStyle w:val="Heading3"/>
      </w:pPr>
      <w:r>
        <w:t>Dive 5 — Philosophy as a Way of Life</w:t>
      </w:r>
    </w:p>
    <w:p w14:paraId="06400E33" w14:textId="77777777" w:rsidR="0035712B" w:rsidRDefault="00000000">
      <w:pPr>
        <w:pStyle w:val="Heading4"/>
      </w:pPr>
      <w:r>
        <w:t>The governing question of this dive — and the movement’s pivot</w:t>
      </w:r>
    </w:p>
    <w:p w14:paraId="626D6F5A" w14:textId="77777777" w:rsidR="0035712B" w:rsidRDefault="00000000">
      <w:pPr>
        <w:pStyle w:val="FirstParagraph"/>
      </w:pPr>
      <w:r>
        <w:rPr>
          <w:b/>
          <w:bCs/>
        </w:rPr>
        <w:t>5.1</w:t>
      </w:r>
      <w:r>
        <w:t xml:space="preserve"> </w:t>
      </w:r>
      <w:r>
        <w:rPr>
          <w:rStyle w:val="VerbatimChar"/>
        </w:rPr>
        <w:t>[SYNTH]</w:t>
      </w:r>
      <w:r>
        <w:t xml:space="preserve"> </w:t>
      </w:r>
      <w:r>
        <w:rPr>
          <w:i/>
          <w:iCs/>
        </w:rPr>
        <w:t>Envision</w:t>
      </w:r>
      <w:r>
        <w:t xml:space="preserve"> asked what wisdom is, what it rests on, whether it can be measured, and how it appears inside and out. </w:t>
      </w:r>
      <w:r>
        <w:rPr>
          <w:i/>
          <w:iCs/>
        </w:rPr>
        <w:t>Live</w:t>
      </w:r>
      <w:r>
        <w:t xml:space="preserve"> asks a different kind of question: not what wisdom </w:t>
      </w:r>
      <w:r>
        <w:rPr>
          <w:i/>
          <w:iCs/>
        </w:rPr>
        <w:t>is</w:t>
      </w:r>
      <w:r>
        <w:t xml:space="preserve"> but how it is </w:t>
      </w:r>
      <w:r>
        <w:rPr>
          <w:i/>
          <w:iCs/>
        </w:rPr>
        <w:t>done</w:t>
      </w:r>
      <w:r>
        <w:t xml:space="preserve">. The hinge between the two movements is a single recovered idea, and Pierre Hadot is the one who recovered it: that wisdom is not a thing known but a thing </w:t>
      </w:r>
      <w:r>
        <w:rPr>
          <w:b/>
          <w:bCs/>
        </w:rPr>
        <w:t>practiced</w:t>
      </w:r>
      <w:r>
        <w:t xml:space="preserve"> — and that the entire ancient project of philosophy was, before it was theory, a way of life. Everything in </w:t>
      </w:r>
      <w:r>
        <w:rPr>
          <w:i/>
          <w:iCs/>
        </w:rPr>
        <w:t>Live</w:t>
      </w:r>
      <w:r>
        <w:t xml:space="preserve"> follows from this turn.</w:t>
      </w:r>
    </w:p>
    <w:p w14:paraId="1B55ABB6" w14:textId="77777777" w:rsidR="0035712B" w:rsidRDefault="00000000">
      <w:bookmarkStart w:id="54" w:name="Xb176937fc2eedcb80bbe8c0192f19e9d89c28b4"/>
      <w:r>
        <w:rPr>
          <w:noProof/>
        </w:rPr>
        <mc:AlternateContent>
          <mc:Choice Requires="wps">
            <w:drawing>
              <wp:inline distT="0" distB="0" distL="0" distR="0" wp14:anchorId="456F61A8" wp14:editId="5D024A63">
                <wp:extent cx="5943600" cy="19050"/>
                <wp:effectExtent l="0" t="0" r="0" b="0"/>
                <wp:docPr id="99" name="Rectangle 9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9A9DE09" id="Rectangle 9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4"/>
    </w:p>
    <w:p w14:paraId="40A91AB1" w14:textId="77777777" w:rsidR="0035712B" w:rsidRDefault="00000000">
      <w:pPr>
        <w:pStyle w:val="Heading4"/>
      </w:pPr>
      <w:r>
        <w:t>I. The recovery — Hadot’s thesis</w:t>
      </w:r>
    </w:p>
    <w:p w14:paraId="3271CD45" w14:textId="77777777" w:rsidR="0035712B" w:rsidRDefault="00000000">
      <w:pPr>
        <w:pStyle w:val="FirstParagraph"/>
      </w:pPr>
      <w:r>
        <w:rPr>
          <w:b/>
          <w:bCs/>
        </w:rPr>
        <w:t>5.2</w:t>
      </w:r>
      <w:r>
        <w:t xml:space="preserve"> </w:t>
      </w:r>
      <w:r>
        <w:rPr>
          <w:rStyle w:val="VerbatimChar"/>
        </w:rPr>
        <w:t>[SCHOLAR]</w:t>
      </w:r>
      <w:r>
        <w:t xml:space="preserve"> Pierre Hadot, professor at the Collège de France and a historian of Hellenistic and Roman thought, made the case across his work — above all </w:t>
      </w:r>
      <w:r>
        <w:rPr>
          <w:i/>
          <w:iCs/>
        </w:rPr>
        <w:t>Philosophy as a Way of Life</w:t>
      </w:r>
      <w:r>
        <w:t xml:space="preserve"> (English 1995, edited by Arnold Davidson; from a 1981 French collection) — </w:t>
      </w:r>
      <w:r>
        <w:lastRenderedPageBreak/>
        <w:t>that ancient philosophy has been fundamentally misread. We inherit it as a body of doctrines to be analyzed. It was lived as a way of seeing and being in the world.</w:t>
      </w:r>
    </w:p>
    <w:p w14:paraId="52DCA928" w14:textId="77777777" w:rsidR="0035712B" w:rsidRDefault="00000000">
      <w:pPr>
        <w:pStyle w:val="BodyText"/>
      </w:pPr>
      <w:r>
        <w:rPr>
          <w:b/>
          <w:bCs/>
        </w:rPr>
        <w:t>5.3</w:t>
      </w:r>
      <w:r>
        <w:t xml:space="preserve"> </w:t>
      </w:r>
      <w:r>
        <w:rPr>
          <w:rStyle w:val="VerbatimChar"/>
        </w:rPr>
        <w:t>[TEXT]</w:t>
      </w:r>
      <w:r>
        <w:t xml:space="preserve"> Hadot’s governing distinction is between </w:t>
      </w:r>
      <w:r>
        <w:rPr>
          <w:i/>
          <w:iCs/>
        </w:rPr>
        <w:t>forms of discourse</w:t>
      </w:r>
      <w:r>
        <w:t xml:space="preserve"> and </w:t>
      </w:r>
      <w:r>
        <w:rPr>
          <w:i/>
          <w:iCs/>
        </w:rPr>
        <w:t>forms of life</w:t>
      </w:r>
      <w:r>
        <w:t xml:space="preserve">. Every ancient school — Stoic, Epicurean, Platonist, Cynic, Skeptic — was first an existential </w:t>
      </w:r>
      <w:r>
        <w:rPr>
          <w:i/>
          <w:iCs/>
        </w:rPr>
        <w:t>choice</w:t>
      </w:r>
      <w:r>
        <w:t xml:space="preserve">, a decision about how to live, for which the doctrines and arguments were instruments rather than the point. </w:t>
      </w:r>
      <w:r>
        <w:rPr>
          <w:rStyle w:val="VerbatimChar"/>
        </w:rPr>
        <w:t>[SYNTH]</w:t>
      </w:r>
      <w:r>
        <w:t xml:space="preserve"> The modern academy kept the discourse and discarded the life. Philosophy became a subject one professes, not a life one practices — which is exactly the </w:t>
      </w:r>
      <w:r>
        <w:rPr>
          <w:i/>
          <w:iCs/>
        </w:rPr>
        <w:t>sophia</w:t>
      </w:r>
      <w:r>
        <w:t>/</w:t>
      </w:r>
      <w:r>
        <w:rPr>
          <w:i/>
          <w:iCs/>
        </w:rPr>
        <w:t>phronesis</w:t>
      </w:r>
      <w:r>
        <w:t xml:space="preserve"> collapse of Dive 1 reappearing as an institutional fact. Hadot’s whole effort is to recover the lost half.</w:t>
      </w:r>
    </w:p>
    <w:p w14:paraId="76523C3E" w14:textId="77777777" w:rsidR="0035712B" w:rsidRDefault="00000000">
      <w:bookmarkStart w:id="55" w:name="i.-the-recovery-hadots-thesis"/>
      <w:r>
        <w:rPr>
          <w:noProof/>
        </w:rPr>
        <mc:AlternateContent>
          <mc:Choice Requires="wps">
            <w:drawing>
              <wp:inline distT="0" distB="0" distL="0" distR="0" wp14:anchorId="3BECA86F" wp14:editId="01067675">
                <wp:extent cx="5943600" cy="19050"/>
                <wp:effectExtent l="0" t="0" r="0" b="0"/>
                <wp:docPr id="101" name="Rectangle 10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DE9800C" id="Rectangle 10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5"/>
    </w:p>
    <w:p w14:paraId="4BDE1920" w14:textId="77777777" w:rsidR="0035712B" w:rsidRDefault="00000000">
      <w:pPr>
        <w:pStyle w:val="Heading4"/>
      </w:pPr>
      <w:r>
        <w:t xml:space="preserve">II. Spiritual exercises — </w:t>
      </w:r>
      <w:r>
        <w:rPr>
          <w:iCs/>
        </w:rPr>
        <w:t>askesis</w:t>
      </w:r>
    </w:p>
    <w:p w14:paraId="2276AB2E" w14:textId="77777777" w:rsidR="0035712B" w:rsidRDefault="00000000">
      <w:pPr>
        <w:pStyle w:val="FirstParagraph"/>
      </w:pPr>
      <w:r>
        <w:rPr>
          <w:b/>
          <w:bCs/>
        </w:rPr>
        <w:t>5.4</w:t>
      </w:r>
      <w:r>
        <w:t xml:space="preserve"> </w:t>
      </w:r>
      <w:r>
        <w:rPr>
          <w:rStyle w:val="VerbatimChar"/>
        </w:rPr>
        <w:t>[TEXT]</w:t>
      </w:r>
      <w:r>
        <w:t xml:space="preserve"> The mechanism of the lived philosophy is what Hadot, borrowing an old term, calls </w:t>
      </w:r>
      <w:r>
        <w:rPr>
          <w:b/>
          <w:bCs/>
        </w:rPr>
        <w:t>spiritual exercises</w:t>
      </w:r>
      <w:r>
        <w:t xml:space="preserve"> (</w:t>
      </w:r>
      <w:r>
        <w:rPr>
          <w:i/>
          <w:iCs/>
        </w:rPr>
        <w:t>exercices spirituels</w:t>
      </w:r>
      <w:r>
        <w:t xml:space="preserve">): meditative, cognitive, and imaginative practices designed to transform not merely what one thinks but what one feels and does, day by day. This is </w:t>
      </w:r>
      <w:r>
        <w:rPr>
          <w:i/>
          <w:iCs/>
        </w:rPr>
        <w:t>askesis</w:t>
      </w:r>
      <w:r>
        <w:t xml:space="preserve"> — training — and it is the concrete answer to a question the compendium has carried since Dive 1.</w:t>
      </w:r>
    </w:p>
    <w:p w14:paraId="3D91D349" w14:textId="77777777" w:rsidR="0035712B" w:rsidRDefault="00000000">
      <w:pPr>
        <w:pStyle w:val="BodyText"/>
      </w:pPr>
      <w:r>
        <w:rPr>
          <w:b/>
          <w:bCs/>
        </w:rPr>
        <w:t>5.5</w:t>
      </w:r>
      <w:r>
        <w:t xml:space="preserve"> </w:t>
      </w:r>
      <w:r>
        <w:rPr>
          <w:rStyle w:val="VerbatimChar"/>
        </w:rPr>
        <w:t>[TEXT]</w:t>
      </w:r>
      <w:r>
        <w:t xml:space="preserve"> The catalogue is specific, not vague uplift. Attention to the present moment (</w:t>
      </w:r>
      <w:r>
        <w:rPr>
          <w:i/>
          <w:iCs/>
        </w:rPr>
        <w:t>prosoche</w:t>
      </w:r>
      <w:r>
        <w:t xml:space="preserve">) — the present alone, Hadot insisted, is where happiness is available. The </w:t>
      </w:r>
      <w:r>
        <w:rPr>
          <w:i/>
          <w:iCs/>
        </w:rPr>
        <w:t>view from above</w:t>
      </w:r>
      <w:r>
        <w:t xml:space="preserve"> — imagining one’s life and troubles seen from the height of the cosmos, which shrinks the ego and widens the frame. The premeditation of adversity and of death. The examination of conscience at day’s end. Reading and the memorization of core doctrine, practiced as a discipline rather than consumed as information. </w:t>
      </w:r>
      <w:r>
        <w:rPr>
          <w:rStyle w:val="VerbatimChar"/>
        </w:rPr>
        <w:t>[SYNTH]</w:t>
      </w:r>
      <w:r>
        <w:t xml:space="preserve"> Note that these are </w:t>
      </w:r>
      <w:r>
        <w:rPr>
          <w:i/>
          <w:iCs/>
        </w:rPr>
        <w:t>technologies of perspective</w:t>
      </w:r>
      <w:r>
        <w:t xml:space="preserve"> — devices for changing where one stands to see from. That is not incidental; it is the link to Dive 4.</w:t>
      </w:r>
    </w:p>
    <w:p w14:paraId="1E636D9D" w14:textId="77777777" w:rsidR="0035712B" w:rsidRDefault="00000000">
      <w:pPr>
        <w:pStyle w:val="BodyText"/>
      </w:pPr>
      <w:r>
        <w:rPr>
          <w:b/>
          <w:bCs/>
        </w:rPr>
        <w:t>5.6</w:t>
      </w:r>
      <w:r>
        <w:t xml:space="preserve"> </w:t>
      </w:r>
      <w:r>
        <w:rPr>
          <w:rStyle w:val="VerbatimChar"/>
        </w:rPr>
        <w:t>[SYNTH]</w:t>
      </w:r>
      <w:r>
        <w:t xml:space="preserve"> </w:t>
      </w:r>
      <w:r>
        <w:rPr>
          <w:b/>
          <w:bCs/>
        </w:rPr>
        <w:t>This is the formation engine made concrete (Governing Note §6; Dive 1 §1.8).</w:t>
      </w:r>
      <w:r>
        <w:t xml:space="preserve"> The </w:t>
      </w:r>
      <w:r>
        <w:rPr>
          <w:i/>
          <w:iCs/>
        </w:rPr>
        <w:t>Meno</w:t>
      </w:r>
      <w:r>
        <w:t xml:space="preserve"> paradox asked how wisdom passes if it cannot be taught as a subject. Hadot supplies the missing mechanism: it is </w:t>
      </w:r>
      <w:r>
        <w:rPr>
          <w:i/>
          <w:iCs/>
        </w:rPr>
        <w:t>trained</w:t>
      </w:r>
      <w:r>
        <w:t>, through repeated exercise, the way a craft or a body is trained — not transmitted in a lecture but grown in a practice. Wisdom is grown, not installed; Hadot shows the growing.</w:t>
      </w:r>
    </w:p>
    <w:p w14:paraId="6770EE8F" w14:textId="77777777" w:rsidR="0035712B" w:rsidRDefault="00000000">
      <w:bookmarkStart w:id="56" w:name="ii.-spiritual-exercises-askesis"/>
      <w:r>
        <w:rPr>
          <w:noProof/>
        </w:rPr>
        <mc:AlternateContent>
          <mc:Choice Requires="wps">
            <w:drawing>
              <wp:inline distT="0" distB="0" distL="0" distR="0" wp14:anchorId="6FFB0898" wp14:editId="0C85A1DD">
                <wp:extent cx="5943600" cy="19050"/>
                <wp:effectExtent l="0" t="0" r="0" b="0"/>
                <wp:docPr id="103" name="Rectangle 10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0BD3645" id="Rectangle 10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6"/>
    </w:p>
    <w:p w14:paraId="727CCB93" w14:textId="77777777" w:rsidR="0035712B" w:rsidRDefault="00000000">
      <w:pPr>
        <w:pStyle w:val="Heading4"/>
      </w:pPr>
      <w:r>
        <w:t>III. Self-transcendence, now as daily practice</w:t>
      </w:r>
    </w:p>
    <w:p w14:paraId="389AA842" w14:textId="77777777" w:rsidR="0035712B" w:rsidRDefault="00000000">
      <w:pPr>
        <w:pStyle w:val="FirstParagraph"/>
      </w:pPr>
      <w:r>
        <w:rPr>
          <w:b/>
          <w:bCs/>
        </w:rPr>
        <w:t>5.7</w:t>
      </w:r>
      <w:r>
        <w:t xml:space="preserve"> </w:t>
      </w:r>
      <w:r>
        <w:rPr>
          <w:rStyle w:val="VerbatimChar"/>
        </w:rPr>
        <w:t>[TEXT]</w:t>
      </w:r>
      <w:r>
        <w:t xml:space="preserve"> Hadot’s exercises culminate where Dive 4 ended. He held that the practices are a return to the self that </w:t>
      </w:r>
      <w:r>
        <w:rPr>
          <w:i/>
          <w:iCs/>
        </w:rPr>
        <w:t>liberates</w:t>
      </w:r>
      <w:r>
        <w:t xml:space="preserve"> the self from alienation — but he was emphatic that this return is not a turning-inward upon one’s private personality. Its highest reach is the opposite: a losing of oneself in something that wholly exceeds one, the felt belonging to a greater whole. </w:t>
      </w:r>
      <w:r>
        <w:rPr>
          <w:rStyle w:val="VerbatimChar"/>
        </w:rPr>
        <w:t>[SYNTH]</w:t>
      </w:r>
      <w:r>
        <w:t xml:space="preserve"> Self-realization, for Hadot, requires </w:t>
      </w:r>
      <w:r>
        <w:rPr>
          <w:b/>
          <w:bCs/>
        </w:rPr>
        <w:t>self-transcendence</w:t>
      </w:r>
      <w:r>
        <w:t xml:space="preserve"> — the very finding of Dive 4 (§4.11), now given a daily method. The spiritual exercises are the practiced technology of getting outside the self. What the psychologists isolated as self-distancing, the ancients had built into a way of living.</w:t>
      </w:r>
    </w:p>
    <w:p w14:paraId="2035CE5C" w14:textId="77777777" w:rsidR="0035712B" w:rsidRDefault="00000000">
      <w:bookmarkStart w:id="57" w:name="X2989685c81eba16a5210fd420eefab920a8612d"/>
      <w:r>
        <w:rPr>
          <w:noProof/>
        </w:rPr>
        <w:lastRenderedPageBreak/>
        <mc:AlternateContent>
          <mc:Choice Requires="wps">
            <w:drawing>
              <wp:inline distT="0" distB="0" distL="0" distR="0" wp14:anchorId="7D9F56DA" wp14:editId="64D3D28B">
                <wp:extent cx="5943600" cy="19050"/>
                <wp:effectExtent l="0" t="0" r="0" b="0"/>
                <wp:docPr id="105" name="Rectangle 10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C382DAE" id="Rectangle 10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7"/>
    </w:p>
    <w:p w14:paraId="4B3A65DB" w14:textId="77777777" w:rsidR="0035712B" w:rsidRDefault="00000000">
      <w:pPr>
        <w:pStyle w:val="Heading4"/>
      </w:pPr>
      <w:r>
        <w:t>IV. The Hadot–Foucault divergence — where the ground reappears</w:t>
      </w:r>
    </w:p>
    <w:p w14:paraId="1A625282" w14:textId="77777777" w:rsidR="0035712B" w:rsidRDefault="00000000">
      <w:pPr>
        <w:pStyle w:val="FirstParagraph"/>
      </w:pPr>
      <w:r>
        <w:rPr>
          <w:b/>
          <w:bCs/>
        </w:rPr>
        <w:t>5.8</w:t>
      </w:r>
      <w:r>
        <w:t xml:space="preserve"> </w:t>
      </w:r>
      <w:r>
        <w:rPr>
          <w:rStyle w:val="VerbatimChar"/>
        </w:rPr>
        <w:t>[SCHOLAR]</w:t>
      </w:r>
      <w:r>
        <w:t xml:space="preserve"> Hadot’s idea reached the wider world partly through Michel Foucault, whose late work on the “care of the self” drew directly on him. But Hadot broke with Foucault on precisely the point that matters most to this compendium. Foucault, he argued, reduced the ancient exercises to techniques for </w:t>
      </w:r>
      <w:r>
        <w:rPr>
          <w:i/>
          <w:iCs/>
        </w:rPr>
        <w:t>shaping the self</w:t>
      </w:r>
      <w:r>
        <w:t xml:space="preserve"> — an aesthetics of one’s own existence. Hadot found this an impoverishment: he could not accept that Stoic and Platonist practice was </w:t>
      </w:r>
      <w:r>
        <w:rPr>
          <w:i/>
          <w:iCs/>
        </w:rPr>
        <w:t>only</w:t>
      </w:r>
      <w:r>
        <w:t xml:space="preserve"> a relation of the self to itself.</w:t>
      </w:r>
    </w:p>
    <w:p w14:paraId="490417CC" w14:textId="77777777" w:rsidR="0035712B" w:rsidRDefault="00000000">
      <w:pPr>
        <w:pStyle w:val="BodyText"/>
      </w:pPr>
      <w:r>
        <w:rPr>
          <w:b/>
          <w:bCs/>
        </w:rPr>
        <w:t>5.9</w:t>
      </w:r>
      <w:r>
        <w:t xml:space="preserve"> </w:t>
      </w:r>
      <w:r>
        <w:rPr>
          <w:rStyle w:val="VerbatimChar"/>
        </w:rPr>
        <w:t>[TEXT]</w:t>
      </w:r>
      <w:r>
        <w:t xml:space="preserve"> For Hadot the cosmic dimension was not optional decoration but the essential thing — the sense of belonging to a whole, which transforms the very feeling one has of oneself. </w:t>
      </w:r>
      <w:r>
        <w:rPr>
          <w:rStyle w:val="VerbatimChar"/>
        </w:rPr>
        <w:t>[HYP]</w:t>
      </w:r>
      <w:r>
        <w:t xml:space="preserve"> </w:t>
      </w:r>
      <w:r>
        <w:rPr>
          <w:b/>
          <w:bCs/>
        </w:rPr>
        <w:t>And here the convergence/divergence structure surfaces in the register of practice.</w:t>
      </w:r>
      <w:r>
        <w:t xml:space="preserve"> Foucault and Hadot — and behind them the whole tradition — converge on the </w:t>
      </w:r>
      <w:r>
        <w:rPr>
          <w:i/>
          <w:iCs/>
        </w:rPr>
        <w:t>form</w:t>
      </w:r>
      <w:r>
        <w:t xml:space="preserve">: philosophy as lived </w:t>
      </w:r>
      <w:r>
        <w:rPr>
          <w:i/>
          <w:iCs/>
        </w:rPr>
        <w:t>askesis</w:t>
      </w:r>
      <w:r>
        <w:t xml:space="preserve">, self-transcendence as the central movement. They diverge on the </w:t>
      </w:r>
      <w:r>
        <w:rPr>
          <w:i/>
          <w:iCs/>
        </w:rPr>
        <w:t>destination</w:t>
      </w:r>
      <w:r>
        <w:t xml:space="preserve">: a self elegantly fashioned (Foucault) versus a self dissolved into the universal whole (Hadot) versus, behind both, the rival grounds of Dive 2. Self-transcendence </w:t>
      </w:r>
      <w:r>
        <w:rPr>
          <w:i/>
          <w:iCs/>
        </w:rPr>
        <w:t>toward what?</w:t>
      </w:r>
      <w:r>
        <w:t xml:space="preserve"> The Hadot–Foucault quarrel is the modern, secular instance of §3.15 and §4.13: agreement on the road, disagreement on where it ends.</w:t>
      </w:r>
    </w:p>
    <w:p w14:paraId="3D11CD65" w14:textId="77777777" w:rsidR="0035712B" w:rsidRDefault="00000000">
      <w:bookmarkStart w:id="58" w:name="X6c8582842aac57fcec4aaf5b9d7af9db1723f68"/>
      <w:r>
        <w:rPr>
          <w:noProof/>
        </w:rPr>
        <mc:AlternateContent>
          <mc:Choice Requires="wps">
            <w:drawing>
              <wp:inline distT="0" distB="0" distL="0" distR="0" wp14:anchorId="2D41072C" wp14:editId="32BCF34F">
                <wp:extent cx="5943600" cy="19050"/>
                <wp:effectExtent l="0" t="0" r="0" b="0"/>
                <wp:docPr id="107" name="Rectangle 10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730C037" id="Rectangle 10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8"/>
    </w:p>
    <w:p w14:paraId="6F015ED3" w14:textId="77777777" w:rsidR="0035712B" w:rsidRDefault="00000000">
      <w:pPr>
        <w:pStyle w:val="Heading4"/>
      </w:pPr>
      <w:r>
        <w:t>V. The Christian inheritance — and a noted bridge</w:t>
      </w:r>
    </w:p>
    <w:p w14:paraId="229FBB44" w14:textId="77777777" w:rsidR="0035712B" w:rsidRDefault="00000000">
      <w:pPr>
        <w:pStyle w:val="FirstParagraph"/>
      </w:pPr>
      <w:r>
        <w:rPr>
          <w:b/>
          <w:bCs/>
        </w:rPr>
        <w:t>5.10</w:t>
      </w:r>
      <w:r>
        <w:t xml:space="preserve"> </w:t>
      </w:r>
      <w:r>
        <w:rPr>
          <w:rStyle w:val="VerbatimChar"/>
        </w:rPr>
        <w:t>[SCHOLAR]</w:t>
      </w:r>
      <w:r>
        <w:t xml:space="preserve"> Hadot traced the spiritual exercises forward into early Christian “philosophy,” where they passed into monastic life — the examination of conscience, meditative reading (</w:t>
      </w:r>
      <w:r>
        <w:rPr>
          <w:i/>
          <w:iCs/>
        </w:rPr>
        <w:t>lectio</w:t>
      </w:r>
      <w:r>
        <w:t xml:space="preserve">), the disciplines of attention. Their most systematic Christian descendant is the Ignatian </w:t>
      </w:r>
      <w:r>
        <w:rPr>
          <w:i/>
          <w:iCs/>
        </w:rPr>
        <w:t>Spiritual Exercises</w:t>
      </w:r>
      <w:r>
        <w:t xml:space="preserve">, whose central act is </w:t>
      </w:r>
      <w:r>
        <w:rPr>
          <w:b/>
          <w:bCs/>
        </w:rPr>
        <w:t>discernment</w:t>
      </w:r>
      <w:r>
        <w:t xml:space="preserve"> — the trained weighing of interior movements to find the true from the false.</w:t>
      </w:r>
    </w:p>
    <w:p w14:paraId="64DFE7DB" w14:textId="77777777" w:rsidR="0035712B" w:rsidRDefault="00000000">
      <w:pPr>
        <w:pStyle w:val="BodyText"/>
      </w:pPr>
      <w:r>
        <w:rPr>
          <w:b/>
          <w:bCs/>
        </w:rPr>
        <w:t>5.11</w:t>
      </w:r>
      <w:r>
        <w:t xml:space="preserve"> </w:t>
      </w:r>
      <w:r>
        <w:rPr>
          <w:rStyle w:val="VerbatimChar"/>
        </w:rPr>
        <w:t>[SYNTH]</w:t>
      </w:r>
      <w:r>
        <w:t xml:space="preserve"> A bridge worth noting once and holding lightly: discernment is not a dead monastic word. It is the live form of how formed judgment still operates — including, the author would recognize, in the making of a book, where what matters is not the volume of production but the fidelity of the discernment exercised over it. The practice tradition Hadot recovered is not behind us; it is the unbroken account of how wisdom, and even authorship, is actually done — by trained judgment, not mere output. </w:t>
      </w:r>
      <w:r>
        <w:rPr>
          <w:i/>
          <w:iCs/>
        </w:rPr>
        <w:t>(Noted per the witness discipline; not developed further here.)</w:t>
      </w:r>
    </w:p>
    <w:p w14:paraId="7CCEB9AF" w14:textId="77777777" w:rsidR="0035712B" w:rsidRDefault="00000000">
      <w:bookmarkStart w:id="59" w:name="X193aa643b7409c1ef3f6b3c6e4d960331ed44bb"/>
      <w:r>
        <w:rPr>
          <w:noProof/>
        </w:rPr>
        <mc:AlternateContent>
          <mc:Choice Requires="wps">
            <w:drawing>
              <wp:inline distT="0" distB="0" distL="0" distR="0" wp14:anchorId="15CEECC0" wp14:editId="3E5D4D6E">
                <wp:extent cx="5943600" cy="19050"/>
                <wp:effectExtent l="0" t="0" r="0" b="0"/>
                <wp:docPr id="109" name="Rectangle 10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D4807FB" id="Rectangle 10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59"/>
    </w:p>
    <w:p w14:paraId="21B67BD1" w14:textId="77777777" w:rsidR="0035712B" w:rsidRDefault="00000000">
      <w:pPr>
        <w:pStyle w:val="Heading4"/>
      </w:pPr>
      <w:r>
        <w:t>VI. The reading — what this gives the book</w:t>
      </w:r>
    </w:p>
    <w:p w14:paraId="70B8C389" w14:textId="77777777" w:rsidR="0035712B" w:rsidRDefault="00000000">
      <w:pPr>
        <w:pStyle w:val="FirstParagraph"/>
      </w:pPr>
      <w:r>
        <w:rPr>
          <w:b/>
          <w:bCs/>
        </w:rPr>
        <w:t>5.12</w:t>
      </w:r>
      <w:r>
        <w:t xml:space="preserve"> </w:t>
      </w:r>
      <w:r>
        <w:rPr>
          <w:rStyle w:val="VerbatimChar"/>
        </w:rPr>
        <w:t>[SYNTH]</w:t>
      </w:r>
      <w:r>
        <w:t xml:space="preserve"> </w:t>
      </w:r>
      <w:r>
        <w:rPr>
          <w:b/>
          <w:bCs/>
        </w:rPr>
        <w:t>The pivot is now load-bearing.</w:t>
      </w:r>
      <w:r>
        <w:t xml:space="preserve"> From here the compendium treats wisdom as something </w:t>
      </w:r>
      <w:r>
        <w:rPr>
          <w:i/>
          <w:iCs/>
        </w:rPr>
        <w:t>done</w:t>
      </w:r>
      <w:r>
        <w:t xml:space="preserve">. </w:t>
      </w:r>
      <w:r>
        <w:rPr>
          <w:i/>
          <w:iCs/>
        </w:rPr>
        <w:t>Live</w:t>
      </w:r>
      <w:r>
        <w:t xml:space="preserve"> is the art of living — the catalogue of the exercises and the lives that practiced them.</w:t>
      </w:r>
    </w:p>
    <w:p w14:paraId="7B324AF6" w14:textId="77777777" w:rsidR="0035712B" w:rsidRDefault="00000000">
      <w:pPr>
        <w:pStyle w:val="BodyText"/>
      </w:pPr>
      <w:r>
        <w:rPr>
          <w:b/>
          <w:bCs/>
        </w:rPr>
        <w:t>5.13</w:t>
      </w:r>
      <w:r>
        <w:t xml:space="preserve"> </w:t>
      </w:r>
      <w:r>
        <w:rPr>
          <w:rStyle w:val="VerbatimChar"/>
        </w:rPr>
        <w:t>[SYNTH]</w:t>
      </w:r>
      <w:r>
        <w:t xml:space="preserve"> </w:t>
      </w:r>
      <w:r>
        <w:rPr>
          <w:b/>
          <w:bCs/>
        </w:rPr>
        <w:t>The witness implication is sharp.</w:t>
      </w:r>
      <w:r>
        <w:t xml:space="preserve"> Hadot’s thesis indicts the merely theoretical book: a work </w:t>
      </w:r>
      <w:r>
        <w:rPr>
          <w:i/>
          <w:iCs/>
        </w:rPr>
        <w:t>about</w:t>
      </w:r>
      <w:r>
        <w:t xml:space="preserve"> wisdom that is only discourse betrays its own subject. </w:t>
      </w:r>
      <w:r>
        <w:rPr>
          <w:i/>
          <w:iCs/>
        </w:rPr>
        <w:t xml:space="preserve">The </w:t>
      </w:r>
      <w:r>
        <w:rPr>
          <w:i/>
          <w:iCs/>
        </w:rPr>
        <w:lastRenderedPageBreak/>
        <w:t>Wise Life</w:t>
      </w:r>
      <w:r>
        <w:t xml:space="preserve"> cannot simply describe wisdom from the outside; it must point toward practice, or it fails by Hadot’s own standard. This bears directly on the open volume question (Governing Note §11): the practice tradition has always taught by showing more than asserting — the exercise demonstrated, the life held up — which lends weight to the quieter registers of testimony. The book that changes a reader is closer to a manual of exercises than a treatise of claims.</w:t>
      </w:r>
    </w:p>
    <w:p w14:paraId="5372CAA8" w14:textId="77777777" w:rsidR="0035712B" w:rsidRDefault="00000000">
      <w:bookmarkStart w:id="60" w:name="vi.-the-reading-what-this-gives-the-book"/>
      <w:r>
        <w:rPr>
          <w:noProof/>
        </w:rPr>
        <mc:AlternateContent>
          <mc:Choice Requires="wps">
            <w:drawing>
              <wp:inline distT="0" distB="0" distL="0" distR="0" wp14:anchorId="1C7039F9" wp14:editId="186CC41A">
                <wp:extent cx="5943600" cy="19050"/>
                <wp:effectExtent l="0" t="0" r="0" b="0"/>
                <wp:docPr id="111" name="Rectangle 1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93A5965" id="Rectangle 1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0"/>
    </w:p>
    <w:p w14:paraId="75D582A5" w14:textId="77777777" w:rsidR="0035712B" w:rsidRDefault="00000000">
      <w:pPr>
        <w:pStyle w:val="Heading4"/>
      </w:pPr>
      <w:r>
        <w:t>Thinker &amp; source catalogue — additions from this dive</w:t>
      </w:r>
    </w:p>
    <w:p w14:paraId="1B01D833" w14:textId="77777777" w:rsidR="0035712B" w:rsidRDefault="00000000">
      <w:pPr>
        <w:pStyle w:val="Compact"/>
        <w:numPr>
          <w:ilvl w:val="0"/>
          <w:numId w:val="58"/>
        </w:numPr>
      </w:pPr>
      <w:r>
        <w:rPr>
          <w:b/>
          <w:bCs/>
        </w:rPr>
        <w:t>Pierre Hadot</w:t>
      </w:r>
      <w:r>
        <w:t xml:space="preserve"> — philosophy as a way of life; forms of life vs. forms of discourse; spiritual exercises (</w:t>
      </w:r>
      <w:r>
        <w:rPr>
          <w:i/>
          <w:iCs/>
        </w:rPr>
        <w:t>askesis</w:t>
      </w:r>
      <w:r>
        <w:t xml:space="preserve">); </w:t>
      </w:r>
      <w:r>
        <w:rPr>
          <w:i/>
          <w:iCs/>
        </w:rPr>
        <w:t>prosoche</w:t>
      </w:r>
      <w:r>
        <w:t xml:space="preserve">, the view from above, the present moment; self-realization through self-transcendence. </w:t>
      </w:r>
      <w:r>
        <w:rPr>
          <w:i/>
          <w:iCs/>
        </w:rPr>
        <w:t>(Philosophy as a Way of Life, 1995/1981; The Inner Citadel, 1998.) The hinge of the LIVE movement.</w:t>
      </w:r>
    </w:p>
    <w:p w14:paraId="30CFD15A" w14:textId="77777777" w:rsidR="0035712B" w:rsidRDefault="00000000">
      <w:pPr>
        <w:pStyle w:val="Compact"/>
        <w:numPr>
          <w:ilvl w:val="0"/>
          <w:numId w:val="59"/>
        </w:numPr>
      </w:pPr>
      <w:r>
        <w:rPr>
          <w:b/>
          <w:bCs/>
        </w:rPr>
        <w:t>Arnold Davidson</w:t>
      </w:r>
      <w:r>
        <w:t xml:space="preserve"> — editor and principal interpreter of Hadot in English; the spiritual-exercises debate in contemporary ethics.</w:t>
      </w:r>
    </w:p>
    <w:p w14:paraId="2F9F45B5" w14:textId="77777777" w:rsidR="0035712B" w:rsidRDefault="00000000">
      <w:pPr>
        <w:pStyle w:val="Compact"/>
        <w:numPr>
          <w:ilvl w:val="0"/>
          <w:numId w:val="60"/>
        </w:numPr>
      </w:pPr>
      <w:r>
        <w:rPr>
          <w:b/>
          <w:bCs/>
        </w:rPr>
        <w:t>Michel Foucault</w:t>
      </w:r>
      <w:r>
        <w:t xml:space="preserve"> — the care of the self / technologies of the self; the “aesthetics of existence.” </w:t>
      </w:r>
      <w:r>
        <w:rPr>
          <w:i/>
          <w:iCs/>
        </w:rPr>
        <w:t>Hadot’s foil: convergence on practice, divergence on destination. Cross-ref: §3.15, §4.13.</w:t>
      </w:r>
    </w:p>
    <w:p w14:paraId="0C420CB2" w14:textId="77777777" w:rsidR="0035712B" w:rsidRDefault="00000000">
      <w:pPr>
        <w:pStyle w:val="Compact"/>
        <w:numPr>
          <w:ilvl w:val="0"/>
          <w:numId w:val="61"/>
        </w:numPr>
      </w:pPr>
      <w:r>
        <w:rPr>
          <w:b/>
          <w:bCs/>
        </w:rPr>
        <w:t>The Christian / Ignatian inheritance</w:t>
      </w:r>
      <w:r>
        <w:t xml:space="preserve"> — spiritual exercises into monasticism; the Ignatian </w:t>
      </w:r>
      <w:r>
        <w:rPr>
          <w:i/>
          <w:iCs/>
        </w:rPr>
        <w:t>Exercises</w:t>
      </w:r>
      <w:r>
        <w:t xml:space="preserve">; discernment. </w:t>
      </w:r>
      <w:r>
        <w:rPr>
          <w:i/>
          <w:iCs/>
        </w:rPr>
        <w:t>Light bridge to the author’s discernment-based authorship; held proportionate.</w:t>
      </w:r>
    </w:p>
    <w:p w14:paraId="5CEDB745" w14:textId="77777777" w:rsidR="0035712B" w:rsidRDefault="00000000">
      <w:pPr>
        <w:pStyle w:val="Compact"/>
        <w:numPr>
          <w:ilvl w:val="0"/>
          <w:numId w:val="62"/>
        </w:numPr>
      </w:pPr>
      <w:r>
        <w:rPr>
          <w:b/>
          <w:bCs/>
        </w:rPr>
        <w:t>Martha Nussbaum</w:t>
      </w:r>
      <w:r>
        <w:t xml:space="preserve"> — </w:t>
      </w:r>
      <w:r>
        <w:rPr>
          <w:i/>
          <w:iCs/>
        </w:rPr>
        <w:t>The Therapy of Desire</w:t>
      </w:r>
      <w:r>
        <w:t xml:space="preserve"> (Hellenistic ethics as therapy of the soul); influenced by Hadot. </w:t>
      </w:r>
      <w:r>
        <w:rPr>
          <w:i/>
          <w:iCs/>
        </w:rPr>
        <w:t>Forward-ref: Dive 6, the practical canon.</w:t>
      </w:r>
    </w:p>
    <w:p w14:paraId="269CAB28" w14:textId="77777777" w:rsidR="0035712B" w:rsidRDefault="00000000">
      <w:bookmarkStart w:id="61" w:name="X59b0236b29f71a140f20996dee659236b7e2bc7"/>
      <w:r>
        <w:rPr>
          <w:noProof/>
        </w:rPr>
        <mc:AlternateContent>
          <mc:Choice Requires="wps">
            <w:drawing>
              <wp:inline distT="0" distB="0" distL="0" distR="0" wp14:anchorId="1FABC73B" wp14:editId="1C06D53D">
                <wp:extent cx="5943600" cy="19050"/>
                <wp:effectExtent l="0" t="0" r="0" b="0"/>
                <wp:docPr id="113" name="Rectangle 1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C9818C0" id="Rectangle 11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1"/>
    </w:p>
    <w:p w14:paraId="635EF63F" w14:textId="77777777" w:rsidR="0035712B" w:rsidRDefault="00000000">
      <w:pPr>
        <w:pStyle w:val="Heading4"/>
      </w:pPr>
      <w:r>
        <w:t>Open threads carried forward</w:t>
      </w:r>
    </w:p>
    <w:p w14:paraId="4D19AB1F" w14:textId="77777777" w:rsidR="0035712B" w:rsidRDefault="00000000">
      <w:pPr>
        <w:pStyle w:val="Compact"/>
        <w:numPr>
          <w:ilvl w:val="0"/>
          <w:numId w:val="63"/>
        </w:numPr>
      </w:pPr>
      <w:r>
        <w:rPr>
          <w:b/>
          <w:bCs/>
        </w:rPr>
        <w:t>Dive 6 (the practical canon)</w:t>
      </w:r>
      <w:r>
        <w:t xml:space="preserve"> is the detailed inventory of the exercises themselves — Epictetus, Marcus, Seneca, Epicurus, the Confucian </w:t>
      </w:r>
      <w:r>
        <w:rPr>
          <w:i/>
          <w:iCs/>
        </w:rPr>
        <w:t>junzi</w:t>
      </w:r>
      <w:r>
        <w:t xml:space="preserve">, </w:t>
      </w:r>
      <w:r>
        <w:rPr>
          <w:i/>
          <w:iCs/>
        </w:rPr>
        <w:t>ora et labora</w:t>
      </w:r>
      <w:r>
        <w:t>, Ignatian discernment. Hadot has given the frame; Dive 6 fills it.</w:t>
      </w:r>
    </w:p>
    <w:p w14:paraId="6CC6B51A" w14:textId="77777777" w:rsidR="0035712B" w:rsidRDefault="00000000">
      <w:pPr>
        <w:pStyle w:val="Compact"/>
        <w:numPr>
          <w:ilvl w:val="0"/>
          <w:numId w:val="64"/>
        </w:numPr>
      </w:pPr>
      <w:r>
        <w:rPr>
          <w:b/>
          <w:bCs/>
        </w:rPr>
        <w:t>Dive 7 (attention and love)</w:t>
      </w:r>
      <w:r>
        <w:t xml:space="preserve"> is the modern apex of the practice — Weil and Murdoch on attention as “unselfing,” the practiced form of §5.7’s self-transcendence. The §4 open thread lands here.</w:t>
      </w:r>
    </w:p>
    <w:p w14:paraId="1E1E956B" w14:textId="77777777" w:rsidR="0035712B" w:rsidRDefault="00000000">
      <w:pPr>
        <w:pStyle w:val="Compact"/>
        <w:numPr>
          <w:ilvl w:val="0"/>
          <w:numId w:val="65"/>
        </w:numPr>
      </w:pPr>
      <w:r>
        <w:rPr>
          <w:b/>
          <w:bCs/>
        </w:rPr>
        <w:t>The Hadot–Foucault divergence</w:t>
      </w:r>
      <w:r>
        <w:t xml:space="preserve"> (§5.9) joins §3.15 and §4.13 as a third instance feeding the </w:t>
      </w:r>
      <w:r>
        <w:rPr>
          <w:b/>
          <w:bCs/>
        </w:rPr>
        <w:t>cross-cutting finding</w:t>
      </w:r>
      <w:r>
        <w:t>: convergence on the movement out of the self, divergence on its object — now demonstrated even among the moderns.</w:t>
      </w:r>
    </w:p>
    <w:p w14:paraId="1656DDCD" w14:textId="77777777" w:rsidR="0035712B" w:rsidRDefault="00000000">
      <w:pPr>
        <w:pStyle w:val="Compact"/>
        <w:numPr>
          <w:ilvl w:val="0"/>
          <w:numId w:val="66"/>
        </w:numPr>
      </w:pPr>
      <w:r>
        <w:rPr>
          <w:b/>
          <w:bCs/>
        </w:rPr>
        <w:t>§5.13 (the witness must point to practice)</w:t>
      </w:r>
      <w:r>
        <w:t xml:space="preserve"> feeds the </w:t>
      </w:r>
      <w:r>
        <w:rPr>
          <w:b/>
          <w:bCs/>
        </w:rPr>
        <w:t>volume-of-testimony decision (Governing Note §11)</w:t>
      </w:r>
      <w:r>
        <w:t>: Hadot’s thesis favors showing over asserting.</w:t>
      </w:r>
    </w:p>
    <w:p w14:paraId="1D87B03B" w14:textId="77777777" w:rsidR="0035712B" w:rsidRDefault="00000000">
      <w:bookmarkStart w:id="62" w:name="dive-5-philosophy-as-a-way-of-life"/>
      <w:bookmarkStart w:id="63" w:name="open-threads-carried-forward-4"/>
      <w:r>
        <w:rPr>
          <w:noProof/>
        </w:rPr>
        <mc:AlternateContent>
          <mc:Choice Requires="wps">
            <w:drawing>
              <wp:inline distT="0" distB="0" distL="0" distR="0" wp14:anchorId="4D2F3E7B" wp14:editId="287CCCCD">
                <wp:extent cx="5943600" cy="19050"/>
                <wp:effectExtent l="0" t="0" r="0" b="0"/>
                <wp:docPr id="115" name="Rectangle 1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9DE2010" id="Rectangle 11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2"/>
      <w:bookmarkEnd w:id="63"/>
    </w:p>
    <w:p w14:paraId="79808818" w14:textId="77777777" w:rsidR="0035712B" w:rsidRDefault="00000000">
      <w:pPr>
        <w:pStyle w:val="Heading3"/>
      </w:pPr>
      <w:r>
        <w:lastRenderedPageBreak/>
        <w:t>Dive 6 — The Practical Canon</w:t>
      </w:r>
    </w:p>
    <w:p w14:paraId="52F1F78E" w14:textId="77777777" w:rsidR="0035712B" w:rsidRDefault="00000000">
      <w:pPr>
        <w:pStyle w:val="Heading4"/>
      </w:pPr>
      <w:r>
        <w:t>The governing question of this dive</w:t>
      </w:r>
    </w:p>
    <w:p w14:paraId="27B2DF93" w14:textId="77777777" w:rsidR="0035712B" w:rsidRDefault="00000000">
      <w:pPr>
        <w:pStyle w:val="FirstParagraph"/>
      </w:pPr>
      <w:r>
        <w:rPr>
          <w:b/>
          <w:bCs/>
        </w:rPr>
        <w:t>6.1</w:t>
      </w:r>
      <w:r>
        <w:t xml:space="preserve"> </w:t>
      </w:r>
      <w:r>
        <w:rPr>
          <w:rStyle w:val="VerbatimChar"/>
        </w:rPr>
        <w:t>[SYNTH]</w:t>
      </w:r>
      <w:r>
        <w:t xml:space="preserve"> Dive 5 established that wisdom is practiced through spiritual exercises. This dive is the inventory: the actual exercises, school by school, and the texts that carry them. The thing to watch is the dive’s central finding-in-waiting — that across grounds as opposed as Stoic providence and Epicurean chance, the </w:t>
      </w:r>
      <w:r>
        <w:rPr>
          <w:i/>
          <w:iCs/>
        </w:rPr>
        <w:t>practices</w:t>
      </w:r>
      <w:r>
        <w:t xml:space="preserve"> rhyme, even as the summits they climb toward differ. Convergence at the level of exercise; divergence at the level of </w:t>
      </w:r>
      <w:r>
        <w:rPr>
          <w:i/>
          <w:iCs/>
        </w:rPr>
        <w:t>telos</w:t>
      </w:r>
      <w:r>
        <w:t>. The structure once more, now in the most concrete register the compendium will reach.</w:t>
      </w:r>
    </w:p>
    <w:p w14:paraId="1437CDD7" w14:textId="77777777" w:rsidR="0035712B" w:rsidRDefault="00000000">
      <w:bookmarkStart w:id="64" w:name="the-governing-question-of-this-dive-4"/>
      <w:r>
        <w:rPr>
          <w:noProof/>
        </w:rPr>
        <mc:AlternateContent>
          <mc:Choice Requires="wps">
            <w:drawing>
              <wp:inline distT="0" distB="0" distL="0" distR="0" wp14:anchorId="56C99F53" wp14:editId="0FF21E9A">
                <wp:extent cx="5943600" cy="19050"/>
                <wp:effectExtent l="0" t="0" r="0" b="0"/>
                <wp:docPr id="117" name="Rectangle 11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7FABFA9" id="Rectangle 11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4"/>
    </w:p>
    <w:p w14:paraId="3BE076DD" w14:textId="77777777" w:rsidR="0035712B" w:rsidRDefault="00000000">
      <w:pPr>
        <w:pStyle w:val="Heading4"/>
      </w:pPr>
      <w:r>
        <w:t>I. The Stoic disciplines — Epictetus, Marcus, Seneca</w:t>
      </w:r>
    </w:p>
    <w:p w14:paraId="2D3CDA3F" w14:textId="77777777" w:rsidR="0035712B" w:rsidRDefault="00000000">
      <w:pPr>
        <w:pStyle w:val="FirstParagraph"/>
      </w:pPr>
      <w:r>
        <w:rPr>
          <w:b/>
          <w:bCs/>
        </w:rPr>
        <w:t>6.2</w:t>
      </w:r>
      <w:r>
        <w:t xml:space="preserve"> </w:t>
      </w:r>
      <w:r>
        <w:rPr>
          <w:rStyle w:val="VerbatimChar"/>
        </w:rPr>
        <w:t>[TEXT]</w:t>
      </w:r>
      <w:r>
        <w:t xml:space="preserve"> The foundational Stoic exercise is Epictetus’s </w:t>
      </w:r>
      <w:r>
        <w:rPr>
          <w:b/>
          <w:bCs/>
        </w:rPr>
        <w:t>dichotomy of control</w:t>
      </w:r>
      <w:r>
        <w:t xml:space="preserve">: the relentless sorting of what is up to us — our judgments, desires, aversions, our own chosen actions — from what is not — the body, reputation, possessions, outcomes, other people. The whole of his </w:t>
      </w:r>
      <w:r>
        <w:rPr>
          <w:i/>
          <w:iCs/>
        </w:rPr>
        <w:t>Enchiridion</w:t>
      </w:r>
      <w:r>
        <w:t xml:space="preserve"> turns on it. Freedom is achieved by investing one’s hopes only in the first category and releasing the second. </w:t>
      </w:r>
      <w:r>
        <w:rPr>
          <w:rStyle w:val="VerbatimChar"/>
        </w:rPr>
        <w:t>[SYNTH]</w:t>
      </w:r>
      <w:r>
        <w:t xml:space="preserve"> This is the accept-the-limit dimension (Dive 2) rendered as a daily filing operation.</w:t>
      </w:r>
    </w:p>
    <w:p w14:paraId="128D7430" w14:textId="77777777" w:rsidR="0035712B" w:rsidRDefault="00000000">
      <w:pPr>
        <w:pStyle w:val="BodyText"/>
      </w:pPr>
      <w:r>
        <w:rPr>
          <w:b/>
          <w:bCs/>
        </w:rPr>
        <w:t>6.3</w:t>
      </w:r>
      <w:r>
        <w:t xml:space="preserve"> </w:t>
      </w:r>
      <w:r>
        <w:rPr>
          <w:rStyle w:val="VerbatimChar"/>
        </w:rPr>
        <w:t>[TEXT]</w:t>
      </w:r>
      <w:r>
        <w:t xml:space="preserve"> </w:t>
      </w:r>
      <w:r>
        <w:rPr>
          <w:rStyle w:val="VerbatimChar"/>
        </w:rPr>
        <w:t>[SCHOLAR]</w:t>
      </w:r>
      <w:r>
        <w:t xml:space="preserve"> Marcus Aurelius’s </w:t>
      </w:r>
      <w:r>
        <w:rPr>
          <w:i/>
          <w:iCs/>
        </w:rPr>
        <w:t>Meditations</w:t>
      </w:r>
      <w:r>
        <w:t xml:space="preserve"> are, as Hadot showed (</w:t>
      </w:r>
      <w:r>
        <w:rPr>
          <w:i/>
          <w:iCs/>
        </w:rPr>
        <w:t>The Inner Citadel</w:t>
      </w:r>
      <w:r>
        <w:t xml:space="preserve">), not a book for readers but a private notebook of exercises performed on himself. They run on three recurring disciplines: the discipline of </w:t>
      </w:r>
      <w:r>
        <w:rPr>
          <w:b/>
          <w:bCs/>
        </w:rPr>
        <w:t>perception</w:t>
      </w:r>
      <w:r>
        <w:t xml:space="preserve"> (strip the situation of the value-judgments we reflexively add, and see the thing as it is); the discipline of </w:t>
      </w:r>
      <w:r>
        <w:rPr>
          <w:b/>
          <w:bCs/>
        </w:rPr>
        <w:t>desire</w:t>
      </w:r>
      <w:r>
        <w:t xml:space="preserve"> (will what Nature wills — the seed of </w:t>
      </w:r>
      <w:r>
        <w:rPr>
          <w:i/>
          <w:iCs/>
        </w:rPr>
        <w:t>amor fati</w:t>
      </w:r>
      <w:r>
        <w:t xml:space="preserve">); and the discipline of </w:t>
      </w:r>
      <w:r>
        <w:rPr>
          <w:b/>
          <w:bCs/>
        </w:rPr>
        <w:t>action</w:t>
      </w:r>
      <w:r>
        <w:t xml:space="preserve"> (act for the common good, with justice, then release the result).</w:t>
      </w:r>
    </w:p>
    <w:p w14:paraId="57AF0BFC" w14:textId="77777777" w:rsidR="0035712B" w:rsidRDefault="00000000">
      <w:pPr>
        <w:pStyle w:val="BodyText"/>
      </w:pPr>
      <w:r>
        <w:rPr>
          <w:b/>
          <w:bCs/>
        </w:rPr>
        <w:t>6.4</w:t>
      </w:r>
      <w:r>
        <w:t xml:space="preserve"> </w:t>
      </w:r>
      <w:r>
        <w:rPr>
          <w:rStyle w:val="VerbatimChar"/>
        </w:rPr>
        <w:t>[TEXT]</w:t>
      </w:r>
      <w:r>
        <w:t xml:space="preserve"> Seneca supplies the exercises of time and adversity. His </w:t>
      </w:r>
      <w:r>
        <w:rPr>
          <w:i/>
          <w:iCs/>
        </w:rPr>
        <w:t>On the Shortness of Life</w:t>
      </w:r>
      <w:r>
        <w:t xml:space="preserve"> reframes the complaint that life is short: it is long enough, but squandered — the problem is our spending, not our allotment. He practiced the evening </w:t>
      </w:r>
      <w:r>
        <w:rPr>
          <w:b/>
          <w:bCs/>
        </w:rPr>
        <w:t>examination of conscience</w:t>
      </w:r>
      <w:r>
        <w:t xml:space="preserve"> (reviewing the day’s conduct) and the </w:t>
      </w:r>
      <w:r>
        <w:rPr>
          <w:b/>
          <w:bCs/>
        </w:rPr>
        <w:t>premeditation of adversity</w:t>
      </w:r>
      <w:r>
        <w:t xml:space="preserve"> (rehearsing loss in advance, so it cannot ambush the soul). His letters are themselves exercises, written to form their reader.</w:t>
      </w:r>
    </w:p>
    <w:p w14:paraId="716BA560" w14:textId="77777777" w:rsidR="0035712B" w:rsidRDefault="00000000">
      <w:pPr>
        <w:pStyle w:val="BodyText"/>
      </w:pPr>
      <w:r>
        <w:rPr>
          <w:b/>
          <w:bCs/>
        </w:rPr>
        <w:t>6.5</w:t>
      </w:r>
      <w:r>
        <w:t xml:space="preserve"> </w:t>
      </w:r>
      <w:r>
        <w:rPr>
          <w:rStyle w:val="VerbatimChar"/>
        </w:rPr>
        <w:t>[SYNTH]</w:t>
      </w:r>
      <w:r>
        <w:t xml:space="preserve"> The Stoic exercises converge on three moves — sort what you control, order desire to accord with the whole, attend to the present act — resting on a single ground: Nature, the cosmic </w:t>
      </w:r>
      <w:r>
        <w:rPr>
          <w:i/>
          <w:iCs/>
        </w:rPr>
        <w:t>Logos</w:t>
      </w:r>
      <w:r>
        <w:t xml:space="preserve"> (Dive 2). Hold the moves; they will recur under every other ground.</w:t>
      </w:r>
    </w:p>
    <w:p w14:paraId="49B4441E" w14:textId="77777777" w:rsidR="0035712B" w:rsidRDefault="00000000">
      <w:bookmarkStart w:id="65" w:name="X29c2242f5f7d3ef36971de6348e8d8ef36a91fb"/>
      <w:r>
        <w:rPr>
          <w:noProof/>
        </w:rPr>
        <mc:AlternateContent>
          <mc:Choice Requires="wps">
            <w:drawing>
              <wp:inline distT="0" distB="0" distL="0" distR="0" wp14:anchorId="568CBF8D" wp14:editId="709D7A9B">
                <wp:extent cx="5943600" cy="19050"/>
                <wp:effectExtent l="0" t="0" r="0" b="0"/>
                <wp:docPr id="119" name="Rectangle 11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6FBB86D" id="Rectangle 11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5"/>
    </w:p>
    <w:p w14:paraId="23A6107C" w14:textId="77777777" w:rsidR="0035712B" w:rsidRDefault="00000000">
      <w:pPr>
        <w:pStyle w:val="Heading4"/>
      </w:pPr>
      <w:r>
        <w:t>II. The Epicurean discipline — Epicurus</w:t>
      </w:r>
    </w:p>
    <w:p w14:paraId="34D339DE" w14:textId="77777777" w:rsidR="0035712B" w:rsidRDefault="00000000">
      <w:pPr>
        <w:pStyle w:val="FirstParagraph"/>
      </w:pPr>
      <w:r>
        <w:rPr>
          <w:b/>
          <w:bCs/>
        </w:rPr>
        <w:t>6.6</w:t>
      </w:r>
      <w:r>
        <w:t xml:space="preserve"> </w:t>
      </w:r>
      <w:r>
        <w:rPr>
          <w:rStyle w:val="VerbatimChar"/>
        </w:rPr>
        <w:t>[TRAD]</w:t>
      </w:r>
      <w:r>
        <w:t xml:space="preserve"> Epicurus aimed at </w:t>
      </w:r>
      <w:r>
        <w:rPr>
          <w:i/>
          <w:iCs/>
        </w:rPr>
        <w:t>ataraxia</w:t>
      </w:r>
      <w:r>
        <w:t xml:space="preserve"> — tranquility, freedom from disturbance — and </w:t>
      </w:r>
      <w:r>
        <w:rPr>
          <w:i/>
          <w:iCs/>
        </w:rPr>
        <w:t>aponia</w:t>
      </w:r>
      <w:r>
        <w:t>, the absence of bodily pain. Against the caricature, this is not indulgence; it is the careful management of desire toward a quiet mind.</w:t>
      </w:r>
    </w:p>
    <w:p w14:paraId="265FC4CE" w14:textId="77777777" w:rsidR="0035712B" w:rsidRDefault="00000000">
      <w:pPr>
        <w:pStyle w:val="BodyText"/>
      </w:pPr>
      <w:r>
        <w:rPr>
          <w:b/>
          <w:bCs/>
        </w:rPr>
        <w:lastRenderedPageBreak/>
        <w:t>6.7</w:t>
      </w:r>
      <w:r>
        <w:t xml:space="preserve"> </w:t>
      </w:r>
      <w:r>
        <w:rPr>
          <w:rStyle w:val="VerbatimChar"/>
        </w:rPr>
        <w:t>[TEXT]</w:t>
      </w:r>
      <w:r>
        <w:t xml:space="preserve"> His compressed exercise is the </w:t>
      </w:r>
      <w:r>
        <w:rPr>
          <w:b/>
          <w:bCs/>
        </w:rPr>
        <w:t>tetrapharmakos</w:t>
      </w:r>
      <w:r>
        <w:t xml:space="preserve">, the fourfold remedy: do not fear the gods; do not fear death, for death is nothing to us; what is good is easy to obtain; what is terrible is easy to endure. Alongside it runs the </w:t>
      </w:r>
      <w:r>
        <w:rPr>
          <w:b/>
          <w:bCs/>
        </w:rPr>
        <w:t>calculus of desire</w:t>
      </w:r>
      <w:r>
        <w:t xml:space="preserve"> — discriminating desires that are natural and necessary (food, shelter, friendship) from those natural but unnecessary, and from the empty cravings (fame, wealth, luxury) that disturb without satisfying. </w:t>
      </w:r>
      <w:r>
        <w:rPr>
          <w:rStyle w:val="VerbatimChar"/>
        </w:rPr>
        <w:t>[SYNTH]</w:t>
      </w:r>
      <w:r>
        <w:t xml:space="preserve"> Prudence — </w:t>
      </w:r>
      <w:r>
        <w:rPr>
          <w:i/>
          <w:iCs/>
        </w:rPr>
        <w:t>phronesis</w:t>
      </w:r>
      <w:r>
        <w:t xml:space="preserve"> by another name — is the chief Epicurean virtue, precisely because it performs this calculus.</w:t>
      </w:r>
    </w:p>
    <w:p w14:paraId="430DCD6E" w14:textId="77777777" w:rsidR="0035712B" w:rsidRDefault="00000000">
      <w:pPr>
        <w:pStyle w:val="BodyText"/>
      </w:pPr>
      <w:r>
        <w:rPr>
          <w:b/>
          <w:bCs/>
        </w:rPr>
        <w:t>6.8</w:t>
      </w:r>
      <w:r>
        <w:t xml:space="preserve"> </w:t>
      </w:r>
      <w:r>
        <w:rPr>
          <w:rStyle w:val="VerbatimChar"/>
        </w:rPr>
        <w:t>[HYP]</w:t>
      </w:r>
      <w:r>
        <w:t xml:space="preserve"> Here the structure shows its teeth. The Epicurean ground is the </w:t>
      </w:r>
      <w:r>
        <w:rPr>
          <w:b/>
          <w:bCs/>
        </w:rPr>
        <w:t>opposite</w:t>
      </w:r>
      <w:r>
        <w:t xml:space="preserve"> of the Stoic: atoms and void, a universe of chance, gods who take no interest in us. Yet the daily practice is a near-cousin — order desire, accept mortality, attend to the present, secure the mind against disturbance. </w:t>
      </w:r>
      <w:r>
        <w:rPr>
          <w:b/>
          <w:bCs/>
        </w:rPr>
        <w:t>Opposite metaphysics, kindred discipline.</w:t>
      </w:r>
      <w:r>
        <w:t xml:space="preserve"> No single fact in the compendium argues the convergence-at-practice / divergence-at-ground hypothesis more cleanly.</w:t>
      </w:r>
    </w:p>
    <w:p w14:paraId="038ED074" w14:textId="77777777" w:rsidR="0035712B" w:rsidRDefault="00000000">
      <w:bookmarkStart w:id="66" w:name="ii.-the-epicurean-discipline-epicurus"/>
      <w:r>
        <w:rPr>
          <w:noProof/>
        </w:rPr>
        <mc:AlternateContent>
          <mc:Choice Requires="wps">
            <w:drawing>
              <wp:inline distT="0" distB="0" distL="0" distR="0" wp14:anchorId="64758C36" wp14:editId="0C90CFDB">
                <wp:extent cx="5943600" cy="19050"/>
                <wp:effectExtent l="0" t="0" r="0" b="0"/>
                <wp:docPr id="121" name="Rectangle 12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6705072" id="Rectangle 12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6"/>
    </w:p>
    <w:p w14:paraId="18DF9D4D" w14:textId="77777777" w:rsidR="0035712B" w:rsidRDefault="00000000">
      <w:pPr>
        <w:pStyle w:val="Heading4"/>
      </w:pPr>
      <w:r>
        <w:t xml:space="preserve">III. Confucian self-cultivation — the </w:t>
      </w:r>
      <w:r>
        <w:rPr>
          <w:iCs/>
        </w:rPr>
        <w:t>junzi</w:t>
      </w:r>
    </w:p>
    <w:p w14:paraId="55A25E6D" w14:textId="77777777" w:rsidR="0035712B" w:rsidRDefault="00000000">
      <w:pPr>
        <w:pStyle w:val="FirstParagraph"/>
      </w:pPr>
      <w:r>
        <w:rPr>
          <w:b/>
          <w:bCs/>
        </w:rPr>
        <w:t>6.9</w:t>
      </w:r>
      <w:r>
        <w:t xml:space="preserve"> </w:t>
      </w:r>
      <w:r>
        <w:rPr>
          <w:rStyle w:val="VerbatimChar"/>
        </w:rPr>
        <w:t>[TRAD]</w:t>
      </w:r>
      <w:r>
        <w:t xml:space="preserve"> The Confucian goal is to become a </w:t>
      </w:r>
      <w:r>
        <w:rPr>
          <w:i/>
          <w:iCs/>
        </w:rPr>
        <w:t>junzi</w:t>
      </w:r>
      <w:r>
        <w:t>, an exemplary person, through lifelong self-cultivation. The means is daily and concrete.</w:t>
      </w:r>
    </w:p>
    <w:p w14:paraId="510D5210" w14:textId="77777777" w:rsidR="0035712B" w:rsidRDefault="00000000">
      <w:pPr>
        <w:pStyle w:val="BodyText"/>
      </w:pPr>
      <w:r>
        <w:rPr>
          <w:b/>
          <w:bCs/>
        </w:rPr>
        <w:t>6.10</w:t>
      </w:r>
      <w:r>
        <w:t xml:space="preserve"> </w:t>
      </w:r>
      <w:r>
        <w:rPr>
          <w:rStyle w:val="VerbatimChar"/>
        </w:rPr>
        <w:t>[TEXT]</w:t>
      </w:r>
      <w:r>
        <w:t xml:space="preserve"> The practices: </w:t>
      </w:r>
      <w:r>
        <w:rPr>
          <w:b/>
          <w:bCs/>
        </w:rPr>
        <w:t>ritual propriety</w:t>
      </w:r>
      <w:r>
        <w:t xml:space="preserve"> (</w:t>
      </w:r>
      <w:r>
        <w:rPr>
          <w:i/>
          <w:iCs/>
        </w:rPr>
        <w:t>li</w:t>
      </w:r>
      <w:r>
        <w:t xml:space="preserve">) performed until it forms the character from the outside in; </w:t>
      </w:r>
      <w:r>
        <w:rPr>
          <w:b/>
          <w:bCs/>
        </w:rPr>
        <w:t>humaneness</w:t>
      </w:r>
      <w:r>
        <w:t xml:space="preserve"> (</w:t>
      </w:r>
      <w:r>
        <w:rPr>
          <w:i/>
          <w:iCs/>
        </w:rPr>
        <w:t>ren</w:t>
      </w:r>
      <w:r>
        <w:t xml:space="preserve">) as the end pursued; </w:t>
      </w:r>
      <w:r>
        <w:rPr>
          <w:b/>
          <w:bCs/>
        </w:rPr>
        <w:t>learning</w:t>
      </w:r>
      <w:r>
        <w:t xml:space="preserve"> (</w:t>
      </w:r>
      <w:r>
        <w:rPr>
          <w:i/>
          <w:iCs/>
        </w:rPr>
        <w:t>xue</w:t>
      </w:r>
      <w:r>
        <w:t xml:space="preserve">) as a constant; and the </w:t>
      </w:r>
      <w:r>
        <w:rPr>
          <w:b/>
          <w:bCs/>
        </w:rPr>
        <w:t>daily self-examination</w:t>
      </w:r>
      <w:r>
        <w:t xml:space="preserve"> — the disciple Zengzi’s reported habit of examining himself each day on his faithfulness, his sincerity, and his practice. And the cultivation does not stop at the self: the </w:t>
      </w:r>
      <w:r>
        <w:rPr>
          <w:i/>
          <w:iCs/>
        </w:rPr>
        <w:t>Great Learning</w:t>
      </w:r>
      <w:r>
        <w:t xml:space="preserve"> runs the chain from the ordered self to the ordered family, state, and world. </w:t>
      </w:r>
      <w:r>
        <w:rPr>
          <w:rStyle w:val="VerbatimChar"/>
        </w:rPr>
        <w:t>[SYNTH]</w:t>
      </w:r>
      <w:r>
        <w:t xml:space="preserve"> This is the explicit dual-scale of the mirror (Governing Note §6, Dive 1 §1.11): in the Confucian account, self-cultivation simply </w:t>
      </w:r>
      <w:r>
        <w:rPr>
          <w:i/>
          <w:iCs/>
        </w:rPr>
        <w:t>is</w:t>
      </w:r>
      <w:r>
        <w:t xml:space="preserve"> the cultivation of the polity, by extension. The personal and the social are one practice at different radii.</w:t>
      </w:r>
    </w:p>
    <w:p w14:paraId="0712212F" w14:textId="77777777" w:rsidR="0035712B" w:rsidRDefault="00000000">
      <w:bookmarkStart w:id="67" w:name="X516ca4d3489f8bc3f2d5f1e5b26ec299c844f56"/>
      <w:r>
        <w:rPr>
          <w:noProof/>
        </w:rPr>
        <mc:AlternateContent>
          <mc:Choice Requires="wps">
            <w:drawing>
              <wp:inline distT="0" distB="0" distL="0" distR="0" wp14:anchorId="2A82CF0A" wp14:editId="774D7B3C">
                <wp:extent cx="5943600" cy="19050"/>
                <wp:effectExtent l="0" t="0" r="0" b="0"/>
                <wp:docPr id="123" name="Rectangle 12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552E294" id="Rectangle 12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7"/>
    </w:p>
    <w:p w14:paraId="5D8FB4BB" w14:textId="77777777" w:rsidR="0035712B" w:rsidRDefault="00000000">
      <w:pPr>
        <w:pStyle w:val="Heading4"/>
      </w:pPr>
      <w:r>
        <w:t xml:space="preserve">IV. The monastic rhythm — </w:t>
      </w:r>
      <w:r>
        <w:rPr>
          <w:iCs/>
        </w:rPr>
        <w:t>ora et labora</w:t>
      </w:r>
    </w:p>
    <w:p w14:paraId="6D154DA9" w14:textId="77777777" w:rsidR="0035712B" w:rsidRDefault="00000000">
      <w:pPr>
        <w:pStyle w:val="FirstParagraph"/>
      </w:pPr>
      <w:r>
        <w:rPr>
          <w:b/>
          <w:bCs/>
        </w:rPr>
        <w:t>6.11</w:t>
      </w:r>
      <w:r>
        <w:t xml:space="preserve"> </w:t>
      </w:r>
      <w:r>
        <w:rPr>
          <w:rStyle w:val="VerbatimChar"/>
        </w:rPr>
        <w:t>[TEXT]</w:t>
      </w:r>
      <w:r>
        <w:t xml:space="preserve"> </w:t>
      </w:r>
      <w:r>
        <w:rPr>
          <w:rStyle w:val="VerbatimChar"/>
        </w:rPr>
        <w:t>[SCHOLAR]</w:t>
      </w:r>
      <w:r>
        <w:t xml:space="preserve"> The Rule of Benedict institutionalizes Hadot’s </w:t>
      </w:r>
      <w:r>
        <w:rPr>
          <w:i/>
          <w:iCs/>
        </w:rPr>
        <w:t>askesis</w:t>
      </w:r>
      <w:r>
        <w:t xml:space="preserve"> more completely than any school — it builds an entire life as a continuous exercise. Its motto, </w:t>
      </w:r>
      <w:r>
        <w:rPr>
          <w:i/>
          <w:iCs/>
        </w:rPr>
        <w:t>ora et labora</w:t>
      </w:r>
      <w:r>
        <w:t xml:space="preserve"> — pray and work — names a day ordered into a rhythm of fixed-hour prayer (the daily office), manual labor, and meditative reading (</w:t>
      </w:r>
      <w:r>
        <w:rPr>
          <w:i/>
          <w:iCs/>
        </w:rPr>
        <w:t>lectio divina</w:t>
      </w:r>
      <w:r>
        <w:t>, the Christian heir of Hadot’s reading-as-exercise). The monastery is framed as a school for service; its vows — stability, obedience, and the famous ladder of humility — are sustained exercises in the ordering of the self.</w:t>
      </w:r>
    </w:p>
    <w:p w14:paraId="65514387" w14:textId="77777777" w:rsidR="0035712B" w:rsidRDefault="00000000">
      <w:pPr>
        <w:pStyle w:val="BodyText"/>
      </w:pPr>
      <w:r>
        <w:rPr>
          <w:b/>
          <w:bCs/>
        </w:rPr>
        <w:t>6.12</w:t>
      </w:r>
      <w:r>
        <w:t xml:space="preserve"> </w:t>
      </w:r>
      <w:r>
        <w:rPr>
          <w:rStyle w:val="VerbatimChar"/>
        </w:rPr>
        <w:t>[SYNTH]</w:t>
      </w:r>
      <w:r>
        <w:t xml:space="preserve"> The monastic exercises converge on the same moves under a different ground: structure time, attend to the present task as itself sacred, examine the conscience, order desire through vow — all directed toward God and the sanctification of ordinary life. The art of living becomes a whole architecture of living.</w:t>
      </w:r>
    </w:p>
    <w:p w14:paraId="79988AE6" w14:textId="77777777" w:rsidR="0035712B" w:rsidRDefault="00000000">
      <w:bookmarkStart w:id="68" w:name="iv.-the-monastic-rhythm-ora-et-labora"/>
      <w:r>
        <w:rPr>
          <w:noProof/>
        </w:rPr>
        <mc:AlternateContent>
          <mc:Choice Requires="wps">
            <w:drawing>
              <wp:inline distT="0" distB="0" distL="0" distR="0" wp14:anchorId="727DAD5F" wp14:editId="5A710A06">
                <wp:extent cx="5943600" cy="19050"/>
                <wp:effectExtent l="0" t="0" r="0" b="0"/>
                <wp:docPr id="125" name="Rectangle 12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2A4CD42" id="Rectangle 12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8"/>
    </w:p>
    <w:p w14:paraId="6C15993B" w14:textId="77777777" w:rsidR="0035712B" w:rsidRDefault="00000000">
      <w:pPr>
        <w:pStyle w:val="Heading4"/>
      </w:pPr>
      <w:r>
        <w:lastRenderedPageBreak/>
        <w:t>V. Ignatian discernment</w:t>
      </w:r>
    </w:p>
    <w:p w14:paraId="13A45A0F" w14:textId="77777777" w:rsidR="0035712B" w:rsidRDefault="00000000">
      <w:pPr>
        <w:pStyle w:val="FirstParagraph"/>
      </w:pPr>
      <w:r>
        <w:rPr>
          <w:b/>
          <w:bCs/>
        </w:rPr>
        <w:t>6.13</w:t>
      </w:r>
      <w:r>
        <w:t xml:space="preserve"> </w:t>
      </w:r>
      <w:r>
        <w:rPr>
          <w:rStyle w:val="VerbatimChar"/>
        </w:rPr>
        <w:t>[TEXT]</w:t>
      </w:r>
      <w:r>
        <w:t xml:space="preserve"> Ignatius’s </w:t>
      </w:r>
      <w:r>
        <w:rPr>
          <w:i/>
          <w:iCs/>
        </w:rPr>
        <w:t>Spiritual Exercises</w:t>
      </w:r>
      <w:r>
        <w:t xml:space="preserve"> (introduced in Dive 5) structure a retreat of meditations and contemplations, but their distinctive contribution is </w:t>
      </w:r>
      <w:r>
        <w:rPr>
          <w:b/>
          <w:bCs/>
        </w:rPr>
        <w:t>discernment of spirits</w:t>
      </w:r>
      <w:r>
        <w:t xml:space="preserve">: learning to read one’s interior movements — consolation against desolation — to find the true direction beneath the noise. The daily </w:t>
      </w:r>
      <w:r>
        <w:rPr>
          <w:b/>
          <w:bCs/>
        </w:rPr>
        <w:t>examen</w:t>
      </w:r>
      <w:r>
        <w:t xml:space="preserve"> is its compact form, a structured review of the movements of a single day.</w:t>
      </w:r>
    </w:p>
    <w:p w14:paraId="231F9B09" w14:textId="77777777" w:rsidR="0035712B" w:rsidRDefault="00000000">
      <w:pPr>
        <w:pStyle w:val="BodyText"/>
      </w:pPr>
      <w:r>
        <w:rPr>
          <w:b/>
          <w:bCs/>
        </w:rPr>
        <w:t>6.14</w:t>
      </w:r>
      <w:r>
        <w:t xml:space="preserve"> </w:t>
      </w:r>
      <w:r>
        <w:rPr>
          <w:rStyle w:val="VerbatimChar"/>
        </w:rPr>
        <w:t>[SYNTH]</w:t>
      </w:r>
      <w:r>
        <w:t xml:space="preserve"> Discernment is the apex of the examination tradition: not merely </w:t>
      </w:r>
      <w:r>
        <w:rPr>
          <w:i/>
          <w:iCs/>
        </w:rPr>
        <w:t>what did I do today</w:t>
      </w:r>
      <w:r>
        <w:t xml:space="preserve"> but </w:t>
      </w:r>
      <w:r>
        <w:rPr>
          <w:i/>
          <w:iCs/>
        </w:rPr>
        <w:t>which of the motions within me were toward the good, and which away</w:t>
      </w:r>
      <w:r>
        <w:t>. It is the trained reading of the interior — and, as noted once already (Dive 5 §5.11), the live ancestor of the discernment-based authorship the author practices. Held light, recorded, not developed.</w:t>
      </w:r>
    </w:p>
    <w:p w14:paraId="0E8B7AD8" w14:textId="77777777" w:rsidR="0035712B" w:rsidRDefault="00000000">
      <w:bookmarkStart w:id="69" w:name="v.-ignatian-discernment"/>
      <w:r>
        <w:rPr>
          <w:noProof/>
        </w:rPr>
        <mc:AlternateContent>
          <mc:Choice Requires="wps">
            <w:drawing>
              <wp:inline distT="0" distB="0" distL="0" distR="0" wp14:anchorId="3D9A7367" wp14:editId="694A0D7C">
                <wp:extent cx="5943600" cy="19050"/>
                <wp:effectExtent l="0" t="0" r="0" b="0"/>
                <wp:docPr id="127" name="Rectangle 12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59EF9D2" id="Rectangle 12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69"/>
    </w:p>
    <w:p w14:paraId="17F46A64" w14:textId="77777777" w:rsidR="0035712B" w:rsidRDefault="00000000">
      <w:pPr>
        <w:pStyle w:val="Heading4"/>
      </w:pPr>
      <w:r>
        <w:t>VI. The reading — what the canon shows</w:t>
      </w:r>
    </w:p>
    <w:p w14:paraId="16A24177" w14:textId="77777777" w:rsidR="0035712B" w:rsidRDefault="00000000">
      <w:pPr>
        <w:pStyle w:val="FirstParagraph"/>
      </w:pPr>
      <w:r>
        <w:rPr>
          <w:b/>
          <w:bCs/>
        </w:rPr>
        <w:t>6.15</w:t>
      </w:r>
      <w:r>
        <w:t xml:space="preserve"> </w:t>
      </w:r>
      <w:r>
        <w:rPr>
          <w:rStyle w:val="VerbatimChar"/>
        </w:rPr>
        <w:t>[HYP]</w:t>
      </w:r>
      <w:r>
        <w:t xml:space="preserve"> </w:t>
      </w:r>
      <w:r>
        <w:rPr>
          <w:b/>
          <w:bCs/>
        </w:rPr>
        <w:t>The convergence, at its most concrete.</w:t>
      </w:r>
      <w:r>
        <w:t xml:space="preserve"> Lay the five traditions side by side and a small, shared repertoire emerges: </w:t>
      </w:r>
      <w:r>
        <w:rPr>
          <w:i/>
          <w:iCs/>
        </w:rPr>
        <w:t>sort what you control from what you don’t; order and discriminate desire; attend to the present; examine yourself daily; rehearse and accept limit and mortality.</w:t>
      </w:r>
      <w:r>
        <w:t xml:space="preserve"> These moves recur under Stoic providence, Epicurean void, Confucian Heaven, and Christian God alike. That the </w:t>
      </w:r>
      <w:r>
        <w:rPr>
          <w:b/>
          <w:bCs/>
        </w:rPr>
        <w:t>practices rhyme while the grounds oppose</w:t>
      </w:r>
      <w:r>
        <w:t xml:space="preserve"> is the strongest practical support the compendium has assembled for the Governing Note §5 hypothesis — and the Stoic/Epicurean pairing (§6.8) is the proof case, because there the grounds are not merely different but contradictory.</w:t>
      </w:r>
    </w:p>
    <w:p w14:paraId="69B6427A" w14:textId="77777777" w:rsidR="0035712B" w:rsidRDefault="00000000">
      <w:pPr>
        <w:pStyle w:val="BodyText"/>
      </w:pPr>
      <w:r>
        <w:rPr>
          <w:b/>
          <w:bCs/>
        </w:rPr>
        <w:t>6.16</w:t>
      </w:r>
      <w:r>
        <w:t xml:space="preserve"> </w:t>
      </w:r>
      <w:r>
        <w:rPr>
          <w:rStyle w:val="VerbatimChar"/>
        </w:rPr>
        <w:t>[HYP]</w:t>
      </w:r>
      <w:r>
        <w:t xml:space="preserve"> </w:t>
      </w:r>
      <w:r>
        <w:rPr>
          <w:b/>
          <w:bCs/>
        </w:rPr>
        <w:t>The divergence, at the summit.</w:t>
      </w:r>
      <w:r>
        <w:t xml:space="preserve"> The exercises climb toward different peaks: tranquility (Epicurean), life according to Nature (Stoic), the harmonized Way (Confucian), union with God (monastic and Ignatian). </w:t>
      </w:r>
      <w:r>
        <w:rPr>
          <w:i/>
          <w:iCs/>
        </w:rPr>
        <w:t>Self-transcendence toward what?</w:t>
      </w:r>
      <w:r>
        <w:t xml:space="preserve"> — §4.13 and §5.9 — answered five different ways. The repertoire is shared; the destination is not.</w:t>
      </w:r>
    </w:p>
    <w:p w14:paraId="102130C5" w14:textId="77777777" w:rsidR="0035712B" w:rsidRDefault="00000000">
      <w:pPr>
        <w:pStyle w:val="BodyText"/>
      </w:pPr>
      <w:r>
        <w:rPr>
          <w:b/>
          <w:bCs/>
        </w:rPr>
        <w:t>6.17</w:t>
      </w:r>
      <w:r>
        <w:t xml:space="preserve"> </w:t>
      </w:r>
      <w:r>
        <w:rPr>
          <w:rStyle w:val="VerbatimChar"/>
        </w:rPr>
        <w:t>[SYNTH]</w:t>
      </w:r>
      <w:r>
        <w:t xml:space="preserve"> </w:t>
      </w:r>
      <w:r>
        <w:rPr>
          <w:b/>
          <w:bCs/>
        </w:rPr>
        <w:t>The usable heart for the book.</w:t>
      </w:r>
      <w:r>
        <w:t xml:space="preserve"> Wisdom is practiced through a surprisingly small and learnable set of moves, available to anyone regardless of the ground they stand on — which is why a tradition can borrow another’s exercise without adopting its god (Hadot’s point: one need not become a Hindu to practice yoga). This is the democratic, practical center of the art of living, and it serves the witness stance precisely: </w:t>
      </w:r>
      <w:r>
        <w:rPr>
          <w:b/>
          <w:bCs/>
        </w:rPr>
        <w:t>the exercises are common inheritance and can be offered as such (Governing Note §4, universal recognition), while the destination is what the book testifies to.</w:t>
      </w:r>
      <w:r>
        <w:t xml:space="preserve"> The book hands the reader the repertoire freely and witnesses, openly, to the summit it believes the climbing is for.</w:t>
      </w:r>
    </w:p>
    <w:p w14:paraId="64589F00" w14:textId="77777777" w:rsidR="0035712B" w:rsidRDefault="00000000">
      <w:bookmarkStart w:id="70" w:name="vi.-the-reading-what-the-canon-shows"/>
      <w:r>
        <w:rPr>
          <w:noProof/>
        </w:rPr>
        <mc:AlternateContent>
          <mc:Choice Requires="wps">
            <w:drawing>
              <wp:inline distT="0" distB="0" distL="0" distR="0" wp14:anchorId="58F42A6F" wp14:editId="2A0CBCBE">
                <wp:extent cx="5943600" cy="19050"/>
                <wp:effectExtent l="0" t="0" r="0" b="0"/>
                <wp:docPr id="129" name="Rectangle 12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85F0FA7" id="Rectangle 12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0"/>
    </w:p>
    <w:p w14:paraId="36D8AE00" w14:textId="77777777" w:rsidR="0035712B" w:rsidRDefault="00000000">
      <w:pPr>
        <w:pStyle w:val="Heading4"/>
      </w:pPr>
      <w:r>
        <w:t>Thinker &amp; source catalogue — additions from this dive</w:t>
      </w:r>
    </w:p>
    <w:p w14:paraId="3197F82A" w14:textId="77777777" w:rsidR="0035712B" w:rsidRDefault="00000000">
      <w:pPr>
        <w:pStyle w:val="Compact"/>
        <w:numPr>
          <w:ilvl w:val="0"/>
          <w:numId w:val="67"/>
        </w:numPr>
      </w:pPr>
      <w:r>
        <w:rPr>
          <w:b/>
          <w:bCs/>
        </w:rPr>
        <w:t>Epictetus</w:t>
      </w:r>
      <w:r>
        <w:t xml:space="preserve"> — the dichotomy of control; freedom through right desire. </w:t>
      </w:r>
      <w:r>
        <w:rPr>
          <w:i/>
          <w:iCs/>
        </w:rPr>
        <w:t>(Enchiridion, Discourses.)</w:t>
      </w:r>
    </w:p>
    <w:p w14:paraId="2E1825A5" w14:textId="77777777" w:rsidR="0035712B" w:rsidRDefault="00000000">
      <w:pPr>
        <w:pStyle w:val="Compact"/>
        <w:numPr>
          <w:ilvl w:val="0"/>
          <w:numId w:val="68"/>
        </w:numPr>
      </w:pPr>
      <w:r>
        <w:rPr>
          <w:b/>
          <w:bCs/>
        </w:rPr>
        <w:lastRenderedPageBreak/>
        <w:t>Marcus Aurelius</w:t>
      </w:r>
      <w:r>
        <w:t xml:space="preserve"> — the three disciplines: perception, desire, action; </w:t>
      </w:r>
      <w:r>
        <w:rPr>
          <w:i/>
          <w:iCs/>
        </w:rPr>
        <w:t>amor fati</w:t>
      </w:r>
      <w:r>
        <w:t xml:space="preserve">. </w:t>
      </w:r>
      <w:r>
        <w:rPr>
          <w:i/>
          <w:iCs/>
        </w:rPr>
        <w:t>(Meditations; via Hadot, The Inner Citadel.)</w:t>
      </w:r>
    </w:p>
    <w:p w14:paraId="6F69023B" w14:textId="77777777" w:rsidR="0035712B" w:rsidRDefault="00000000">
      <w:pPr>
        <w:pStyle w:val="Compact"/>
        <w:numPr>
          <w:ilvl w:val="0"/>
          <w:numId w:val="69"/>
        </w:numPr>
      </w:pPr>
      <w:r>
        <w:rPr>
          <w:b/>
          <w:bCs/>
        </w:rPr>
        <w:t>Seneca</w:t>
      </w:r>
      <w:r>
        <w:t xml:space="preserve"> — the shortness/sufficiency of life; the evening examination; premeditation of adversity; letters as formation. </w:t>
      </w:r>
      <w:r>
        <w:rPr>
          <w:i/>
          <w:iCs/>
        </w:rPr>
        <w:t>(On the Shortness of Life; Letters.)</w:t>
      </w:r>
    </w:p>
    <w:p w14:paraId="2A8782BA" w14:textId="77777777" w:rsidR="0035712B" w:rsidRDefault="00000000">
      <w:pPr>
        <w:pStyle w:val="Compact"/>
        <w:numPr>
          <w:ilvl w:val="0"/>
          <w:numId w:val="70"/>
        </w:numPr>
      </w:pPr>
      <w:r>
        <w:rPr>
          <w:b/>
          <w:bCs/>
        </w:rPr>
        <w:t>Epicurus</w:t>
      </w:r>
      <w:r>
        <w:t xml:space="preserve"> — </w:t>
      </w:r>
      <w:r>
        <w:rPr>
          <w:i/>
          <w:iCs/>
        </w:rPr>
        <w:t>ataraxia</w:t>
      </w:r>
      <w:r>
        <w:t xml:space="preserve">; the tetrapharmakos; the calculus of desire; prudence as chief virtue. </w:t>
      </w:r>
      <w:r>
        <w:rPr>
          <w:i/>
          <w:iCs/>
        </w:rPr>
        <w:t>The proof case for convergence-at-practice / divergence-at-ground (§6.8).</w:t>
      </w:r>
    </w:p>
    <w:p w14:paraId="2BAEE5A0" w14:textId="77777777" w:rsidR="0035712B" w:rsidRDefault="00000000">
      <w:pPr>
        <w:pStyle w:val="Compact"/>
        <w:numPr>
          <w:ilvl w:val="0"/>
          <w:numId w:val="71"/>
        </w:numPr>
      </w:pPr>
      <w:r>
        <w:rPr>
          <w:b/>
          <w:bCs/>
        </w:rPr>
        <w:t>The Confucian tradition</w:t>
      </w:r>
      <w:r>
        <w:t xml:space="preserve"> — </w:t>
      </w:r>
      <w:r>
        <w:rPr>
          <w:i/>
          <w:iCs/>
        </w:rPr>
        <w:t>junzi</w:t>
      </w:r>
      <w:r>
        <w:t xml:space="preserve">, </w:t>
      </w:r>
      <w:r>
        <w:rPr>
          <w:i/>
          <w:iCs/>
        </w:rPr>
        <w:t>li</w:t>
      </w:r>
      <w:r>
        <w:t xml:space="preserve">, </w:t>
      </w:r>
      <w:r>
        <w:rPr>
          <w:i/>
          <w:iCs/>
        </w:rPr>
        <w:t>ren</w:t>
      </w:r>
      <w:r>
        <w:t xml:space="preserve">, </w:t>
      </w:r>
      <w:r>
        <w:rPr>
          <w:i/>
          <w:iCs/>
        </w:rPr>
        <w:t>xue</w:t>
      </w:r>
      <w:r>
        <w:t xml:space="preserve">; daily self-examination; the </w:t>
      </w:r>
      <w:r>
        <w:rPr>
          <w:i/>
          <w:iCs/>
        </w:rPr>
        <w:t>Great Learning</w:t>
      </w:r>
      <w:r>
        <w:t xml:space="preserve"> chain. </w:t>
      </w:r>
      <w:r>
        <w:rPr>
          <w:i/>
          <w:iCs/>
        </w:rPr>
        <w:t>Carries the explicit dual-scale of the mirror (Governing Note §6).</w:t>
      </w:r>
    </w:p>
    <w:p w14:paraId="6FABEC9C" w14:textId="77777777" w:rsidR="0035712B" w:rsidRDefault="00000000">
      <w:pPr>
        <w:pStyle w:val="Compact"/>
        <w:numPr>
          <w:ilvl w:val="0"/>
          <w:numId w:val="72"/>
        </w:numPr>
      </w:pPr>
      <w:r>
        <w:rPr>
          <w:b/>
          <w:bCs/>
        </w:rPr>
        <w:t>Benedict of Nursia</w:t>
      </w:r>
      <w:r>
        <w:t xml:space="preserve"> — </w:t>
      </w:r>
      <w:r>
        <w:rPr>
          <w:i/>
          <w:iCs/>
        </w:rPr>
        <w:t>ora et labora</w:t>
      </w:r>
      <w:r>
        <w:t xml:space="preserve">; the daily office; </w:t>
      </w:r>
      <w:r>
        <w:rPr>
          <w:i/>
          <w:iCs/>
        </w:rPr>
        <w:t>lectio divina</w:t>
      </w:r>
      <w:r>
        <w:t xml:space="preserve">; stability, obedience, humility. </w:t>
      </w:r>
      <w:r>
        <w:rPr>
          <w:i/>
          <w:iCs/>
        </w:rPr>
        <w:t>The fullest institutionalization of askesis.</w:t>
      </w:r>
    </w:p>
    <w:p w14:paraId="31A1136F" w14:textId="77777777" w:rsidR="0035712B" w:rsidRDefault="00000000">
      <w:pPr>
        <w:pStyle w:val="Compact"/>
        <w:numPr>
          <w:ilvl w:val="0"/>
          <w:numId w:val="73"/>
        </w:numPr>
      </w:pPr>
      <w:r>
        <w:rPr>
          <w:b/>
          <w:bCs/>
        </w:rPr>
        <w:t>Ignatius of Loyola</w:t>
      </w:r>
      <w:r>
        <w:t xml:space="preserve"> — the </w:t>
      </w:r>
      <w:r>
        <w:rPr>
          <w:i/>
          <w:iCs/>
        </w:rPr>
        <w:t>Spiritual Exercises</w:t>
      </w:r>
      <w:r>
        <w:t xml:space="preserve">; discernment of spirits; the examen. </w:t>
      </w:r>
      <w:r>
        <w:rPr>
          <w:i/>
          <w:iCs/>
        </w:rPr>
        <w:t>The apex of the examination tradition; light bridge to authorial discernment.</w:t>
      </w:r>
    </w:p>
    <w:p w14:paraId="0B735F6C" w14:textId="77777777" w:rsidR="0035712B" w:rsidRDefault="00000000">
      <w:bookmarkStart w:id="71" w:name="X25a8fef7d05532695aba14c79b0d788bad98c54"/>
      <w:r>
        <w:rPr>
          <w:noProof/>
        </w:rPr>
        <mc:AlternateContent>
          <mc:Choice Requires="wps">
            <w:drawing>
              <wp:inline distT="0" distB="0" distL="0" distR="0" wp14:anchorId="45B18563" wp14:editId="465701ED">
                <wp:extent cx="5943600" cy="19050"/>
                <wp:effectExtent l="0" t="0" r="0" b="0"/>
                <wp:docPr id="131" name="Rectangle 13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30E149C" id="Rectangle 13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1"/>
    </w:p>
    <w:p w14:paraId="64205A65" w14:textId="77777777" w:rsidR="0035712B" w:rsidRDefault="00000000">
      <w:pPr>
        <w:pStyle w:val="Heading4"/>
      </w:pPr>
      <w:r>
        <w:t>Open threads carried forward</w:t>
      </w:r>
    </w:p>
    <w:p w14:paraId="4838BC51" w14:textId="77777777" w:rsidR="0035712B" w:rsidRDefault="00000000">
      <w:pPr>
        <w:pStyle w:val="Compact"/>
        <w:numPr>
          <w:ilvl w:val="0"/>
          <w:numId w:val="74"/>
        </w:numPr>
      </w:pPr>
      <w:r>
        <w:rPr>
          <w:b/>
          <w:bCs/>
        </w:rPr>
        <w:t>Dive 7 (attention and love)</w:t>
      </w:r>
      <w:r>
        <w:t xml:space="preserve"> is the modern apex of the practice — Weil and Murdoch on attention as “unselfing,” and the virtue revival (MacIntyre, Nussbaum, Foot). The §4 and §5 threads on self-transcendence land there, and it closes the LIVE movement.</w:t>
      </w:r>
    </w:p>
    <w:p w14:paraId="439D5148" w14:textId="77777777" w:rsidR="0035712B" w:rsidRDefault="00000000">
      <w:pPr>
        <w:pStyle w:val="Compact"/>
        <w:numPr>
          <w:ilvl w:val="0"/>
          <w:numId w:val="75"/>
        </w:numPr>
      </w:pPr>
      <w:r>
        <w:rPr>
          <w:b/>
          <w:bCs/>
        </w:rPr>
        <w:t>The convergence-of-practice / divergence-of-telos finding</w:t>
      </w:r>
      <w:r>
        <w:t xml:space="preserve"> (§6.15–6.16) joins §3.15, §4.13, and §5.9 as the fourth and most concrete instance feeding the </w:t>
      </w:r>
      <w:r>
        <w:rPr>
          <w:b/>
          <w:bCs/>
        </w:rPr>
        <w:t>cross-cutting finding</w:t>
      </w:r>
      <w:r>
        <w:t>.</w:t>
      </w:r>
    </w:p>
    <w:p w14:paraId="0544198A" w14:textId="77777777" w:rsidR="0035712B" w:rsidRDefault="00000000">
      <w:pPr>
        <w:pStyle w:val="Compact"/>
        <w:numPr>
          <w:ilvl w:val="0"/>
          <w:numId w:val="76"/>
        </w:numPr>
      </w:pPr>
      <w:r>
        <w:rPr>
          <w:b/>
          <w:bCs/>
        </w:rPr>
        <w:t>The Confucian dual-scale</w:t>
      </w:r>
      <w:r>
        <w:t xml:space="preserve"> (§6.10) reinforces </w:t>
      </w:r>
      <w:r>
        <w:rPr>
          <w:b/>
          <w:bCs/>
        </w:rPr>
        <w:t>Governing Note §6</w:t>
      </w:r>
      <w:r>
        <w:t xml:space="preserve"> and is worth a confirming note at assembly.</w:t>
      </w:r>
    </w:p>
    <w:p w14:paraId="20948991" w14:textId="77777777" w:rsidR="0035712B" w:rsidRDefault="00000000">
      <w:pPr>
        <w:pStyle w:val="Compact"/>
        <w:numPr>
          <w:ilvl w:val="0"/>
          <w:numId w:val="77"/>
        </w:numPr>
      </w:pPr>
      <w:r>
        <w:rPr>
          <w:b/>
          <w:bCs/>
        </w:rPr>
        <w:t>§6.17 (common exercises, witnessed destination)</w:t>
      </w:r>
      <w:r>
        <w:t xml:space="preserve"> is a clean statement of how the witness stance operates in practice; candidate for the writing.</w:t>
      </w:r>
    </w:p>
    <w:p w14:paraId="7D6E4F9F" w14:textId="77777777" w:rsidR="0035712B" w:rsidRDefault="00000000">
      <w:bookmarkStart w:id="72" w:name="dive-6-the-practical-canon"/>
      <w:bookmarkStart w:id="73" w:name="open-threads-carried-forward-5"/>
      <w:r>
        <w:rPr>
          <w:noProof/>
        </w:rPr>
        <mc:AlternateContent>
          <mc:Choice Requires="wps">
            <w:drawing>
              <wp:inline distT="0" distB="0" distL="0" distR="0" wp14:anchorId="12F1CE92" wp14:editId="618E78F9">
                <wp:extent cx="5943600" cy="19050"/>
                <wp:effectExtent l="0" t="0" r="0" b="0"/>
                <wp:docPr id="133" name="Rectangle 13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458A8C3" id="Rectangle 13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2"/>
      <w:bookmarkEnd w:id="73"/>
    </w:p>
    <w:p w14:paraId="0BF17FB3" w14:textId="77777777" w:rsidR="0035712B" w:rsidRDefault="00000000">
      <w:pPr>
        <w:pStyle w:val="Heading3"/>
      </w:pPr>
      <w:r>
        <w:t>Dive 7 — Attention and Love</w:t>
      </w:r>
    </w:p>
    <w:p w14:paraId="4ABCAFF2" w14:textId="77777777" w:rsidR="0035712B" w:rsidRDefault="00000000">
      <w:pPr>
        <w:pStyle w:val="Heading4"/>
      </w:pPr>
      <w:r>
        <w:t>The governing question of this dive</w:t>
      </w:r>
    </w:p>
    <w:p w14:paraId="43B6C06A" w14:textId="77777777" w:rsidR="0035712B" w:rsidRDefault="00000000">
      <w:pPr>
        <w:pStyle w:val="FirstParagraph"/>
      </w:pPr>
      <w:r>
        <w:rPr>
          <w:b/>
          <w:bCs/>
        </w:rPr>
        <w:t>7.1</w:t>
      </w:r>
      <w:r>
        <w:t xml:space="preserve"> </w:t>
      </w:r>
      <w:r>
        <w:rPr>
          <w:rStyle w:val="VerbatimChar"/>
        </w:rPr>
        <w:t>[SYNTH]</w:t>
      </w:r>
      <w:r>
        <w:t xml:space="preserve"> The exercises of Dive 6 were aimed, mostly, </w:t>
      </w:r>
      <w:r>
        <w:rPr>
          <w:i/>
          <w:iCs/>
        </w:rPr>
        <w:t>inward</w:t>
      </w:r>
      <w:r>
        <w:t xml:space="preserve"> — at ordering the practitioner’s own desires, judgments, and time. This dive is where the practice turns </w:t>
      </w:r>
      <w:r>
        <w:rPr>
          <w:i/>
          <w:iCs/>
        </w:rPr>
        <w:t>outward</w:t>
      </w:r>
      <w:r>
        <w:t xml:space="preserve"> and reaches its modern height. Its claim, made by two twentieth-century thinkers and ratified by a whole revival in moral philosophy, is that the central moral act is </w:t>
      </w:r>
      <w:r>
        <w:rPr>
          <w:b/>
          <w:bCs/>
        </w:rPr>
        <w:t>attention</w:t>
      </w:r>
      <w:r>
        <w:t xml:space="preserve"> — the disciplined, ego-emptied seeing of what is real and other — and that </w:t>
      </w:r>
      <w:r>
        <w:rPr>
          <w:b/>
          <w:bCs/>
        </w:rPr>
        <w:t>love</w:t>
      </w:r>
      <w:r>
        <w:t xml:space="preserve"> is the name of that seeing once achieved. This completes the self-transcendence arc the compendium has tracked since Dive 4, and it closes </w:t>
      </w:r>
      <w:r>
        <w:rPr>
          <w:i/>
          <w:iCs/>
        </w:rPr>
        <w:t>Live</w:t>
      </w:r>
      <w:r>
        <w:t>: the wise life culminates not in self-mastery but in self-emptying toward the real.</w:t>
      </w:r>
    </w:p>
    <w:p w14:paraId="550072C1" w14:textId="77777777" w:rsidR="0035712B" w:rsidRDefault="00000000">
      <w:bookmarkStart w:id="74" w:name="the-governing-question-of-this-dive-5"/>
      <w:r>
        <w:rPr>
          <w:noProof/>
        </w:rPr>
        <mc:AlternateContent>
          <mc:Choice Requires="wps">
            <w:drawing>
              <wp:inline distT="0" distB="0" distL="0" distR="0" wp14:anchorId="31C3E2AB" wp14:editId="42DB776A">
                <wp:extent cx="5943600" cy="19050"/>
                <wp:effectExtent l="0" t="0" r="0" b="0"/>
                <wp:docPr id="135" name="Rectangle 13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96BAB7A" id="Rectangle 13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4"/>
    </w:p>
    <w:p w14:paraId="0D3F4490" w14:textId="77777777" w:rsidR="0035712B" w:rsidRDefault="00000000">
      <w:pPr>
        <w:pStyle w:val="Heading4"/>
      </w:pPr>
      <w:r>
        <w:lastRenderedPageBreak/>
        <w:t>I. Weil — attention as the moral and spiritual act</w:t>
      </w:r>
    </w:p>
    <w:p w14:paraId="4F35F1BF" w14:textId="77777777" w:rsidR="0035712B" w:rsidRDefault="00000000">
      <w:pPr>
        <w:pStyle w:val="FirstParagraph"/>
      </w:pPr>
      <w:r>
        <w:rPr>
          <w:b/>
          <w:bCs/>
        </w:rPr>
        <w:t>7.2</w:t>
      </w:r>
      <w:r>
        <w:t xml:space="preserve"> </w:t>
      </w:r>
      <w:r>
        <w:rPr>
          <w:rStyle w:val="VerbatimChar"/>
        </w:rPr>
        <w:t>[TEXT]</w:t>
      </w:r>
      <w:r>
        <w:t xml:space="preserve"> For Simone Weil, attention is not strain or effort but a receptive, self-emptied openness — a willingness to truly </w:t>
      </w:r>
      <w:r>
        <w:rPr>
          <w:i/>
          <w:iCs/>
        </w:rPr>
        <w:t>look</w:t>
      </w:r>
      <w:r>
        <w:t xml:space="preserve"> at what is before one rather than to consume or use it. Weil distinguished looking from eating, and held that hope lies with those who occasionally stop and look rather than devour. Most of life, she thought, is spent eating; attention is the rare act of looking.</w:t>
      </w:r>
    </w:p>
    <w:p w14:paraId="63881762" w14:textId="77777777" w:rsidR="0035712B" w:rsidRDefault="00000000">
      <w:pPr>
        <w:pStyle w:val="BodyText"/>
      </w:pPr>
      <w:r>
        <w:rPr>
          <w:b/>
          <w:bCs/>
        </w:rPr>
        <w:t>7.3</w:t>
      </w:r>
      <w:r>
        <w:t xml:space="preserve"> </w:t>
      </w:r>
      <w:r>
        <w:rPr>
          <w:rStyle w:val="VerbatimChar"/>
        </w:rPr>
        <w:t>[TEXT]</w:t>
      </w:r>
      <w:r>
        <w:t xml:space="preserve"> Two consequences follow that matter to this book. First, attention is the very substance of love of neighbor: to attend fully to an afflicted person — to be able, in effect, to ask </w:t>
      </w:r>
      <w:r>
        <w:rPr>
          <w:i/>
          <w:iCs/>
        </w:rPr>
        <w:t>what are you going through?</w:t>
      </w:r>
      <w:r>
        <w:t xml:space="preserve"> and mean it — is already the act of love. Second, attention and prayer are continuous: Weil treated the kind of attention exercised in difficult study as preparation for prayer and for moral deliberation alike. Her deeper term is </w:t>
      </w:r>
      <w:r>
        <w:rPr>
          <w:i/>
          <w:iCs/>
        </w:rPr>
        <w:t>decreation</w:t>
      </w:r>
      <w:r>
        <w:t xml:space="preserve"> — the unmaking of the grasping ego to make room for God and for the real. </w:t>
      </w:r>
      <w:r>
        <w:rPr>
          <w:rStyle w:val="VerbatimChar"/>
        </w:rPr>
        <w:t>[TRAD]</w:t>
      </w:r>
      <w:r>
        <w:t xml:space="preserve"> The ground is God: attention finally opens onto God, and the neighbor is seen in that light.</w:t>
      </w:r>
    </w:p>
    <w:p w14:paraId="76F5F320" w14:textId="77777777" w:rsidR="0035712B" w:rsidRDefault="00000000">
      <w:bookmarkStart w:id="75" w:name="Xfa95d0a19958aa9b128620313068686bc59d37c"/>
      <w:r>
        <w:rPr>
          <w:noProof/>
        </w:rPr>
        <mc:AlternateContent>
          <mc:Choice Requires="wps">
            <w:drawing>
              <wp:inline distT="0" distB="0" distL="0" distR="0" wp14:anchorId="7880E74F" wp14:editId="0436BEAF">
                <wp:extent cx="5943600" cy="19050"/>
                <wp:effectExtent l="0" t="0" r="0" b="0"/>
                <wp:docPr id="137" name="Rectangle 13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877CB13" id="Rectangle 13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5"/>
    </w:p>
    <w:p w14:paraId="547CFB60" w14:textId="77777777" w:rsidR="0035712B" w:rsidRDefault="00000000">
      <w:pPr>
        <w:pStyle w:val="Heading4"/>
      </w:pPr>
      <w:r>
        <w:t>II. Murdoch — unselfing and the just and loving gaze</w:t>
      </w:r>
    </w:p>
    <w:p w14:paraId="59C4692A" w14:textId="77777777" w:rsidR="0035712B" w:rsidRDefault="00000000">
      <w:pPr>
        <w:pStyle w:val="FirstParagraph"/>
      </w:pPr>
      <w:r>
        <w:rPr>
          <w:b/>
          <w:bCs/>
        </w:rPr>
        <w:t>7.4</w:t>
      </w:r>
      <w:r>
        <w:t xml:space="preserve"> </w:t>
      </w:r>
      <w:r>
        <w:rPr>
          <w:rStyle w:val="VerbatimChar"/>
        </w:rPr>
        <w:t>[SCHOLAR]</w:t>
      </w:r>
      <w:r>
        <w:t xml:space="preserve"> Iris Murdoch took the concept directly from Weil — she acknowledged borrowing the word “attention” in </w:t>
      </w:r>
      <w:r>
        <w:rPr>
          <w:i/>
          <w:iCs/>
        </w:rPr>
        <w:t>The Sovereignty of Good</w:t>
      </w:r>
      <w:r>
        <w:t xml:space="preserve"> (1970). For Murdoch, attention is a loving and just perception of reality, and we cannot act well unless we see the situation clearly, unclouded by our own ego.</w:t>
      </w:r>
    </w:p>
    <w:p w14:paraId="5F03618C" w14:textId="77777777" w:rsidR="0035712B" w:rsidRDefault="00000000">
      <w:pPr>
        <w:pStyle w:val="BodyText"/>
      </w:pPr>
      <w:r>
        <w:rPr>
          <w:b/>
          <w:bCs/>
        </w:rPr>
        <w:t>7.5</w:t>
      </w:r>
      <w:r>
        <w:t xml:space="preserve"> </w:t>
      </w:r>
      <w:r>
        <w:rPr>
          <w:rStyle w:val="VerbatimChar"/>
        </w:rPr>
        <w:t>[TEXT]</w:t>
      </w:r>
      <w:r>
        <w:t xml:space="preserve"> Her diagnosis is that the enemy of moral vision is the self — the swollen, restless ego that overlays reality with fantasy and self-regard. On her account evil arises from the ego’s distortions, and goodness requires learning to see justly; we do wrong, in large part, because we see wrongly. Her best-known illustration is a mother who, through sustained and loving attention, comes to re-see a daughter-in-law she had judged harshly — moral change occurring not in a choice but in a transformed quality of seeing. </w:t>
      </w:r>
      <w:r>
        <w:rPr>
          <w:rStyle w:val="VerbatimChar"/>
        </w:rPr>
        <w:t>[SYNTH]</w:t>
      </w:r>
      <w:r>
        <w:t xml:space="preserve"> This is a correction to the moral philosophy of her time, which located morality in acts of will at moments of decision. Murdoch relocates it to </w:t>
      </w:r>
      <w:r>
        <w:rPr>
          <w:i/>
          <w:iCs/>
        </w:rPr>
        <w:t>vision</w:t>
      </w:r>
      <w:r>
        <w:t xml:space="preserve"> — the slow, between-the-moments work of learning to perceive truly.</w:t>
      </w:r>
    </w:p>
    <w:p w14:paraId="1FC22A47" w14:textId="77777777" w:rsidR="0035712B" w:rsidRDefault="00000000">
      <w:pPr>
        <w:pStyle w:val="BodyText"/>
      </w:pPr>
      <w:r>
        <w:rPr>
          <w:b/>
          <w:bCs/>
        </w:rPr>
        <w:t>7.6</w:t>
      </w:r>
      <w:r>
        <w:t xml:space="preserve"> </w:t>
      </w:r>
      <w:r>
        <w:rPr>
          <w:rStyle w:val="VerbatimChar"/>
        </w:rPr>
        <w:t>[TEXT]</w:t>
      </w:r>
      <w:r>
        <w:t xml:space="preserve"> The releasing move she calls </w:t>
      </w:r>
      <w:r>
        <w:rPr>
          <w:b/>
          <w:bCs/>
        </w:rPr>
        <w:t>unselfing</w:t>
      </w:r>
      <w:r>
        <w:t>: the divesting of one’s ego-driven energies and fantasies so that the world is let to emerge. It is occasioned by attention to a person, but also by beauty, by art, by nature — the sudden self-forgetting at the sight of a hovering kestrel. Love, in her formula, is the difficult recognition that something other than oneself is fully real.</w:t>
      </w:r>
    </w:p>
    <w:p w14:paraId="76DCA747" w14:textId="77777777" w:rsidR="0035712B" w:rsidRDefault="00000000">
      <w:pPr>
        <w:pStyle w:val="BodyText"/>
      </w:pPr>
      <w:r>
        <w:rPr>
          <w:b/>
          <w:bCs/>
        </w:rPr>
        <w:t>7.7</w:t>
      </w:r>
      <w:r>
        <w:t xml:space="preserve"> </w:t>
      </w:r>
      <w:r>
        <w:rPr>
          <w:rStyle w:val="VerbatimChar"/>
        </w:rPr>
        <w:t>[SCHOLAR]</w:t>
      </w:r>
      <w:r>
        <w:t xml:space="preserve"> </w:t>
      </w:r>
      <w:r>
        <w:rPr>
          <w:rStyle w:val="VerbatimChar"/>
        </w:rPr>
        <w:t>[SYNTH]</w:t>
      </w:r>
      <w:r>
        <w:t xml:space="preserve"> </w:t>
      </w:r>
      <w:r>
        <w:rPr>
          <w:b/>
          <w:bCs/>
        </w:rPr>
        <w:t>And here is the jewel-case of the whole compendium.</w:t>
      </w:r>
      <w:r>
        <w:t xml:space="preserve"> Murdoch was an atheist — and yet she could not do moral philosophy without a </w:t>
      </w:r>
      <w:r>
        <w:rPr>
          <w:i/>
          <w:iCs/>
        </w:rPr>
        <w:t>transcendent Good</w:t>
      </w:r>
      <w:r>
        <w:t xml:space="preserve">. She recognized the Good as a transcendent, guiding principle toward which attention is reoriented. This is what she meant by her idiosyncratic “Platonism”: a real, magnetic Good kept at the center of the moral life — without God. She holds the entire structure — a transcendent reality that draws and orders moral attention — while refusing the theological name. This is §3.15 reappearing in moral philosophy: the most rigorous secular </w:t>
      </w:r>
      <w:r>
        <w:lastRenderedPageBreak/>
        <w:t>moralist reaches the dimension, finds she needs a transcendent reference, and stops exactly at the threshold of naming it. The ground presses in even on one who declines it.</w:t>
      </w:r>
    </w:p>
    <w:p w14:paraId="0A0A458F" w14:textId="77777777" w:rsidR="0035712B" w:rsidRDefault="00000000">
      <w:bookmarkStart w:id="76" w:name="X231aa7944b2933410550bfe4926a3eecc7f61a7"/>
      <w:r>
        <w:rPr>
          <w:noProof/>
        </w:rPr>
        <mc:AlternateContent>
          <mc:Choice Requires="wps">
            <w:drawing>
              <wp:inline distT="0" distB="0" distL="0" distR="0" wp14:anchorId="433DF227" wp14:editId="3A7F8CF2">
                <wp:extent cx="5943600" cy="19050"/>
                <wp:effectExtent l="0" t="0" r="0" b="0"/>
                <wp:docPr id="139" name="Rectangle 13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66CEB7C" id="Rectangle 13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6"/>
    </w:p>
    <w:p w14:paraId="471B2EAE" w14:textId="77777777" w:rsidR="0035712B" w:rsidRDefault="00000000">
      <w:pPr>
        <w:pStyle w:val="Heading4"/>
      </w:pPr>
      <w:r>
        <w:t>III. The virtue revival — the academic recovery</w:t>
      </w:r>
    </w:p>
    <w:p w14:paraId="78DA97BC" w14:textId="77777777" w:rsidR="0035712B" w:rsidRDefault="00000000">
      <w:pPr>
        <w:pStyle w:val="FirstParagraph"/>
      </w:pPr>
      <w:r>
        <w:rPr>
          <w:b/>
          <w:bCs/>
        </w:rPr>
        <w:t>7.8</w:t>
      </w:r>
      <w:r>
        <w:t xml:space="preserve"> </w:t>
      </w:r>
      <w:r>
        <w:rPr>
          <w:rStyle w:val="VerbatimChar"/>
        </w:rPr>
        <w:t>[SCHOLAR]</w:t>
      </w:r>
      <w:r>
        <w:t xml:space="preserve"> The same outward turn happened inside analytic philosophy. Elizabeth Anscombe’s “Modern Moral Philosophy” (1958) opened it with a sharp charge: modern ethics had kept the vocabulary of moral </w:t>
      </w:r>
      <w:r>
        <w:rPr>
          <w:i/>
          <w:iCs/>
        </w:rPr>
        <w:t>obligation</w:t>
      </w:r>
      <w:r>
        <w:t xml:space="preserve"> and </w:t>
      </w:r>
      <w:r>
        <w:rPr>
          <w:i/>
          <w:iCs/>
        </w:rPr>
        <w:t>law</w:t>
      </w:r>
      <w:r>
        <w:t xml:space="preserve"> after discarding the divine lawgiver who once gave those words their sense — and should return to Aristotle and the virtues, to the question of what it is </w:t>
      </w:r>
      <w:r>
        <w:rPr>
          <w:i/>
          <w:iCs/>
        </w:rPr>
        <w:t>good to be</w:t>
      </w:r>
      <w:r>
        <w:t xml:space="preserve"> rather than only what it is </w:t>
      </w:r>
      <w:r>
        <w:rPr>
          <w:i/>
          <w:iCs/>
        </w:rPr>
        <w:t>right to do</w:t>
      </w:r>
      <w:r>
        <w:t>.</w:t>
      </w:r>
    </w:p>
    <w:p w14:paraId="74FBEEEB" w14:textId="77777777" w:rsidR="0035712B" w:rsidRDefault="00000000">
      <w:pPr>
        <w:pStyle w:val="BodyText"/>
      </w:pPr>
      <w:r>
        <w:rPr>
          <w:b/>
          <w:bCs/>
        </w:rPr>
        <w:t>7.9</w:t>
      </w:r>
      <w:r>
        <w:t xml:space="preserve"> </w:t>
      </w:r>
      <w:r>
        <w:rPr>
          <w:rStyle w:val="VerbatimChar"/>
        </w:rPr>
        <w:t>[SCHOLAR]</w:t>
      </w:r>
      <w:r>
        <w:t xml:space="preserve"> Three developments followed, and they diverge instructively at the ground. Philippa Foot (</w:t>
      </w:r>
      <w:r>
        <w:rPr>
          <w:i/>
          <w:iCs/>
        </w:rPr>
        <w:t>Natural Goodness</w:t>
      </w:r>
      <w:r>
        <w:t xml:space="preserve">) grounded the virtues </w:t>
      </w:r>
      <w:r>
        <w:rPr>
          <w:i/>
          <w:iCs/>
        </w:rPr>
        <w:t>naturalistically</w:t>
      </w:r>
      <w:r>
        <w:t xml:space="preserve"> — as a species of the goodness proper to a human being as a kind of living thing, with no transcendent reference. Alasdair MacIntyre (</w:t>
      </w:r>
      <w:r>
        <w:rPr>
          <w:i/>
          <w:iCs/>
        </w:rPr>
        <w:t>After Virtue</w:t>
      </w:r>
      <w:r>
        <w:t xml:space="preserve">, 1981) diagnosed modern moral language as fragmented wreckage and argued that virtues are goods internal to practices, intelligible only within a tradition and the narrative unity of a whole life — recovery requires re-embedding in a tradition with a </w:t>
      </w:r>
      <w:r>
        <w:rPr>
          <w:i/>
          <w:iCs/>
        </w:rPr>
        <w:t>telos</w:t>
      </w:r>
      <w:r>
        <w:t xml:space="preserve">. Martha Nussbaum pressed the fragility of goodness, the cognitive force of the emotions, and literature as a training ground for moral attention. </w:t>
      </w:r>
      <w:r>
        <w:rPr>
          <w:rStyle w:val="VerbatimChar"/>
        </w:rPr>
        <w:t>[SYNTH]</w:t>
      </w:r>
      <w:r>
        <w:t xml:space="preserve"> All restore character over act and vision over rule — converging with Weil and Murdoch on the priority of </w:t>
      </w:r>
      <w:r>
        <w:rPr>
          <w:i/>
          <w:iCs/>
        </w:rPr>
        <w:t>seeing well</w:t>
      </w:r>
      <w:r>
        <w:t xml:space="preserve"> and </w:t>
      </w:r>
      <w:r>
        <w:rPr>
          <w:i/>
          <w:iCs/>
        </w:rPr>
        <w:t>being good</w:t>
      </w:r>
      <w:r>
        <w:t xml:space="preserve"> over </w:t>
      </w:r>
      <w:r>
        <w:rPr>
          <w:i/>
          <w:iCs/>
        </w:rPr>
        <w:t>choosing right</w:t>
      </w:r>
      <w:r>
        <w:t>.</w:t>
      </w:r>
    </w:p>
    <w:p w14:paraId="0009B5AB" w14:textId="77777777" w:rsidR="0035712B" w:rsidRDefault="00000000">
      <w:bookmarkStart w:id="77" w:name="X6821ac33c99b5ebf6ec153d380892f56672a970"/>
      <w:r>
        <w:rPr>
          <w:noProof/>
        </w:rPr>
        <mc:AlternateContent>
          <mc:Choice Requires="wps">
            <w:drawing>
              <wp:inline distT="0" distB="0" distL="0" distR="0" wp14:anchorId="4A4F0465" wp14:editId="5468606C">
                <wp:extent cx="5943600" cy="19050"/>
                <wp:effectExtent l="0" t="0" r="0" b="0"/>
                <wp:docPr id="141" name="Rectangle 14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04B5082" id="Rectangle 14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7"/>
    </w:p>
    <w:p w14:paraId="0F8B242F" w14:textId="77777777" w:rsidR="0035712B" w:rsidRDefault="00000000">
      <w:pPr>
        <w:pStyle w:val="Heading4"/>
      </w:pPr>
      <w:r>
        <w:t>IV. The reading — the apex of the practice, and the structure once more</w:t>
      </w:r>
    </w:p>
    <w:p w14:paraId="67F7E85A" w14:textId="77777777" w:rsidR="0035712B" w:rsidRDefault="00000000">
      <w:pPr>
        <w:pStyle w:val="FirstParagraph"/>
      </w:pPr>
      <w:r>
        <w:rPr>
          <w:b/>
          <w:bCs/>
        </w:rPr>
        <w:t>7.10</w:t>
      </w:r>
      <w:r>
        <w:t xml:space="preserve"> </w:t>
      </w:r>
      <w:r>
        <w:rPr>
          <w:rStyle w:val="VerbatimChar"/>
        </w:rPr>
        <w:t>[SYNTH]</w:t>
      </w:r>
      <w:r>
        <w:t xml:space="preserve"> </w:t>
      </w:r>
      <w:r>
        <w:rPr>
          <w:b/>
          <w:bCs/>
        </w:rPr>
        <w:t>The self-transcendence arc is now complete.</w:t>
      </w:r>
      <w:r>
        <w:t xml:space="preserve"> Dive 4 found self-transcendence as the resolution of the inside/outside gap; Dives 5–6 made it daily exercise; Dive 7 gives it its </w:t>
      </w:r>
      <w:r>
        <w:rPr>
          <w:i/>
          <w:iCs/>
        </w:rPr>
        <w:t>object</w:t>
      </w:r>
      <w:r>
        <w:t xml:space="preserve">. Attention is the bridge from self-transcendence to love: the same ego-quieting move that lets one see one’s own life from outside (Dive 4) is what lets one see </w:t>
      </w:r>
      <w:r>
        <w:rPr>
          <w:i/>
          <w:iCs/>
        </w:rPr>
        <w:t>another</w:t>
      </w:r>
      <w:r>
        <w:t xml:space="preserve"> truly. The wise life, at its summit, is self-emptying toward what is real. This is the high point of the LIVE movement.</w:t>
      </w:r>
    </w:p>
    <w:p w14:paraId="2C99C4EB" w14:textId="77777777" w:rsidR="0035712B" w:rsidRDefault="00000000">
      <w:pPr>
        <w:pStyle w:val="BodyText"/>
      </w:pPr>
      <w:r>
        <w:rPr>
          <w:b/>
          <w:bCs/>
        </w:rPr>
        <w:t>7.11</w:t>
      </w:r>
      <w:r>
        <w:t xml:space="preserve"> </w:t>
      </w:r>
      <w:r>
        <w:rPr>
          <w:rStyle w:val="VerbatimChar"/>
        </w:rPr>
        <w:t>[HYP]</w:t>
      </w:r>
      <w:r>
        <w:t xml:space="preserve"> </w:t>
      </w:r>
      <w:r>
        <w:rPr>
          <w:b/>
          <w:bCs/>
        </w:rPr>
        <w:t>The convergence.</w:t>
      </w:r>
      <w:r>
        <w:t xml:space="preserve"> A Christian mystic (Weil), an atheist Platonist (Murdoch), and the Aristotelian-to-naturalist virtue revival arrive at one core: the ego is the enemy of moral vision; attention or unselfing is the act; love or the Good is the orientation; character and seeing precede choice and rule. The agreement is remarkable for spanning belief and unbelief.</w:t>
      </w:r>
    </w:p>
    <w:p w14:paraId="2224352D" w14:textId="77777777" w:rsidR="0035712B" w:rsidRDefault="00000000">
      <w:pPr>
        <w:pStyle w:val="BodyText"/>
      </w:pPr>
      <w:r>
        <w:rPr>
          <w:b/>
          <w:bCs/>
        </w:rPr>
        <w:t>7.12</w:t>
      </w:r>
      <w:r>
        <w:t xml:space="preserve"> </w:t>
      </w:r>
      <w:r>
        <w:rPr>
          <w:rStyle w:val="VerbatimChar"/>
        </w:rPr>
        <w:t>[HYP]</w:t>
      </w:r>
      <w:r>
        <w:t xml:space="preserve"> </w:t>
      </w:r>
      <w:r>
        <w:rPr>
          <w:b/>
          <w:bCs/>
        </w:rPr>
        <w:t>The divergence — and why Murdoch is the sharpest case in the survey.</w:t>
      </w:r>
      <w:r>
        <w:t xml:space="preserve"> Attention terminates in different places: in God (Weil), in a transcendent Good that is </w:t>
      </w:r>
      <w:r>
        <w:rPr>
          <w:i/>
          <w:iCs/>
        </w:rPr>
        <w:t>not</w:t>
      </w:r>
      <w:r>
        <w:t xml:space="preserve"> God (Murdoch), in human nature (Foot), in tradition and </w:t>
      </w:r>
      <w:r>
        <w:rPr>
          <w:i/>
          <w:iCs/>
        </w:rPr>
        <w:t>telos</w:t>
      </w:r>
      <w:r>
        <w:t xml:space="preserve"> (MacIntyre). Murdoch is the most vivid single instance of the compendium’s whole structure, because the convergence and the divergence sit </w:t>
      </w:r>
      <w:r>
        <w:rPr>
          <w:i/>
          <w:iCs/>
        </w:rPr>
        <w:t>inside one mind</w:t>
      </w:r>
      <w:r>
        <w:t xml:space="preserve">: she reaches the dimension, requires the transcendent, and refuses the name. </w:t>
      </w:r>
      <w:r>
        <w:rPr>
          <w:i/>
          <w:iCs/>
        </w:rPr>
        <w:t>Self-transcendence toward what?</w:t>
      </w:r>
      <w:r>
        <w:t xml:space="preserve"> — §4.13, §5.9, §6.16 — asked here by someone who felt the full force of the question and would not answer it theologically. She is the witness stance’s most important interlocutor: proof that the </w:t>
      </w:r>
      <w:r>
        <w:lastRenderedPageBreak/>
        <w:t>dimensions can be reached without the ground, and that the ground is nonetheless what they reach toward.</w:t>
      </w:r>
    </w:p>
    <w:p w14:paraId="6218D5F7" w14:textId="77777777" w:rsidR="0035712B" w:rsidRDefault="00000000">
      <w:pPr>
        <w:pStyle w:val="BodyText"/>
      </w:pPr>
      <w:r>
        <w:rPr>
          <w:b/>
          <w:bCs/>
        </w:rPr>
        <w:t>7.13</w:t>
      </w:r>
      <w:r>
        <w:t xml:space="preserve"> </w:t>
      </w:r>
      <w:r>
        <w:rPr>
          <w:rStyle w:val="VerbatimChar"/>
        </w:rPr>
        <w:t>[SYNTH]</w:t>
      </w:r>
      <w:r>
        <w:t xml:space="preserve"> </w:t>
      </w:r>
      <w:r>
        <w:rPr>
          <w:b/>
          <w:bCs/>
        </w:rPr>
        <w:t>A tension resolved, and it is a real finding.</w:t>
      </w:r>
      <w:r>
        <w:t xml:space="preserve"> Weil and Murdoch direct attention </w:t>
      </w:r>
      <w:r>
        <w:rPr>
          <w:i/>
          <w:iCs/>
        </w:rPr>
        <w:t>outward</w:t>
      </w:r>
      <w:r>
        <w:t xml:space="preserve">, away from the self toward reality — yet Dive 4 held that self-knowledge is the hardest wisdom and requires the outside view of oneself. These are not in conflict; they complete each other. The unselfing gaze is precisely what permits one to see </w:t>
      </w:r>
      <w:r>
        <w:rPr>
          <w:i/>
          <w:iCs/>
        </w:rPr>
        <w:t>oneself</w:t>
      </w:r>
      <w:r>
        <w:t xml:space="preserve"> truly — to attend to oneself as one more reality among others, rather than as the ego’s fantasy. Self-knowledge is achieved not by introspective self-absorption but by extending the just and loving gaze to include the self among the things attended to. Attention-outward and self-knowledge are the same discipline turned in two directions.</w:t>
      </w:r>
    </w:p>
    <w:p w14:paraId="6DD53DAB" w14:textId="77777777" w:rsidR="0035712B" w:rsidRDefault="00000000">
      <w:pPr>
        <w:pStyle w:val="BodyText"/>
      </w:pPr>
      <w:r>
        <w:rPr>
          <w:b/>
          <w:bCs/>
        </w:rPr>
        <w:t>7.14</w:t>
      </w:r>
      <w:r>
        <w:t xml:space="preserve"> </w:t>
      </w:r>
      <w:r>
        <w:rPr>
          <w:rStyle w:val="VerbatimChar"/>
        </w:rPr>
        <w:t>[SYNTH]</w:t>
      </w:r>
      <w:r>
        <w:t xml:space="preserve"> </w:t>
      </w:r>
      <w:r>
        <w:rPr>
          <w:b/>
          <w:bCs/>
        </w:rPr>
        <w:t>The witness implication.</w:t>
      </w:r>
      <w:r>
        <w:t xml:space="preserve"> Murdoch’s definition of love — the difficult realization that something other than oneself is real — is the moral form of the witness’s central discipline: taking each rival ground as fully real, granting it its full strength (Governing Note §2). The fairness the witness practices is itself an act of attention, of unselfing. And the claim that we do wrong because we see wrongly underwrites the </w:t>
      </w:r>
      <w:r>
        <w:rPr>
          <w:i/>
          <w:iCs/>
        </w:rPr>
        <w:t>diagnose-the-loss-as-ours</w:t>
      </w:r>
      <w:r>
        <w:t xml:space="preserve"> discipline (§3a): the lapse of formation is a common failure of seeing, not a tribe’s malice. The book’s evenhandedness and its refusal to blame are, at bottom, exercises of attention.</w:t>
      </w:r>
    </w:p>
    <w:p w14:paraId="28ABBA44" w14:textId="77777777" w:rsidR="0035712B" w:rsidRDefault="00000000">
      <w:bookmarkStart w:id="78" w:name="X853628f3e9c0833da48210c18ad44dca97c1249"/>
      <w:r>
        <w:rPr>
          <w:noProof/>
        </w:rPr>
        <mc:AlternateContent>
          <mc:Choice Requires="wps">
            <w:drawing>
              <wp:inline distT="0" distB="0" distL="0" distR="0" wp14:anchorId="4347DEE2" wp14:editId="373E612A">
                <wp:extent cx="5943600" cy="19050"/>
                <wp:effectExtent l="0" t="0" r="0" b="0"/>
                <wp:docPr id="143" name="Rectangle 14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DC9A530" id="Rectangle 14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8"/>
    </w:p>
    <w:p w14:paraId="5F1580D1" w14:textId="77777777" w:rsidR="0035712B" w:rsidRDefault="00000000">
      <w:pPr>
        <w:pStyle w:val="Heading4"/>
      </w:pPr>
      <w:r>
        <w:t>Thinker &amp; source catalogue — additions from this dive</w:t>
      </w:r>
    </w:p>
    <w:p w14:paraId="56FBC204" w14:textId="77777777" w:rsidR="0035712B" w:rsidRDefault="00000000">
      <w:pPr>
        <w:pStyle w:val="Compact"/>
        <w:numPr>
          <w:ilvl w:val="0"/>
          <w:numId w:val="78"/>
        </w:numPr>
      </w:pPr>
      <w:r>
        <w:rPr>
          <w:b/>
          <w:bCs/>
        </w:rPr>
        <w:t>Simone Weil</w:t>
      </w:r>
      <w:r>
        <w:t xml:space="preserve"> — attention as receptive, self-emptied looking; attention as the substance of love of neighbor and continuous with prayer; </w:t>
      </w:r>
      <w:r>
        <w:rPr>
          <w:i/>
          <w:iCs/>
        </w:rPr>
        <w:t>decreation</w:t>
      </w:r>
      <w:r>
        <w:t xml:space="preserve">. </w:t>
      </w:r>
      <w:r>
        <w:rPr>
          <w:i/>
          <w:iCs/>
        </w:rPr>
        <w:t>(Gravity and Grace; Waiting for God; “Reflections on the Right Use of School Studies.”) The ground: God.</w:t>
      </w:r>
    </w:p>
    <w:p w14:paraId="134F0978" w14:textId="77777777" w:rsidR="0035712B" w:rsidRDefault="00000000">
      <w:pPr>
        <w:pStyle w:val="Compact"/>
        <w:numPr>
          <w:ilvl w:val="0"/>
          <w:numId w:val="79"/>
        </w:numPr>
      </w:pPr>
      <w:r>
        <w:rPr>
          <w:b/>
          <w:bCs/>
        </w:rPr>
        <w:t>Iris Murdoch</w:t>
      </w:r>
      <w:r>
        <w:t xml:space="preserve"> — </w:t>
      </w:r>
      <w:r>
        <w:rPr>
          <w:i/>
          <w:iCs/>
        </w:rPr>
        <w:t>The Sovereignty of Good</w:t>
      </w:r>
      <w:r>
        <w:t xml:space="preserve"> (1970); attention as a just and loving perception; the ego as enemy; the mother/daughter-in-law re-seeing; </w:t>
      </w:r>
      <w:r>
        <w:rPr>
          <w:i/>
          <w:iCs/>
        </w:rPr>
        <w:t>unselfing</w:t>
      </w:r>
      <w:r>
        <w:t xml:space="preserve">; love as the realization that the other is real; the transcendent Good. </w:t>
      </w:r>
      <w:r>
        <w:rPr>
          <w:i/>
          <w:iCs/>
        </w:rPr>
        <w:t>The jewel-case of convergence/divergence (§7.7, §7.12). The ground: a Good that is not God.</w:t>
      </w:r>
    </w:p>
    <w:p w14:paraId="5A2AF74A" w14:textId="77777777" w:rsidR="0035712B" w:rsidRDefault="00000000">
      <w:pPr>
        <w:pStyle w:val="Compact"/>
        <w:numPr>
          <w:ilvl w:val="0"/>
          <w:numId w:val="80"/>
        </w:numPr>
      </w:pPr>
      <w:r>
        <w:rPr>
          <w:b/>
          <w:bCs/>
        </w:rPr>
        <w:t>G. E. M. Anscombe</w:t>
      </w:r>
      <w:r>
        <w:t xml:space="preserve"> — “Modern Moral Philosophy” (1958); the launch of the virtue revival; obligation-talk severed from its lawgiver.</w:t>
      </w:r>
    </w:p>
    <w:p w14:paraId="3D5DC2A6" w14:textId="77777777" w:rsidR="0035712B" w:rsidRDefault="00000000">
      <w:pPr>
        <w:pStyle w:val="Compact"/>
        <w:numPr>
          <w:ilvl w:val="0"/>
          <w:numId w:val="81"/>
        </w:numPr>
      </w:pPr>
      <w:r>
        <w:rPr>
          <w:b/>
          <w:bCs/>
        </w:rPr>
        <w:t>Philippa Foot</w:t>
      </w:r>
      <w:r>
        <w:t xml:space="preserve"> — </w:t>
      </w:r>
      <w:r>
        <w:rPr>
          <w:i/>
          <w:iCs/>
        </w:rPr>
        <w:t>Natural Goodness</w:t>
      </w:r>
      <w:r>
        <w:t xml:space="preserve">; virtue as the goodness proper to the human as a living kind. </w:t>
      </w:r>
      <w:r>
        <w:rPr>
          <w:i/>
          <w:iCs/>
        </w:rPr>
        <w:t>Ground: human nature, no transcendent reference.</w:t>
      </w:r>
    </w:p>
    <w:p w14:paraId="5101424E" w14:textId="77777777" w:rsidR="0035712B" w:rsidRDefault="00000000">
      <w:pPr>
        <w:pStyle w:val="Compact"/>
        <w:numPr>
          <w:ilvl w:val="0"/>
          <w:numId w:val="82"/>
        </w:numPr>
      </w:pPr>
      <w:r>
        <w:rPr>
          <w:b/>
          <w:bCs/>
        </w:rPr>
        <w:t>Alasdair MacIntyre</w:t>
      </w:r>
      <w:r>
        <w:t xml:space="preserve"> — </w:t>
      </w:r>
      <w:r>
        <w:rPr>
          <w:i/>
          <w:iCs/>
        </w:rPr>
        <w:t>After Virtue</w:t>
      </w:r>
      <w:r>
        <w:t xml:space="preserve"> (1981); virtues internal to practices; tradition and narrative unity; the need for a </w:t>
      </w:r>
      <w:r>
        <w:rPr>
          <w:i/>
          <w:iCs/>
        </w:rPr>
        <w:t>telos</w:t>
      </w:r>
      <w:r>
        <w:t xml:space="preserve">. </w:t>
      </w:r>
      <w:r>
        <w:rPr>
          <w:i/>
          <w:iCs/>
        </w:rPr>
        <w:t>Ground: tradition.</w:t>
      </w:r>
    </w:p>
    <w:p w14:paraId="385988AC" w14:textId="77777777" w:rsidR="0035712B" w:rsidRDefault="00000000">
      <w:pPr>
        <w:pStyle w:val="Compact"/>
        <w:numPr>
          <w:ilvl w:val="0"/>
          <w:numId w:val="83"/>
        </w:numPr>
      </w:pPr>
      <w:r>
        <w:rPr>
          <w:b/>
          <w:bCs/>
        </w:rPr>
        <w:t>Martha Nussbaum</w:t>
      </w:r>
      <w:r>
        <w:t xml:space="preserve"> — fragility of goodness; emotions as evaluative; literature as training in attention. </w:t>
      </w:r>
      <w:r>
        <w:rPr>
          <w:i/>
          <w:iCs/>
        </w:rPr>
        <w:t>Cross-ref: Dive 5 (therapy of desire), Dive 6.</w:t>
      </w:r>
    </w:p>
    <w:p w14:paraId="5DDCFC42" w14:textId="77777777" w:rsidR="0035712B" w:rsidRDefault="00000000">
      <w:bookmarkStart w:id="79" w:name="Xfd7e46a38afe0dddd01be72bfe833aecdf45076"/>
      <w:r>
        <w:rPr>
          <w:noProof/>
        </w:rPr>
        <mc:AlternateContent>
          <mc:Choice Requires="wps">
            <w:drawing>
              <wp:inline distT="0" distB="0" distL="0" distR="0" wp14:anchorId="6F2252A9" wp14:editId="12CA0566">
                <wp:extent cx="5943600" cy="19050"/>
                <wp:effectExtent l="0" t="0" r="0" b="0"/>
                <wp:docPr id="145" name="Rectangle 14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16E6FE7" id="Rectangle 14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79"/>
    </w:p>
    <w:p w14:paraId="01C65EA6" w14:textId="77777777" w:rsidR="0035712B" w:rsidRDefault="00000000">
      <w:pPr>
        <w:pStyle w:val="Heading4"/>
      </w:pPr>
      <w:r>
        <w:t>Open threads carried forward</w:t>
      </w:r>
    </w:p>
    <w:p w14:paraId="3229C4A5" w14:textId="77777777" w:rsidR="0035712B" w:rsidRDefault="00000000">
      <w:pPr>
        <w:pStyle w:val="Compact"/>
        <w:numPr>
          <w:ilvl w:val="0"/>
          <w:numId w:val="84"/>
        </w:numPr>
      </w:pPr>
      <w:r>
        <w:rPr>
          <w:b/>
          <w:bCs/>
        </w:rPr>
        <w:t>LIVE is complete.</w:t>
      </w:r>
      <w:r>
        <w:t xml:space="preserve"> Practice (Hadot) → the canon of exercises → the apex in attention and love. Natural next movement: </w:t>
      </w:r>
      <w:r>
        <w:rPr>
          <w:b/>
          <w:bCs/>
        </w:rPr>
        <w:t>DIE</w:t>
      </w:r>
      <w:r>
        <w:t xml:space="preserve">, opening with </w:t>
      </w:r>
      <w:r>
        <w:rPr>
          <w:i/>
          <w:iCs/>
        </w:rPr>
        <w:t>learning to die</w:t>
      </w:r>
      <w:r>
        <w:t xml:space="preserve"> (Phaedo, Montaigne, ars moriendi, Heidegger).</w:t>
      </w:r>
    </w:p>
    <w:p w14:paraId="0769CC95" w14:textId="77777777" w:rsidR="0035712B" w:rsidRDefault="00000000">
      <w:pPr>
        <w:pStyle w:val="Compact"/>
        <w:numPr>
          <w:ilvl w:val="0"/>
          <w:numId w:val="85"/>
        </w:numPr>
      </w:pPr>
      <w:r>
        <w:rPr>
          <w:b/>
          <w:bCs/>
        </w:rPr>
        <w:lastRenderedPageBreak/>
        <w:t>Murdoch (§7.7, §7.12)</w:t>
      </w:r>
      <w:r>
        <w:t xml:space="preserve"> is the single strongest candidate for the </w:t>
      </w:r>
      <w:r>
        <w:rPr>
          <w:b/>
          <w:bCs/>
        </w:rPr>
        <w:t>cross-cutting finding</w:t>
      </w:r>
      <w:r>
        <w:t xml:space="preserve"> — the fifth and most vivid instance of convergence-at-dimensions / divergence-at-ground, and the only one located entirely within one thinker. Flag prominently at assembly.</w:t>
      </w:r>
    </w:p>
    <w:p w14:paraId="00DA240F" w14:textId="77777777" w:rsidR="0035712B" w:rsidRDefault="00000000">
      <w:pPr>
        <w:pStyle w:val="Compact"/>
        <w:numPr>
          <w:ilvl w:val="0"/>
          <w:numId w:val="86"/>
        </w:numPr>
      </w:pPr>
      <w:r>
        <w:rPr>
          <w:b/>
          <w:bCs/>
        </w:rPr>
        <w:t>The attention/self-knowledge reconciliation (§7.13)</w:t>
      </w:r>
      <w:r>
        <w:t xml:space="preserve"> feeds back to </w:t>
      </w:r>
      <w:r>
        <w:rPr>
          <w:b/>
          <w:bCs/>
        </w:rPr>
        <w:t>Dive 4</w:t>
      </w:r>
      <w:r>
        <w:t xml:space="preserve"> and forward to </w:t>
      </w:r>
      <w:r>
        <w:rPr>
          <w:b/>
          <w:bCs/>
        </w:rPr>
        <w:t>DIE</w:t>
      </w:r>
      <w:r>
        <w:t>, where the ultimate object of attention becomes one’s own mortality.</w:t>
      </w:r>
    </w:p>
    <w:p w14:paraId="4BA60234" w14:textId="77777777" w:rsidR="0035712B" w:rsidRDefault="00000000">
      <w:pPr>
        <w:pStyle w:val="Compact"/>
        <w:numPr>
          <w:ilvl w:val="0"/>
          <w:numId w:val="87"/>
        </w:numPr>
      </w:pPr>
      <w:r>
        <w:rPr>
          <w:b/>
          <w:bCs/>
        </w:rPr>
        <w:t>§7.14</w:t>
      </w:r>
      <w:r>
        <w:t xml:space="preserve"> strengthens </w:t>
      </w:r>
      <w:r>
        <w:rPr>
          <w:b/>
          <w:bCs/>
        </w:rPr>
        <w:t>Governing Note §2 and §3(a)</w:t>
      </w:r>
      <w:r>
        <w:t>: the witness’s fairness and its refusal to blame are themselves acts of attention. Strong candidate for the writing.</w:t>
      </w:r>
    </w:p>
    <w:p w14:paraId="3AAF6BEB" w14:textId="77777777" w:rsidR="0035712B" w:rsidRDefault="00000000">
      <w:bookmarkStart w:id="80" w:name="movement-ii-live"/>
      <w:bookmarkStart w:id="81" w:name="dive-7-attention-and-love"/>
      <w:bookmarkStart w:id="82" w:name="open-threads-carried-forward-6"/>
      <w:r>
        <w:rPr>
          <w:noProof/>
        </w:rPr>
        <mc:AlternateContent>
          <mc:Choice Requires="wps">
            <w:drawing>
              <wp:inline distT="0" distB="0" distL="0" distR="0" wp14:anchorId="6B3DD206" wp14:editId="3DAF2452">
                <wp:extent cx="5943600" cy="19050"/>
                <wp:effectExtent l="0" t="0" r="0" b="0"/>
                <wp:docPr id="147" name="Rectangle 14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FF25E88" id="Rectangle 14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0"/>
      <w:bookmarkEnd w:id="81"/>
      <w:bookmarkEnd w:id="82"/>
    </w:p>
    <w:p w14:paraId="76CBF24E" w14:textId="77777777" w:rsidR="0035712B" w:rsidRDefault="00000000">
      <w:pPr>
        <w:pStyle w:val="Heading2"/>
      </w:pPr>
      <w:r>
        <w:t>Movement III · Die</w:t>
      </w:r>
    </w:p>
    <w:p w14:paraId="091B95AC" w14:textId="77777777" w:rsidR="0035712B" w:rsidRDefault="00000000">
      <w:pPr>
        <w:pStyle w:val="Heading3"/>
      </w:pPr>
      <w:r>
        <w:t>Dive 8 — Learning to Die</w:t>
      </w:r>
    </w:p>
    <w:p w14:paraId="02499A37" w14:textId="77777777" w:rsidR="0035712B" w:rsidRDefault="00000000">
      <w:pPr>
        <w:pStyle w:val="Heading4"/>
      </w:pPr>
      <w:r>
        <w:t>The governing question of this dive</w:t>
      </w:r>
    </w:p>
    <w:p w14:paraId="5CADE255" w14:textId="77777777" w:rsidR="0035712B" w:rsidRDefault="00000000">
      <w:pPr>
        <w:pStyle w:val="FirstParagraph"/>
      </w:pPr>
      <w:r>
        <w:rPr>
          <w:b/>
          <w:bCs/>
        </w:rPr>
        <w:t>8.1</w:t>
      </w:r>
      <w:r>
        <w:t xml:space="preserve"> </w:t>
      </w:r>
      <w:r>
        <w:rPr>
          <w:rStyle w:val="VerbatimChar"/>
        </w:rPr>
        <w:t>[SYNTH]</w:t>
      </w:r>
      <w:r>
        <w:t xml:space="preserve"> </w:t>
      </w:r>
      <w:r>
        <w:rPr>
          <w:i/>
          <w:iCs/>
        </w:rPr>
        <w:t>Envision</w:t>
      </w:r>
      <w:r>
        <w:t xml:space="preserve"> asked what wisdom is; </w:t>
      </w:r>
      <w:r>
        <w:rPr>
          <w:i/>
          <w:iCs/>
        </w:rPr>
        <w:t>Live</w:t>
      </w:r>
      <w:r>
        <w:t xml:space="preserve"> asked how it is practiced. </w:t>
      </w:r>
      <w:r>
        <w:rPr>
          <w:i/>
          <w:iCs/>
        </w:rPr>
        <w:t>Die</w:t>
      </w:r>
      <w:r>
        <w:t xml:space="preserve"> asks the last question: how a wise life is </w:t>
      </w:r>
      <w:r>
        <w:rPr>
          <w:b/>
          <w:bCs/>
        </w:rPr>
        <w:t>tested and completed</w:t>
      </w:r>
      <w:r>
        <w:t xml:space="preserve"> at its end — vindicated or exposed. This dive takes up the oldest answer: that one must </w:t>
      </w:r>
      <w:r>
        <w:rPr>
          <w:i/>
          <w:iCs/>
        </w:rPr>
        <w:t>learn</w:t>
      </w:r>
      <w:r>
        <w:t xml:space="preserve"> to die — that death is something to be prepared for, rehearsed, and done well or badly, and that this preparation is not morbid but is the very key to living well. The dive’s sharpest finding is a fault line the compendium has been approaching for ten thousand words: every tradition agrees you must </w:t>
      </w:r>
      <w:r>
        <w:rPr>
          <w:i/>
          <w:iCs/>
        </w:rPr>
        <w:t>face</w:t>
      </w:r>
      <w:r>
        <w:t xml:space="preserve"> the end; they disagree, at the highest possible stakes, on </w:t>
      </w:r>
      <w:r>
        <w:rPr>
          <w:i/>
          <w:iCs/>
        </w:rPr>
        <w:t>what the end is</w:t>
      </w:r>
      <w:r>
        <w:t xml:space="preserve"> — a doorway or a wall.</w:t>
      </w:r>
    </w:p>
    <w:p w14:paraId="15D0B31F" w14:textId="77777777" w:rsidR="0035712B" w:rsidRDefault="00000000">
      <w:bookmarkStart w:id="83" w:name="the-governing-question-of-this-dive-6"/>
      <w:r>
        <w:rPr>
          <w:noProof/>
        </w:rPr>
        <mc:AlternateContent>
          <mc:Choice Requires="wps">
            <w:drawing>
              <wp:inline distT="0" distB="0" distL="0" distR="0" wp14:anchorId="03112619" wp14:editId="43EF4B6C">
                <wp:extent cx="5943600" cy="19050"/>
                <wp:effectExtent l="0" t="0" r="0" b="0"/>
                <wp:docPr id="149" name="Rectangle 14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51D89BD" id="Rectangle 14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3"/>
    </w:p>
    <w:p w14:paraId="02746762" w14:textId="77777777" w:rsidR="0035712B" w:rsidRDefault="00000000">
      <w:pPr>
        <w:pStyle w:val="Heading4"/>
      </w:pPr>
      <w:r>
        <w:t xml:space="preserve">I. The </w:t>
      </w:r>
      <w:r>
        <w:rPr>
          <w:iCs/>
        </w:rPr>
        <w:t>Phaedo</w:t>
      </w:r>
      <w:r>
        <w:t xml:space="preserve"> — philosophy as the rehearsal of death</w:t>
      </w:r>
    </w:p>
    <w:p w14:paraId="46AEDA24" w14:textId="77777777" w:rsidR="0035712B" w:rsidRDefault="00000000">
      <w:pPr>
        <w:pStyle w:val="FirstParagraph"/>
      </w:pPr>
      <w:r>
        <w:rPr>
          <w:b/>
          <w:bCs/>
        </w:rPr>
        <w:t>8.2</w:t>
      </w:r>
      <w:r>
        <w:t xml:space="preserve"> </w:t>
      </w:r>
      <w:r>
        <w:rPr>
          <w:rStyle w:val="VerbatimChar"/>
        </w:rPr>
        <w:t>[TEXT]</w:t>
      </w:r>
      <w:r>
        <w:t xml:space="preserve"> Plato’s </w:t>
      </w:r>
      <w:r>
        <w:rPr>
          <w:i/>
          <w:iCs/>
        </w:rPr>
        <w:t>Phaedo</w:t>
      </w:r>
      <w:r>
        <w:t xml:space="preserve"> stages the death of Socrates — his last day, his calm, almost cheerful composure as the hemlock is brought. Out of that scene comes the founding claim of the whole tradition: that philosophy is the </w:t>
      </w:r>
      <w:r>
        <w:rPr>
          <w:i/>
          <w:iCs/>
        </w:rPr>
        <w:t>practice</w:t>
      </w:r>
      <w:r>
        <w:t xml:space="preserve"> or rehearsal of death (</w:t>
      </w:r>
      <w:r>
        <w:rPr>
          <w:i/>
          <w:iCs/>
        </w:rPr>
        <w:t>meletē thanatou</w:t>
      </w:r>
      <w:r>
        <w:t>). The philosopher spends a life preparing to die, because philosophy is the disciplining of the soul away from the body’s distractions, and death is simply the completion of that separation. To have lived philosophically is to have been rehearsing this all along; the wise therefore meet death without fear.</w:t>
      </w:r>
    </w:p>
    <w:p w14:paraId="3CF3721E" w14:textId="77777777" w:rsidR="0035712B" w:rsidRDefault="00000000">
      <w:pPr>
        <w:pStyle w:val="BodyText"/>
      </w:pPr>
      <w:r>
        <w:rPr>
          <w:b/>
          <w:bCs/>
        </w:rPr>
        <w:t>8.3</w:t>
      </w:r>
      <w:r>
        <w:t xml:space="preserve"> </w:t>
      </w:r>
      <w:r>
        <w:rPr>
          <w:rStyle w:val="VerbatimChar"/>
        </w:rPr>
        <w:t>[TEXT]</w:t>
      </w:r>
      <w:r>
        <w:t xml:space="preserve"> The dialogue’s arguments — from cyclical opposites, from recollection, from the soul’s affinity to the eternal, and finally from the Forms — all work to establish that the soul is immortal, so that death is not extinction but release into a fuller life. Socrates’ last words, asking that a cock be paid to Asclepius the healer, frame death as a </w:t>
      </w:r>
      <w:r>
        <w:rPr>
          <w:i/>
          <w:iCs/>
        </w:rPr>
        <w:t>cure</w:t>
      </w:r>
      <w:r>
        <w:t xml:space="preserve">. </w:t>
      </w:r>
      <w:r>
        <w:rPr>
          <w:rStyle w:val="VerbatimChar"/>
        </w:rPr>
        <w:t>[TRAD]</w:t>
      </w:r>
      <w:r>
        <w:t xml:space="preserve"> The ground here is explicit: the immortal soul, the Forms, an afterlife. </w:t>
      </w:r>
      <w:r>
        <w:rPr>
          <w:b/>
          <w:bCs/>
        </w:rPr>
        <w:t>Death is a doorway.</w:t>
      </w:r>
    </w:p>
    <w:p w14:paraId="626DCDFA" w14:textId="77777777" w:rsidR="0035712B" w:rsidRDefault="00000000">
      <w:bookmarkStart w:id="84" w:name="Xcb843bbcb2f5c0ae0edcbafa8bf006ce7b634e9"/>
      <w:r>
        <w:rPr>
          <w:noProof/>
        </w:rPr>
        <mc:AlternateContent>
          <mc:Choice Requires="wps">
            <w:drawing>
              <wp:inline distT="0" distB="0" distL="0" distR="0" wp14:anchorId="4E2D4CDF" wp14:editId="3AEAE14D">
                <wp:extent cx="5943600" cy="19050"/>
                <wp:effectExtent l="0" t="0" r="0" b="0"/>
                <wp:docPr id="151" name="Rectangle 15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DD9D4AC" id="Rectangle 15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4"/>
    </w:p>
    <w:p w14:paraId="2983CAEF" w14:textId="77777777" w:rsidR="0035712B" w:rsidRDefault="00000000">
      <w:pPr>
        <w:pStyle w:val="Heading4"/>
      </w:pPr>
      <w:r>
        <w:t>II. Montaigne — domesticating death, then outgrowing the rehearsal</w:t>
      </w:r>
    </w:p>
    <w:p w14:paraId="400D07DE" w14:textId="77777777" w:rsidR="0035712B" w:rsidRDefault="00000000">
      <w:pPr>
        <w:pStyle w:val="FirstParagraph"/>
      </w:pPr>
      <w:r>
        <w:rPr>
          <w:b/>
          <w:bCs/>
        </w:rPr>
        <w:t>8.4</w:t>
      </w:r>
      <w:r>
        <w:t xml:space="preserve"> </w:t>
      </w:r>
      <w:r>
        <w:rPr>
          <w:rStyle w:val="VerbatimChar"/>
        </w:rPr>
        <w:t>[TEXT]</w:t>
      </w:r>
      <w:r>
        <w:t xml:space="preserve"> Montaigne’s early essay, “That to Philosophize Is to Learn to Die” (1580; composed around 1572), takes up the formula from Cicero, who had it from the </w:t>
      </w:r>
      <w:r>
        <w:rPr>
          <w:i/>
          <w:iCs/>
        </w:rPr>
        <w:t>Phaedo</w:t>
      </w:r>
      <w:r>
        <w:t xml:space="preserve"> </w:t>
      </w:r>
      <w:r>
        <w:lastRenderedPageBreak/>
        <w:t>tradition. His counsel is Stoic: death is unavoidable, so keep it constantly before you, rehearse it, and strip away its terror. Much of what frightens us, he argued, is not death but the dread and ceremony we drape around it — the darkened room, the weeping, the besieging doctors and priests; unmask the spectacle and one finds the same plain death that a servant or a maid has met without fear.</w:t>
      </w:r>
    </w:p>
    <w:p w14:paraId="4EF3AFB5" w14:textId="77777777" w:rsidR="0035712B" w:rsidRDefault="00000000">
      <w:pPr>
        <w:pStyle w:val="BodyText"/>
      </w:pPr>
      <w:r>
        <w:rPr>
          <w:b/>
          <w:bCs/>
        </w:rPr>
        <w:t>8.5</w:t>
      </w:r>
      <w:r>
        <w:t xml:space="preserve"> </w:t>
      </w:r>
      <w:r>
        <w:rPr>
          <w:rStyle w:val="VerbatimChar"/>
        </w:rPr>
        <w:t>[SCHOLAR]</w:t>
      </w:r>
      <w:r>
        <w:t xml:space="preserve"> But Montaigne did not stay there, and the shift is itself instructive. Across the later </w:t>
      </w:r>
      <w:r>
        <w:rPr>
          <w:i/>
          <w:iCs/>
        </w:rPr>
        <w:t>Essays</w:t>
      </w:r>
      <w:r>
        <w:t xml:space="preserve"> — most famously “Of Experience” — he moved away from the constant morbid rehearsal toward living fully in the present, coming to suspect that brooding on death is its own affliction and that Nature will teach us how to die well enough when the hour arrives, with no rehearsal required. </w:t>
      </w:r>
      <w:r>
        <w:rPr>
          <w:rStyle w:val="VerbatimChar"/>
        </w:rPr>
        <w:t>[SYNTH]</w:t>
      </w:r>
      <w:r>
        <w:t xml:space="preserve"> </w:t>
      </w:r>
      <w:r>
        <w:rPr>
          <w:b/>
          <w:bCs/>
        </w:rPr>
        <w:t>Learning to die gives way, in his own development, to learning to live</w:t>
      </w:r>
      <w:r>
        <w:t xml:space="preserve"> — and the two are revealed as one lesson. This internal turn anticipates the modern reckoning of Dive 9 and states, early, the deepest finding of the movement: to learn to die rightly is to learn to live rightly. </w:t>
      </w:r>
      <w:r>
        <w:rPr>
          <w:i/>
          <w:iCs/>
        </w:rPr>
        <w:t>(The precise later passages should be checked against the primary text before any are quoted in publication, per protocol.)</w:t>
      </w:r>
      <w:r>
        <w:t xml:space="preserve"> The ground softens toward Nature, the afterlife held loosely.</w:t>
      </w:r>
    </w:p>
    <w:p w14:paraId="75A88758" w14:textId="77777777" w:rsidR="0035712B" w:rsidRDefault="00000000">
      <w:bookmarkStart w:id="85" w:name="Xab9ac0e2c7f9620aaf791b37ebea7c91db5fbcf"/>
      <w:r>
        <w:rPr>
          <w:noProof/>
        </w:rPr>
        <mc:AlternateContent>
          <mc:Choice Requires="wps">
            <w:drawing>
              <wp:inline distT="0" distB="0" distL="0" distR="0" wp14:anchorId="5FD21C17" wp14:editId="1A8C8562">
                <wp:extent cx="5943600" cy="19050"/>
                <wp:effectExtent l="0" t="0" r="0" b="0"/>
                <wp:docPr id="153" name="Rectangle 15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6160A81" id="Rectangle 15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5"/>
    </w:p>
    <w:p w14:paraId="5D5D3DF1" w14:textId="77777777" w:rsidR="0035712B" w:rsidRDefault="00000000">
      <w:pPr>
        <w:pStyle w:val="Heading4"/>
      </w:pPr>
      <w:r>
        <w:t xml:space="preserve">III. The </w:t>
      </w:r>
      <w:r>
        <w:rPr>
          <w:iCs/>
        </w:rPr>
        <w:t>ars moriendi</w:t>
      </w:r>
      <w:r>
        <w:t xml:space="preserve"> — dying as a craft</w:t>
      </w:r>
    </w:p>
    <w:p w14:paraId="5D1E33DF" w14:textId="77777777" w:rsidR="0035712B" w:rsidRDefault="00000000">
      <w:pPr>
        <w:pStyle w:val="FirstParagraph"/>
      </w:pPr>
      <w:r>
        <w:rPr>
          <w:b/>
          <w:bCs/>
        </w:rPr>
        <w:t>8.6</w:t>
      </w:r>
      <w:r>
        <w:t xml:space="preserve"> </w:t>
      </w:r>
      <w:r>
        <w:rPr>
          <w:rStyle w:val="VerbatimChar"/>
        </w:rPr>
        <w:t>[SCHOLAR]</w:t>
      </w:r>
      <w:r>
        <w:t xml:space="preserve"> The most literal form of “learning to die” is the </w:t>
      </w:r>
      <w:r>
        <w:rPr>
          <w:i/>
          <w:iCs/>
        </w:rPr>
        <w:t>ars moriendi</w:t>
      </w:r>
      <w:r>
        <w:t xml:space="preserve"> — the art of dying well — a genre of manuals that arose in the early fifteenth century, in the long shadow of the Black Death, when clergy were too few to attend every deathbed. These texts treated dying as a </w:t>
      </w:r>
      <w:r>
        <w:rPr>
          <w:i/>
          <w:iCs/>
        </w:rPr>
        <w:t>craft</w:t>
      </w:r>
      <w:r>
        <w:t xml:space="preserve"> with a teachable technique, instructing both the dying person and those attending them.</w:t>
      </w:r>
    </w:p>
    <w:p w14:paraId="6AB8CC5F" w14:textId="77777777" w:rsidR="0035712B" w:rsidRDefault="00000000">
      <w:pPr>
        <w:pStyle w:val="BodyText"/>
      </w:pPr>
      <w:r>
        <w:rPr>
          <w:b/>
          <w:bCs/>
        </w:rPr>
        <w:t>8.7</w:t>
      </w:r>
      <w:r>
        <w:t xml:space="preserve"> </w:t>
      </w:r>
      <w:r>
        <w:rPr>
          <w:rStyle w:val="VerbatimChar"/>
        </w:rPr>
        <w:t>[SCHOLAR]</w:t>
      </w:r>
      <w:r>
        <w:t xml:space="preserve"> Their core is the </w:t>
      </w:r>
      <w:r>
        <w:rPr>
          <w:i/>
          <w:iCs/>
        </w:rPr>
        <w:t>five temptations</w:t>
      </w:r>
      <w:r>
        <w:t xml:space="preserve"> that assail the dying, each with its prescribed consolation: loss of faith, despair over one’s sins, impatience under suffering, spiritual pride or complacency, and attachment to worldly goods and loved ones. The deathbed is staged as the decisive spiritual battle, angels and demons contending for the soul at the threshold. </w:t>
      </w:r>
      <w:r>
        <w:rPr>
          <w:rStyle w:val="VerbatimChar"/>
        </w:rPr>
        <w:t>[TRAD]</w:t>
      </w:r>
      <w:r>
        <w:t xml:space="preserve"> The ground is the Christian God, judgment, and the resurrection. </w:t>
      </w:r>
      <w:r>
        <w:rPr>
          <w:b/>
          <w:bCs/>
        </w:rPr>
        <w:t>Death is a doorway — but onto judgment, and onto eternal life.</w:t>
      </w:r>
    </w:p>
    <w:p w14:paraId="4E855AF6" w14:textId="77777777" w:rsidR="0035712B" w:rsidRDefault="00000000">
      <w:bookmarkStart w:id="86" w:name="iii.-the-ars-moriendi-dying-as-a-craft"/>
      <w:r>
        <w:rPr>
          <w:noProof/>
        </w:rPr>
        <mc:AlternateContent>
          <mc:Choice Requires="wps">
            <w:drawing>
              <wp:inline distT="0" distB="0" distL="0" distR="0" wp14:anchorId="1BE5D114" wp14:editId="5A92A2E3">
                <wp:extent cx="5943600" cy="19050"/>
                <wp:effectExtent l="0" t="0" r="0" b="0"/>
                <wp:docPr id="155" name="Rectangle 15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CBAFBDC" id="Rectangle 15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6"/>
    </w:p>
    <w:p w14:paraId="6CFF7245" w14:textId="77777777" w:rsidR="0035712B" w:rsidRDefault="00000000">
      <w:pPr>
        <w:pStyle w:val="Heading4"/>
      </w:pPr>
      <w:r>
        <w:t>IV. Heidegger — being-toward-death</w:t>
      </w:r>
    </w:p>
    <w:p w14:paraId="1ECFB848" w14:textId="77777777" w:rsidR="0035712B" w:rsidRDefault="00000000">
      <w:pPr>
        <w:pStyle w:val="FirstParagraph"/>
      </w:pPr>
      <w:r>
        <w:rPr>
          <w:b/>
          <w:bCs/>
        </w:rPr>
        <w:t>8.8</w:t>
      </w:r>
      <w:r>
        <w:t xml:space="preserve"> </w:t>
      </w:r>
      <w:r>
        <w:rPr>
          <w:rStyle w:val="VerbatimChar"/>
        </w:rPr>
        <w:t>[SCHOLAR]</w:t>
      </w:r>
      <w:r>
        <w:t xml:space="preserve"> </w:t>
      </w:r>
      <w:r>
        <w:rPr>
          <w:rStyle w:val="VerbatimChar"/>
        </w:rPr>
        <w:t>[TEXT]</w:t>
      </w:r>
      <w:r>
        <w:t xml:space="preserve"> Martin Heidegger’s </w:t>
      </w:r>
      <w:r>
        <w:rPr>
          <w:i/>
          <w:iCs/>
        </w:rPr>
        <w:t>Being and Time</w:t>
      </w:r>
      <w:r>
        <w:t xml:space="preserve"> (1927) gives the tradition its great secular restatement. Human existence (</w:t>
      </w:r>
      <w:r>
        <w:rPr>
          <w:i/>
          <w:iCs/>
        </w:rPr>
        <w:t>Dasein</w:t>
      </w:r>
      <w:r>
        <w:t xml:space="preserve">) is constituted as </w:t>
      </w:r>
      <w:r>
        <w:rPr>
          <w:b/>
          <w:bCs/>
        </w:rPr>
        <w:t>being-toward-death</w:t>
      </w:r>
      <w:r>
        <w:t xml:space="preserve"> (</w:t>
      </w:r>
      <w:r>
        <w:rPr>
          <w:i/>
          <w:iCs/>
        </w:rPr>
        <w:t>Sein-zum-Tode</w:t>
      </w:r>
      <w:r>
        <w:t xml:space="preserve">): death is one’s </w:t>
      </w:r>
      <w:r>
        <w:rPr>
          <w:i/>
          <w:iCs/>
        </w:rPr>
        <w:t>ownmost</w:t>
      </w:r>
      <w:r>
        <w:t xml:space="preserve"> possibility — non-relational (no one can die in my place), not to be outstripped, the possibility of the sheer impossibility of existence.</w:t>
      </w:r>
    </w:p>
    <w:p w14:paraId="21DD5556" w14:textId="77777777" w:rsidR="0035712B" w:rsidRDefault="00000000">
      <w:pPr>
        <w:pStyle w:val="BodyText"/>
      </w:pPr>
      <w:r>
        <w:rPr>
          <w:b/>
          <w:bCs/>
        </w:rPr>
        <w:t>8.9</w:t>
      </w:r>
      <w:r>
        <w:t xml:space="preserve"> </w:t>
      </w:r>
      <w:r>
        <w:rPr>
          <w:rStyle w:val="VerbatimChar"/>
        </w:rPr>
        <w:t>[SCHOLAR]</w:t>
      </w:r>
      <w:r>
        <w:t xml:space="preserve"> Ordinarily we flee it. The anonymous “they” (</w:t>
      </w:r>
      <w:r>
        <w:rPr>
          <w:i/>
          <w:iCs/>
        </w:rPr>
        <w:t>das Man</w:t>
      </w:r>
      <w:r>
        <w:t xml:space="preserve">) flattens death into a public event that happens to others — </w:t>
      </w:r>
      <w:r>
        <w:rPr>
          <w:i/>
          <w:iCs/>
        </w:rPr>
        <w:t>one dies, eventually</w:t>
      </w:r>
      <w:r>
        <w:t xml:space="preserve"> — an idle evasion that keeps my own death at arm’s length. Authentic existence requires </w:t>
      </w:r>
      <w:r>
        <w:rPr>
          <w:i/>
          <w:iCs/>
        </w:rPr>
        <w:t>anticipatory resoluteness</w:t>
      </w:r>
      <w:r>
        <w:t xml:space="preserve">: owning one’s finitude as one’s own, which individualizes Dasein and frees it from the herd’s </w:t>
      </w:r>
      <w:r>
        <w:lastRenderedPageBreak/>
        <w:t xml:space="preserve">evasions. Death, faced, is also what gathers a life into a </w:t>
      </w:r>
      <w:r>
        <w:rPr>
          <w:i/>
          <w:iCs/>
        </w:rPr>
        <w:t>whole</w:t>
      </w:r>
      <w:r>
        <w:t xml:space="preserve">. </w:t>
      </w:r>
      <w:r>
        <w:rPr>
          <w:rStyle w:val="VerbatimChar"/>
        </w:rPr>
        <w:t>[SYNTH]</w:t>
      </w:r>
      <w:r>
        <w:t xml:space="preserve"> The ground here is the bare opposite of the </w:t>
      </w:r>
      <w:r>
        <w:rPr>
          <w:i/>
          <w:iCs/>
        </w:rPr>
        <w:t>Phaedo</w:t>
      </w:r>
      <w:r>
        <w:t xml:space="preserve">’s: nothing lies beyond. </w:t>
      </w:r>
      <w:r>
        <w:rPr>
          <w:b/>
          <w:bCs/>
        </w:rPr>
        <w:t>Death is a wall</w:t>
      </w:r>
      <w:r>
        <w:t xml:space="preserve"> — and it is precisely its finality, squarely faced, that makes an authentic life possible.</w:t>
      </w:r>
    </w:p>
    <w:p w14:paraId="431F7A0A" w14:textId="77777777" w:rsidR="0035712B" w:rsidRDefault="00000000">
      <w:bookmarkStart w:id="87" w:name="iv.-heidegger-being-toward-death"/>
      <w:r>
        <w:rPr>
          <w:noProof/>
        </w:rPr>
        <mc:AlternateContent>
          <mc:Choice Requires="wps">
            <w:drawing>
              <wp:inline distT="0" distB="0" distL="0" distR="0" wp14:anchorId="467FC843" wp14:editId="2F329E76">
                <wp:extent cx="5943600" cy="19050"/>
                <wp:effectExtent l="0" t="0" r="0" b="0"/>
                <wp:docPr id="157" name="Rectangle 15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105D14B" id="Rectangle 15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7"/>
    </w:p>
    <w:p w14:paraId="2999BB82" w14:textId="77777777" w:rsidR="0035712B" w:rsidRDefault="00000000">
      <w:pPr>
        <w:pStyle w:val="Heading4"/>
      </w:pPr>
      <w:r>
        <w:t>V. The reading — the convergence, and the highest-stakes divergence</w:t>
      </w:r>
    </w:p>
    <w:p w14:paraId="09BB36F5" w14:textId="77777777" w:rsidR="0035712B" w:rsidRDefault="00000000">
      <w:pPr>
        <w:pStyle w:val="FirstParagraph"/>
      </w:pPr>
      <w:r>
        <w:rPr>
          <w:b/>
          <w:bCs/>
        </w:rPr>
        <w:t>8.10</w:t>
      </w:r>
      <w:r>
        <w:t xml:space="preserve"> </w:t>
      </w:r>
      <w:r>
        <w:rPr>
          <w:rStyle w:val="VerbatimChar"/>
        </w:rPr>
        <w:t>[HYP]</w:t>
      </w:r>
      <w:r>
        <w:t xml:space="preserve"> </w:t>
      </w:r>
      <w:r>
        <w:rPr>
          <w:b/>
          <w:bCs/>
        </w:rPr>
        <w:t>The convergence.</w:t>
      </w:r>
      <w:r>
        <w:t xml:space="preserve"> Socrates, Montaigne, the </w:t>
      </w:r>
      <w:r>
        <w:rPr>
          <w:i/>
          <w:iCs/>
        </w:rPr>
        <w:t>ars moriendi</w:t>
      </w:r>
      <w:r>
        <w:t xml:space="preserve">, and Heidegger — pagan, skeptic, Christian, and atheist — agree that a wise life requires </w:t>
      </w:r>
      <w:r>
        <w:rPr>
          <w:i/>
          <w:iCs/>
        </w:rPr>
        <w:t>facing</w:t>
      </w:r>
      <w:r>
        <w:t xml:space="preserve"> death rather than evading it, and that the relation one holds to mortality shapes the whole of one’s living. And beneath that lies a deeper agreement, the movement’s central finding: </w:t>
      </w:r>
      <w:r>
        <w:rPr>
          <w:b/>
          <w:bCs/>
        </w:rPr>
        <w:t>learning to die is learning to live.</w:t>
      </w:r>
      <w:r>
        <w:t xml:space="preserve"> The </w:t>
      </w:r>
      <w:r>
        <w:rPr>
          <w:i/>
          <w:iCs/>
        </w:rPr>
        <w:t>Phaedo</w:t>
      </w:r>
      <w:r>
        <w:t xml:space="preserve">’s lifelong rehearsal, Montaigne’s late turn, the craft of the </w:t>
      </w:r>
      <w:r>
        <w:rPr>
          <w:i/>
          <w:iCs/>
        </w:rPr>
        <w:t>ars moriendi</w:t>
      </w:r>
      <w:r>
        <w:t xml:space="preserve">, Heidegger’s authenticity — each makes the honest facing of the end the condition of a life well lived. The two verbs of this book’s title, </w:t>
      </w:r>
      <w:r>
        <w:rPr>
          <w:i/>
          <w:iCs/>
        </w:rPr>
        <w:t>live</w:t>
      </w:r>
      <w:r>
        <w:t xml:space="preserve"> and </w:t>
      </w:r>
      <w:r>
        <w:rPr>
          <w:i/>
          <w:iCs/>
        </w:rPr>
        <w:t>die</w:t>
      </w:r>
      <w:r>
        <w:t>, name one act.</w:t>
      </w:r>
    </w:p>
    <w:p w14:paraId="6E38087A" w14:textId="77777777" w:rsidR="0035712B" w:rsidRDefault="00000000">
      <w:pPr>
        <w:pStyle w:val="BodyText"/>
      </w:pPr>
      <w:r>
        <w:rPr>
          <w:b/>
          <w:bCs/>
        </w:rPr>
        <w:t>8.11</w:t>
      </w:r>
      <w:r>
        <w:t xml:space="preserve"> </w:t>
      </w:r>
      <w:r>
        <w:rPr>
          <w:rStyle w:val="VerbatimChar"/>
        </w:rPr>
        <w:t>[HYP]</w:t>
      </w:r>
      <w:r>
        <w:t xml:space="preserve"> </w:t>
      </w:r>
      <w:r>
        <w:rPr>
          <w:b/>
          <w:bCs/>
        </w:rPr>
        <w:t>The divergence, where it matters most.</w:t>
      </w:r>
      <w:r>
        <w:t xml:space="preserve"> What </w:t>
      </w:r>
      <w:r>
        <w:rPr>
          <w:i/>
          <w:iCs/>
        </w:rPr>
        <w:t>is</w:t>
      </w:r>
      <w:r>
        <w:t xml:space="preserve"> death? A doorway (the </w:t>
      </w:r>
      <w:r>
        <w:rPr>
          <w:i/>
          <w:iCs/>
        </w:rPr>
        <w:t>Phaedo</w:t>
      </w:r>
      <w:r>
        <w:t xml:space="preserve">’s released soul; the </w:t>
      </w:r>
      <w:r>
        <w:rPr>
          <w:i/>
          <w:iCs/>
        </w:rPr>
        <w:t>ars moriendi</w:t>
      </w:r>
      <w:r>
        <w:t xml:space="preserve">’s threshold of judgment) or a wall (Heidegger’s absolute end), with Montaigne’s return-to-Nature wavering between. This is the convergence/divergence structure at the highest stakes the compendium will ever reach — because here the ground is not abstract metaphysics but the concrete question of whether </w:t>
      </w:r>
      <w:r>
        <w:rPr>
          <w:i/>
          <w:iCs/>
        </w:rPr>
        <w:t>anything survives</w:t>
      </w:r>
      <w:r>
        <w:t>. Everyone agrees you must face the end. No one agrees on what you are facing.</w:t>
      </w:r>
    </w:p>
    <w:p w14:paraId="76AA285A" w14:textId="77777777" w:rsidR="0035712B" w:rsidRDefault="00000000">
      <w:pPr>
        <w:pStyle w:val="BodyText"/>
      </w:pPr>
      <w:r>
        <w:rPr>
          <w:b/>
          <w:bCs/>
        </w:rPr>
        <w:t>8.12</w:t>
      </w:r>
      <w:r>
        <w:t xml:space="preserve"> </w:t>
      </w:r>
      <w:r>
        <w:rPr>
          <w:rStyle w:val="VerbatimChar"/>
        </w:rPr>
        <w:t>[SYNTH]</w:t>
      </w:r>
      <w:r>
        <w:t xml:space="preserve"> </w:t>
      </w:r>
      <w:r>
        <w:rPr>
          <w:b/>
          <w:bCs/>
        </w:rPr>
        <w:t>The witness note.</w:t>
      </w:r>
      <w:r>
        <w:t xml:space="preserve"> This is the dive where the temptation to tip the survey is strongest, because the doorway is the author’s own ground. The discipline holds (Governing Note §2): here the doorway and the wall are each rendered as their holders would render them — Socrates’ confident soul, Heidegger’s unflinching finitude — at full strength, with the testimony </w:t>
      </w:r>
      <w:r>
        <w:rPr>
          <w:i/>
          <w:iCs/>
        </w:rPr>
        <w:t>reserved and declared</w:t>
      </w:r>
      <w:r>
        <w:t xml:space="preserve">, not smuggled. The witness testifies in </w:t>
      </w:r>
      <w:r>
        <w:rPr>
          <w:b/>
          <w:bCs/>
        </w:rPr>
        <w:t>Dive 10</w:t>
      </w:r>
      <w:r>
        <w:t xml:space="preserve"> (death as not the last word). Until then, the grounds stand side by side at their full height, which is the only posture from which a testimony can later be trusted.</w:t>
      </w:r>
    </w:p>
    <w:p w14:paraId="78DB0472" w14:textId="77777777" w:rsidR="0035712B" w:rsidRDefault="00000000">
      <w:bookmarkStart w:id="88" w:name="X1747f20acd66db56dceb07ac927d934734e053b"/>
      <w:r>
        <w:rPr>
          <w:noProof/>
        </w:rPr>
        <mc:AlternateContent>
          <mc:Choice Requires="wps">
            <w:drawing>
              <wp:inline distT="0" distB="0" distL="0" distR="0" wp14:anchorId="43F5F2D4" wp14:editId="4D718050">
                <wp:extent cx="5943600" cy="19050"/>
                <wp:effectExtent l="0" t="0" r="0" b="0"/>
                <wp:docPr id="159" name="Rectangle 15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FDFFD90" id="Rectangle 15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8"/>
    </w:p>
    <w:p w14:paraId="05467E15" w14:textId="77777777" w:rsidR="0035712B" w:rsidRDefault="00000000">
      <w:pPr>
        <w:pStyle w:val="Heading4"/>
      </w:pPr>
      <w:r>
        <w:t>Thinker &amp; source catalogue — additions from this dive</w:t>
      </w:r>
    </w:p>
    <w:p w14:paraId="7C5F980F" w14:textId="77777777" w:rsidR="0035712B" w:rsidRDefault="00000000">
      <w:pPr>
        <w:pStyle w:val="Compact"/>
        <w:numPr>
          <w:ilvl w:val="0"/>
          <w:numId w:val="88"/>
        </w:numPr>
      </w:pPr>
      <w:r>
        <w:rPr>
          <w:b/>
          <w:bCs/>
        </w:rPr>
        <w:t>Plato / Socrates</w:t>
      </w:r>
      <w:r>
        <w:t xml:space="preserve"> — </w:t>
      </w:r>
      <w:r>
        <w:rPr>
          <w:i/>
          <w:iCs/>
        </w:rPr>
        <w:t>Phaedo</w:t>
      </w:r>
      <w:r>
        <w:t>; philosophy as the rehearsal of death (</w:t>
      </w:r>
      <w:r>
        <w:rPr>
          <w:i/>
          <w:iCs/>
        </w:rPr>
        <w:t>meletē thanatou</w:t>
      </w:r>
      <w:r>
        <w:t xml:space="preserve">); the immortality arguments; the cock to Asclepius. </w:t>
      </w:r>
      <w:r>
        <w:rPr>
          <w:i/>
          <w:iCs/>
        </w:rPr>
        <w:t>Ground: the immortal soul. Death as doorway.</w:t>
      </w:r>
    </w:p>
    <w:p w14:paraId="7A596CA2" w14:textId="77777777" w:rsidR="0035712B" w:rsidRDefault="00000000">
      <w:pPr>
        <w:pStyle w:val="Compact"/>
        <w:numPr>
          <w:ilvl w:val="0"/>
          <w:numId w:val="89"/>
        </w:numPr>
      </w:pPr>
      <w:r>
        <w:rPr>
          <w:b/>
          <w:bCs/>
        </w:rPr>
        <w:t>Cicero</w:t>
      </w:r>
      <w:r>
        <w:t xml:space="preserve"> — transmits the “to philosophize is to learn to die” formula from the </w:t>
      </w:r>
      <w:r>
        <w:rPr>
          <w:i/>
          <w:iCs/>
        </w:rPr>
        <w:t>Phaedo</w:t>
      </w:r>
      <w:r>
        <w:t xml:space="preserve"> tradition to the Renaissance. </w:t>
      </w:r>
      <w:r>
        <w:rPr>
          <w:i/>
          <w:iCs/>
        </w:rPr>
        <w:t>The relay.</w:t>
      </w:r>
    </w:p>
    <w:p w14:paraId="53A9865A" w14:textId="77777777" w:rsidR="0035712B" w:rsidRDefault="00000000">
      <w:pPr>
        <w:pStyle w:val="Compact"/>
        <w:numPr>
          <w:ilvl w:val="0"/>
          <w:numId w:val="90"/>
        </w:numPr>
      </w:pPr>
      <w:r>
        <w:rPr>
          <w:b/>
          <w:bCs/>
        </w:rPr>
        <w:t>Michel de Montaigne</w:t>
      </w:r>
      <w:r>
        <w:t xml:space="preserve"> — “That to Philosophize Is to Learn to Die” (1580); the early Stoic </w:t>
      </w:r>
      <w:r>
        <w:rPr>
          <w:i/>
          <w:iCs/>
        </w:rPr>
        <w:t>memento mori</w:t>
      </w:r>
      <w:r>
        <w:t xml:space="preserve">; the unmasking of death’s ceremony; the later turn from rehearsing death to living well. </w:t>
      </w:r>
      <w:r>
        <w:rPr>
          <w:i/>
          <w:iCs/>
        </w:rPr>
        <w:t>The internal shift: learn-to-die becomes learn-to-live (§8.5).</w:t>
      </w:r>
    </w:p>
    <w:p w14:paraId="2993FC25" w14:textId="77777777" w:rsidR="0035712B" w:rsidRDefault="00000000">
      <w:pPr>
        <w:pStyle w:val="Compact"/>
        <w:numPr>
          <w:ilvl w:val="0"/>
          <w:numId w:val="91"/>
        </w:numPr>
      </w:pPr>
      <w:r>
        <w:rPr>
          <w:b/>
          <w:bCs/>
        </w:rPr>
        <w:t xml:space="preserve">The </w:t>
      </w:r>
      <w:r>
        <w:rPr>
          <w:b/>
          <w:bCs/>
          <w:i/>
          <w:iCs/>
        </w:rPr>
        <w:t>ars moriendi</w:t>
      </w:r>
      <w:r>
        <w:rPr>
          <w:b/>
          <w:bCs/>
        </w:rPr>
        <w:t xml:space="preserve"> tradition</w:t>
      </w:r>
      <w:r>
        <w:t xml:space="preserve"> — early-15th-c. manuals; dying as a teachable craft; the five temptations and their consolations; the deathbed as spiritual battle. </w:t>
      </w:r>
      <w:r>
        <w:rPr>
          <w:i/>
          <w:iCs/>
        </w:rPr>
        <w:t>Ground: Christian judgment and resurrection. Death as doorway onto judgment.</w:t>
      </w:r>
    </w:p>
    <w:p w14:paraId="2D3CDBED" w14:textId="77777777" w:rsidR="0035712B" w:rsidRDefault="00000000">
      <w:pPr>
        <w:pStyle w:val="Compact"/>
        <w:numPr>
          <w:ilvl w:val="0"/>
          <w:numId w:val="92"/>
        </w:numPr>
      </w:pPr>
      <w:r>
        <w:rPr>
          <w:b/>
          <w:bCs/>
        </w:rPr>
        <w:lastRenderedPageBreak/>
        <w:t>Seneca</w:t>
      </w:r>
      <w:r>
        <w:t xml:space="preserve"> — death-rehearsal and the unmasking image; his own Socratic death. </w:t>
      </w:r>
      <w:r>
        <w:rPr>
          <w:i/>
          <w:iCs/>
        </w:rPr>
        <w:t>Cross-ref: Dive 6.</w:t>
      </w:r>
    </w:p>
    <w:p w14:paraId="12CDEDB0" w14:textId="77777777" w:rsidR="0035712B" w:rsidRDefault="00000000">
      <w:pPr>
        <w:pStyle w:val="Compact"/>
        <w:numPr>
          <w:ilvl w:val="0"/>
          <w:numId w:val="93"/>
        </w:numPr>
      </w:pPr>
      <w:r>
        <w:rPr>
          <w:b/>
          <w:bCs/>
        </w:rPr>
        <w:t>Martin Heidegger</w:t>
      </w:r>
      <w:r>
        <w:t xml:space="preserve"> — </w:t>
      </w:r>
      <w:r>
        <w:rPr>
          <w:i/>
          <w:iCs/>
        </w:rPr>
        <w:t>Being and Time</w:t>
      </w:r>
      <w:r>
        <w:t xml:space="preserve"> (1927); being-toward-death; </w:t>
      </w:r>
      <w:r>
        <w:rPr>
          <w:i/>
          <w:iCs/>
        </w:rPr>
        <w:t>das Man</w:t>
      </w:r>
      <w:r>
        <w:t xml:space="preserve">’s evasion; anticipatory resoluteness; death as the whole-making limit. </w:t>
      </w:r>
      <w:r>
        <w:rPr>
          <w:i/>
          <w:iCs/>
        </w:rPr>
        <w:t>Ground: nothing beyond. Death as wall.</w:t>
      </w:r>
    </w:p>
    <w:p w14:paraId="01244392" w14:textId="77777777" w:rsidR="0035712B" w:rsidRDefault="00000000">
      <w:bookmarkStart w:id="89" w:name="Xfecdf1651ac6677bb3afcbd1d7836791ba02f67"/>
      <w:r>
        <w:rPr>
          <w:noProof/>
        </w:rPr>
        <mc:AlternateContent>
          <mc:Choice Requires="wps">
            <w:drawing>
              <wp:inline distT="0" distB="0" distL="0" distR="0" wp14:anchorId="165459FA" wp14:editId="3D0C884A">
                <wp:extent cx="5943600" cy="19050"/>
                <wp:effectExtent l="0" t="0" r="0" b="0"/>
                <wp:docPr id="161" name="Rectangle 16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44F0032" id="Rectangle 16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89"/>
    </w:p>
    <w:p w14:paraId="6740E837" w14:textId="77777777" w:rsidR="0035712B" w:rsidRDefault="00000000">
      <w:pPr>
        <w:pStyle w:val="Heading4"/>
      </w:pPr>
      <w:r>
        <w:t>Open threads carried forward</w:t>
      </w:r>
    </w:p>
    <w:p w14:paraId="40197E51" w14:textId="77777777" w:rsidR="0035712B" w:rsidRDefault="00000000">
      <w:pPr>
        <w:pStyle w:val="Compact"/>
        <w:numPr>
          <w:ilvl w:val="0"/>
          <w:numId w:val="94"/>
        </w:numPr>
      </w:pPr>
      <w:r>
        <w:rPr>
          <w:b/>
          <w:bCs/>
        </w:rPr>
        <w:t>Dive 9 (the modern reckoning)</w:t>
      </w:r>
      <w:r>
        <w:t xml:space="preserve"> follows directly: it is the study of what happens to a culture that </w:t>
      </w:r>
      <w:r>
        <w:rPr>
          <w:i/>
          <w:iCs/>
        </w:rPr>
        <w:t>stops</w:t>
      </w:r>
      <w:r>
        <w:t xml:space="preserve"> learning to die — Tolstoy’s </w:t>
      </w:r>
      <w:r>
        <w:rPr>
          <w:i/>
          <w:iCs/>
        </w:rPr>
        <w:t>Ivan Ilyich</w:t>
      </w:r>
      <w:r>
        <w:t xml:space="preserve">, Becker’s denial of death, Yalom, Gawande, and the hospice tradition. The modern condition is, in large part, the loss of the </w:t>
      </w:r>
      <w:r>
        <w:rPr>
          <w:i/>
          <w:iCs/>
        </w:rPr>
        <w:t>ars moriendi</w:t>
      </w:r>
      <w:r>
        <w:t>: death medicalized, hidden, and unlearned.</w:t>
      </w:r>
    </w:p>
    <w:p w14:paraId="2D0FC3CA" w14:textId="77777777" w:rsidR="0035712B" w:rsidRDefault="00000000">
      <w:pPr>
        <w:pStyle w:val="Compact"/>
        <w:numPr>
          <w:ilvl w:val="0"/>
          <w:numId w:val="95"/>
        </w:numPr>
      </w:pPr>
      <w:r>
        <w:rPr>
          <w:b/>
          <w:bCs/>
        </w:rPr>
        <w:t>Dive 10 (death as not the last word)</w:t>
      </w:r>
      <w:r>
        <w:t xml:space="preserve"> is where the witness testifies; §8.12 reserves and declares it.</w:t>
      </w:r>
    </w:p>
    <w:p w14:paraId="50D6F878" w14:textId="77777777" w:rsidR="0035712B" w:rsidRDefault="00000000">
      <w:pPr>
        <w:pStyle w:val="Compact"/>
        <w:numPr>
          <w:ilvl w:val="0"/>
          <w:numId w:val="96"/>
        </w:numPr>
      </w:pPr>
      <w:r>
        <w:rPr>
          <w:b/>
          <w:bCs/>
        </w:rPr>
        <w:t>“Learning to die is learning to live” (§8.10)</w:t>
      </w:r>
      <w:r>
        <w:t xml:space="preserve"> is candidate material for the </w:t>
      </w:r>
      <w:r>
        <w:rPr>
          <w:b/>
          <w:bCs/>
        </w:rPr>
        <w:t>cross-cutting finding</w:t>
      </w:r>
      <w:r>
        <w:t xml:space="preserve"> and possibly for the book’s own architecture — it fuses the </w:t>
      </w:r>
      <w:r>
        <w:rPr>
          <w:i/>
          <w:iCs/>
        </w:rPr>
        <w:t>Live</w:t>
      </w:r>
      <w:r>
        <w:t xml:space="preserve"> and </w:t>
      </w:r>
      <w:r>
        <w:rPr>
          <w:i/>
          <w:iCs/>
        </w:rPr>
        <w:t>Die</w:t>
      </w:r>
      <w:r>
        <w:t xml:space="preserve"> movements into one claim.</w:t>
      </w:r>
    </w:p>
    <w:p w14:paraId="6206F67F" w14:textId="77777777" w:rsidR="0035712B" w:rsidRDefault="00000000">
      <w:pPr>
        <w:pStyle w:val="Compact"/>
        <w:numPr>
          <w:ilvl w:val="0"/>
          <w:numId w:val="97"/>
        </w:numPr>
      </w:pPr>
      <w:r>
        <w:rPr>
          <w:b/>
          <w:bCs/>
        </w:rPr>
        <w:t>The doorway-vs-wall divergence (§8.11)</w:t>
      </w:r>
      <w:r>
        <w:t xml:space="preserve"> is the highest-stakes instance of the Governing Note §5 structure; flag prominently at assembly.</w:t>
      </w:r>
    </w:p>
    <w:p w14:paraId="402B5D59" w14:textId="77777777" w:rsidR="0035712B" w:rsidRDefault="00000000">
      <w:bookmarkStart w:id="90" w:name="dive-8-learning-to-die"/>
      <w:bookmarkStart w:id="91" w:name="open-threads-carried-forward-7"/>
      <w:r>
        <w:rPr>
          <w:noProof/>
        </w:rPr>
        <mc:AlternateContent>
          <mc:Choice Requires="wps">
            <w:drawing>
              <wp:inline distT="0" distB="0" distL="0" distR="0" wp14:anchorId="24D548C4" wp14:editId="25553E6D">
                <wp:extent cx="5943600" cy="19050"/>
                <wp:effectExtent l="0" t="0" r="0" b="0"/>
                <wp:docPr id="163" name="Rectangle 16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7FF3A6D" id="Rectangle 16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0"/>
      <w:bookmarkEnd w:id="91"/>
    </w:p>
    <w:p w14:paraId="5AA8F8CC" w14:textId="77777777" w:rsidR="0035712B" w:rsidRDefault="00000000">
      <w:pPr>
        <w:pStyle w:val="Heading3"/>
      </w:pPr>
      <w:r>
        <w:t>Dive 9 — The Modern Reckoning</w:t>
      </w:r>
    </w:p>
    <w:p w14:paraId="1F5D7F4E" w14:textId="77777777" w:rsidR="0035712B" w:rsidRDefault="00000000">
      <w:pPr>
        <w:pStyle w:val="Heading4"/>
      </w:pPr>
      <w:r>
        <w:t>The governing question of this dive</w:t>
      </w:r>
    </w:p>
    <w:p w14:paraId="60E99AF7" w14:textId="77777777" w:rsidR="0035712B" w:rsidRDefault="00000000">
      <w:pPr>
        <w:pStyle w:val="FirstParagraph"/>
      </w:pPr>
      <w:r>
        <w:rPr>
          <w:b/>
          <w:bCs/>
        </w:rPr>
        <w:t>9.1</w:t>
      </w:r>
      <w:r>
        <w:t xml:space="preserve"> </w:t>
      </w:r>
      <w:r>
        <w:rPr>
          <w:rStyle w:val="VerbatimChar"/>
        </w:rPr>
        <w:t>[SYNTH]</w:t>
      </w:r>
      <w:r>
        <w:t xml:space="preserve"> Dive 8 traced the long tradition of </w:t>
      </w:r>
      <w:r>
        <w:rPr>
          <w:i/>
          <w:iCs/>
        </w:rPr>
        <w:t>learning</w:t>
      </w:r>
      <w:r>
        <w:t xml:space="preserve"> to die. This dive asks what happened when modernity largely </w:t>
      </w:r>
      <w:r>
        <w:rPr>
          <w:i/>
          <w:iCs/>
        </w:rPr>
        <w:t>lost</w:t>
      </w:r>
      <w:r>
        <w:t xml:space="preserve"> that tradition — when death was medicalized, professionalized, sequestered in institutions, and hidden from ordinary life. The modern literature on death moves in two beats: first a diagnosis of the evasion, then a set of attempts to recover what was lost. The finding to watch is that the moderns rediscover, often without any metaphysics, exactly what the ancients knew — the evasion is the disease, the facing is the cure — and that the most rigorous of them reach that dimension and halt, once more, at the threshold of the ground.</w:t>
      </w:r>
    </w:p>
    <w:p w14:paraId="7CEAE871" w14:textId="77777777" w:rsidR="0035712B" w:rsidRDefault="00000000">
      <w:bookmarkStart w:id="92" w:name="the-governing-question-of-this-dive-7"/>
      <w:r>
        <w:rPr>
          <w:noProof/>
        </w:rPr>
        <mc:AlternateContent>
          <mc:Choice Requires="wps">
            <w:drawing>
              <wp:inline distT="0" distB="0" distL="0" distR="0" wp14:anchorId="5248B06A" wp14:editId="49A4C406">
                <wp:extent cx="5943600" cy="19050"/>
                <wp:effectExtent l="0" t="0" r="0" b="0"/>
                <wp:docPr id="165" name="Rectangle 16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BB41B98" id="Rectangle 16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2"/>
    </w:p>
    <w:p w14:paraId="5AE43AC6" w14:textId="77777777" w:rsidR="0035712B" w:rsidRDefault="00000000">
      <w:pPr>
        <w:pStyle w:val="Heading4"/>
      </w:pPr>
      <w:r>
        <w:t>I. The diagnosis — the evasion unmasked</w:t>
      </w:r>
    </w:p>
    <w:p w14:paraId="00AFA436" w14:textId="77777777" w:rsidR="0035712B" w:rsidRDefault="00000000">
      <w:pPr>
        <w:pStyle w:val="FirstParagraph"/>
      </w:pPr>
      <w:r>
        <w:rPr>
          <w:b/>
          <w:bCs/>
        </w:rPr>
        <w:t>9.2</w:t>
      </w:r>
      <w:r>
        <w:t xml:space="preserve"> </w:t>
      </w:r>
      <w:r>
        <w:rPr>
          <w:rStyle w:val="VerbatimChar"/>
        </w:rPr>
        <w:t>[TEXT]</w:t>
      </w:r>
      <w:r>
        <w:t xml:space="preserve"> </w:t>
      </w:r>
      <w:r>
        <w:rPr>
          <w:rStyle w:val="VerbatimChar"/>
        </w:rPr>
        <w:t>[SCHOLAR]</w:t>
      </w:r>
      <w:r>
        <w:t xml:space="preserve"> Tolstoy’s </w:t>
      </w:r>
      <w:r>
        <w:rPr>
          <w:i/>
          <w:iCs/>
        </w:rPr>
        <w:t>The Death of Ivan Ilyich</w:t>
      </w:r>
      <w:r>
        <w:t xml:space="preserve"> (1886) is the pivot text. Ivan is a judge of perfect conventional propriety whose terminal illness forces on him a worse horror than pain: the dawning suspicion that his entire correct and respectable life was hollow — that he may have lived it all wrong. Tolstoy gives him the textbook syllogism — Caius is a man, men are mortal, so Caius is mortal — which Ivan grants in the abstract and cannot apply to himself, the universal evasion in miniature. Only the peasant servant Gerasim meets the dying man’s death honestly and with unembarrassed compassion. </w:t>
      </w:r>
      <w:r>
        <w:rPr>
          <w:rStyle w:val="VerbatimChar"/>
        </w:rPr>
        <w:t>[SYNTH]</w:t>
      </w:r>
      <w:r>
        <w:t xml:space="preserve"> Tolstoy’s diagnosis is exact and modern: a life organized around appearance and </w:t>
      </w:r>
      <w:r>
        <w:lastRenderedPageBreak/>
        <w:t>self-deception cannot face its own end, and the inability to face the end exposes the falseness of the life.</w:t>
      </w:r>
    </w:p>
    <w:p w14:paraId="6D3B5CC5" w14:textId="77777777" w:rsidR="0035712B" w:rsidRDefault="00000000">
      <w:pPr>
        <w:pStyle w:val="BodyText"/>
      </w:pPr>
      <w:r>
        <w:rPr>
          <w:b/>
          <w:bCs/>
        </w:rPr>
        <w:t>9.3</w:t>
      </w:r>
      <w:r>
        <w:t xml:space="preserve"> </w:t>
      </w:r>
      <w:r>
        <w:rPr>
          <w:rStyle w:val="VerbatimChar"/>
        </w:rPr>
        <w:t>[TEXT]</w:t>
      </w:r>
      <w:r>
        <w:t xml:space="preserve"> </w:t>
      </w:r>
      <w:r>
        <w:rPr>
          <w:rStyle w:val="VerbatimChar"/>
        </w:rPr>
        <w:t>[SCHOLAR]</w:t>
      </w:r>
      <w:r>
        <w:t xml:space="preserve"> Ernest Becker’s </w:t>
      </w:r>
      <w:r>
        <w:rPr>
          <w:i/>
          <w:iCs/>
        </w:rPr>
        <w:t>The Denial of Death</w:t>
      </w:r>
      <w:r>
        <w:t xml:space="preserve"> (1973) generalizes the diagnosis into a theory of civilization. The terror of death, he argued, is the hidden mainspring of human activity; we manage it through </w:t>
      </w:r>
      <w:r>
        <w:rPr>
          <w:i/>
          <w:iCs/>
        </w:rPr>
        <w:t>immortality projects</w:t>
      </w:r>
      <w:r>
        <w:t xml:space="preserve"> (</w:t>
      </w:r>
      <w:r>
        <w:rPr>
          <w:i/>
          <w:iCs/>
        </w:rPr>
        <w:t>causa sui</w:t>
      </w:r>
      <w:r>
        <w:t xml:space="preserve">) — building a fortune, a family, an empire, a book — by which we attach ourselves to something we believe will outlast us and so feel symbolically deathless. Society itself is a codified hero-system, a shared myth of significance. </w:t>
      </w:r>
      <w:r>
        <w:rPr>
          <w:rStyle w:val="VerbatimChar"/>
        </w:rPr>
        <w:t>[SYNTH]</w:t>
      </w:r>
      <w:r>
        <w:t xml:space="preserve"> Becker’s most uncomfortable claim is that the collision of contradictory immortality projects drives much human violence — a striking link to the author’s own civilizational concerns, noted and held light.</w:t>
      </w:r>
    </w:p>
    <w:p w14:paraId="1962D167" w14:textId="77777777" w:rsidR="0035712B" w:rsidRDefault="00000000">
      <w:pPr>
        <w:pStyle w:val="BodyText"/>
      </w:pPr>
      <w:r>
        <w:rPr>
          <w:b/>
          <w:bCs/>
        </w:rPr>
        <w:t>9.4</w:t>
      </w:r>
      <w:r>
        <w:t xml:space="preserve"> </w:t>
      </w:r>
      <w:r>
        <w:rPr>
          <w:rStyle w:val="VerbatimChar"/>
        </w:rPr>
        <w:t>[EMPIRICAL]</w:t>
      </w:r>
      <w:r>
        <w:t xml:space="preserve"> Becker’s thesis became testable. Terror Management Theory (Pyszczynski, Solomon, and Greenberg, from 1986) ran decades of experiments on </w:t>
      </w:r>
      <w:r>
        <w:rPr>
          <w:i/>
          <w:iCs/>
        </w:rPr>
        <w:t>mortality salience</w:t>
      </w:r>
      <w:r>
        <w:t xml:space="preserve"> — showing that reminding people of death reliably shifts their attitudes toward defending their worldview and their group. The denial of death left a measurable fingerprint in the lab.</w:t>
      </w:r>
    </w:p>
    <w:p w14:paraId="7F082791" w14:textId="77777777" w:rsidR="0035712B" w:rsidRDefault="00000000">
      <w:bookmarkStart w:id="93" w:name="i.-the-diagnosis-the-evasion-unmasked"/>
      <w:r>
        <w:rPr>
          <w:noProof/>
        </w:rPr>
        <mc:AlternateContent>
          <mc:Choice Requires="wps">
            <w:drawing>
              <wp:inline distT="0" distB="0" distL="0" distR="0" wp14:anchorId="5100FB23" wp14:editId="2DAF4934">
                <wp:extent cx="5943600" cy="19050"/>
                <wp:effectExtent l="0" t="0" r="0" b="0"/>
                <wp:docPr id="167" name="Rectangle 16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111F83E" id="Rectangle 16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3"/>
    </w:p>
    <w:p w14:paraId="76E2ECFE" w14:textId="77777777" w:rsidR="0035712B" w:rsidRDefault="00000000">
      <w:pPr>
        <w:pStyle w:val="Heading4"/>
      </w:pPr>
      <w:r>
        <w:t>II. The recovery — facing death again</w:t>
      </w:r>
    </w:p>
    <w:p w14:paraId="7AAACE1F" w14:textId="77777777" w:rsidR="0035712B" w:rsidRDefault="00000000">
      <w:pPr>
        <w:pStyle w:val="FirstParagraph"/>
      </w:pPr>
      <w:r>
        <w:rPr>
          <w:b/>
          <w:bCs/>
        </w:rPr>
        <w:t>9.5</w:t>
      </w:r>
      <w:r>
        <w:t xml:space="preserve"> </w:t>
      </w:r>
      <w:r>
        <w:rPr>
          <w:rStyle w:val="VerbatimChar"/>
        </w:rPr>
        <w:t>[SCHOLAR]</w:t>
      </w:r>
      <w:r>
        <w:t xml:space="preserve"> Against the evasion, a recovery. Irvin Yalom, the Stanford existential psychiatrist and avowed atheist, treats death as one of the ultimate concerns of human life and insists on confronting death anxiety directly rather than medicating it away (</w:t>
      </w:r>
      <w:r>
        <w:rPr>
          <w:i/>
          <w:iCs/>
        </w:rPr>
        <w:t>Staring at the Sun</w:t>
      </w:r>
      <w:r>
        <w:t xml:space="preserve">, 2008). His consolations are frankly secular: </w:t>
      </w:r>
      <w:r>
        <w:rPr>
          <w:i/>
          <w:iCs/>
        </w:rPr>
        <w:t>rippling</w:t>
      </w:r>
      <w:r>
        <w:t xml:space="preserve"> — the influence we leave in others that outlasts us — and the conviction that though the physical fact of death destroys us, the </w:t>
      </w:r>
      <w:r>
        <w:rPr>
          <w:i/>
          <w:iCs/>
        </w:rPr>
        <w:t>idea</w:t>
      </w:r>
      <w:r>
        <w:t xml:space="preserve"> of death, faced, can awaken us to live. He deploys the old Epicurean arguments therapeutically.</w:t>
      </w:r>
    </w:p>
    <w:p w14:paraId="05B2733A" w14:textId="77777777" w:rsidR="0035712B" w:rsidRDefault="00000000">
      <w:pPr>
        <w:pStyle w:val="BodyText"/>
      </w:pPr>
      <w:r>
        <w:rPr>
          <w:b/>
          <w:bCs/>
        </w:rPr>
        <w:t>9.6</w:t>
      </w:r>
      <w:r>
        <w:t xml:space="preserve"> </w:t>
      </w:r>
      <w:r>
        <w:rPr>
          <w:rStyle w:val="VerbatimChar"/>
        </w:rPr>
        <w:t>[TEXT]</w:t>
      </w:r>
      <w:r>
        <w:t xml:space="preserve"> </w:t>
      </w:r>
      <w:r>
        <w:rPr>
          <w:rStyle w:val="VerbatimChar"/>
        </w:rPr>
        <w:t>[SCHOLAR]</w:t>
      </w:r>
      <w:r>
        <w:t xml:space="preserve"> Atul Gawande’s </w:t>
      </w:r>
      <w:r>
        <w:rPr>
          <w:i/>
          <w:iCs/>
        </w:rPr>
        <w:t>Being Mortal</w:t>
      </w:r>
      <w:r>
        <w:t xml:space="preserve"> (2014) brings the diagnosis inside medicine. Modern medicine, he argues, medicalized aging and death — treating them as clinical problems to defeat — and so prepared itself for life but not for death: nursing homes optimized for safety over meaning, physicians avoiding the hard conversation and prolonging suffering with treatments that shorten and worsen the life they mean to save. His recovery turns on a single transformative question — </w:t>
      </w:r>
      <w:r>
        <w:rPr>
          <w:i/>
          <w:iCs/>
        </w:rPr>
        <w:t>what does a good day look like?</w:t>
      </w:r>
      <w:r>
        <w:t xml:space="preserve"> — and a reorientation from “how do I fix this?” to what the person most wants in the time remaining. He judges hospice the most humane model available.</w:t>
      </w:r>
    </w:p>
    <w:p w14:paraId="29FB2434" w14:textId="77777777" w:rsidR="0035712B" w:rsidRDefault="00000000">
      <w:pPr>
        <w:pStyle w:val="BodyText"/>
      </w:pPr>
      <w:r>
        <w:rPr>
          <w:b/>
          <w:bCs/>
        </w:rPr>
        <w:t>9.7</w:t>
      </w:r>
      <w:r>
        <w:t xml:space="preserve"> </w:t>
      </w:r>
      <w:r>
        <w:rPr>
          <w:rStyle w:val="VerbatimChar"/>
        </w:rPr>
        <w:t>[SCHOLAR]</w:t>
      </w:r>
      <w:r>
        <w:t xml:space="preserve"> </w:t>
      </w:r>
      <w:r>
        <w:rPr>
          <w:rStyle w:val="VerbatimChar"/>
        </w:rPr>
        <w:t>[TEXT]</w:t>
      </w:r>
      <w:r>
        <w:t xml:space="preserve"> The hospice movement is the institutional recovery. Cicely Saunders founded the first modern hospice, St Christopher’s in London, in 1967, on the concept of </w:t>
      </w:r>
      <w:r>
        <w:rPr>
          <w:i/>
          <w:iCs/>
        </w:rPr>
        <w:t>total pain</w:t>
      </w:r>
      <w:r>
        <w:t xml:space="preserve"> — that suffering at the end is at once physical, emotional, social, and spiritual, and must be met on all four fronts — insisting the dying person matters as themselves, all the way to the end. Elisabeth Kübler-Ross’s </w:t>
      </w:r>
      <w:r>
        <w:rPr>
          <w:i/>
          <w:iCs/>
        </w:rPr>
        <w:t>On Death and Dying</w:t>
      </w:r>
      <w:r>
        <w:t xml:space="preserve"> (1969) broke the modern silence around dying, though her five “stages” are now widely regarded as descriptive at best and not a fixed sequence </w:t>
      </w:r>
      <w:r>
        <w:rPr>
          <w:rStyle w:val="VerbatimChar"/>
        </w:rPr>
        <w:t>[CONTESTED]</w:t>
      </w:r>
      <w:r>
        <w:t>. Kathryn Mannix (</w:t>
      </w:r>
      <w:r>
        <w:rPr>
          <w:i/>
          <w:iCs/>
        </w:rPr>
        <w:t>With the End in Mind</w:t>
      </w:r>
      <w:r>
        <w:t xml:space="preserve">, 2017) has worked to recover the lost knowledge of the ordinary, peaceful death — describing </w:t>
      </w:r>
      <w:r>
        <w:lastRenderedPageBreak/>
        <w:t>plainly what dying usually looks like, to disarm the terror that the hiding of death produced.</w:t>
      </w:r>
    </w:p>
    <w:p w14:paraId="22A8B835" w14:textId="77777777" w:rsidR="0035712B" w:rsidRDefault="00000000">
      <w:bookmarkStart w:id="94" w:name="ii.-the-recovery-facing-death-again"/>
      <w:r>
        <w:rPr>
          <w:noProof/>
        </w:rPr>
        <mc:AlternateContent>
          <mc:Choice Requires="wps">
            <w:drawing>
              <wp:inline distT="0" distB="0" distL="0" distR="0" wp14:anchorId="3898216A" wp14:editId="3F46AAF6">
                <wp:extent cx="5943600" cy="19050"/>
                <wp:effectExtent l="0" t="0" r="0" b="0"/>
                <wp:docPr id="169" name="Rectangle 16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DFF4C7A" id="Rectangle 16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4"/>
    </w:p>
    <w:p w14:paraId="3DAF9083" w14:textId="77777777" w:rsidR="0035712B" w:rsidRDefault="00000000">
      <w:pPr>
        <w:pStyle w:val="Heading4"/>
      </w:pPr>
      <w:r>
        <w:t>III. The reading — the reckoning and the structure</w:t>
      </w:r>
    </w:p>
    <w:p w14:paraId="1347C177" w14:textId="77777777" w:rsidR="0035712B" w:rsidRDefault="00000000">
      <w:pPr>
        <w:pStyle w:val="FirstParagraph"/>
      </w:pPr>
      <w:r>
        <w:rPr>
          <w:b/>
          <w:bCs/>
        </w:rPr>
        <w:t>9.8</w:t>
      </w:r>
      <w:r>
        <w:t xml:space="preserve"> </w:t>
      </w:r>
      <w:r>
        <w:rPr>
          <w:rStyle w:val="VerbatimChar"/>
        </w:rPr>
        <w:t>[HYP]</w:t>
      </w:r>
      <w:r>
        <w:t xml:space="preserve"> </w:t>
      </w:r>
      <w:r>
        <w:rPr>
          <w:b/>
          <w:bCs/>
        </w:rPr>
        <w:t>The convergence with the ancients.</w:t>
      </w:r>
      <w:r>
        <w:t xml:space="preserve"> Strip the modern idiom and the moderns rediscover the consensus of Dive 8 (§8.10): the evasion of death is the disease, the honest facing of it is the cure, and the two verbs </w:t>
      </w:r>
      <w:r>
        <w:rPr>
          <w:i/>
          <w:iCs/>
        </w:rPr>
        <w:t>live</w:t>
      </w:r>
      <w:r>
        <w:t xml:space="preserve"> and </w:t>
      </w:r>
      <w:r>
        <w:rPr>
          <w:i/>
          <w:iCs/>
        </w:rPr>
        <w:t>die</w:t>
      </w:r>
      <w:r>
        <w:t xml:space="preserve"> are one lesson. Tolstoy’s false life, Becker’s denial, and Gawande’s medicalization all name the evasion; Yalom, the hospice tradition, and Mannix all recover the facing. The </w:t>
      </w:r>
      <w:r>
        <w:rPr>
          <w:i/>
          <w:iCs/>
        </w:rPr>
        <w:t>ars moriendi</w:t>
      </w:r>
      <w:r>
        <w:t>, lost, is being painstakingly relearned — frequently by people who would never use the phrase.</w:t>
      </w:r>
    </w:p>
    <w:p w14:paraId="42D5BDD5" w14:textId="77777777" w:rsidR="0035712B" w:rsidRDefault="00000000">
      <w:pPr>
        <w:pStyle w:val="BodyText"/>
      </w:pPr>
      <w:r>
        <w:rPr>
          <w:b/>
          <w:bCs/>
        </w:rPr>
        <w:t>9.9</w:t>
      </w:r>
      <w:r>
        <w:t xml:space="preserve"> </w:t>
      </w:r>
      <w:r>
        <w:rPr>
          <w:rStyle w:val="VerbatimChar"/>
        </w:rPr>
        <w:t>[SYNTH]</w:t>
      </w:r>
      <w:r>
        <w:t xml:space="preserve"> </w:t>
      </w:r>
      <w:r>
        <w:rPr>
          <w:b/>
          <w:bCs/>
        </w:rPr>
        <w:t>The specifically modern pathology.</w:t>
      </w:r>
      <w:r>
        <w:t xml:space="preserve"> The ancients disagreed about </w:t>
      </w:r>
      <w:r>
        <w:rPr>
          <w:i/>
          <w:iCs/>
        </w:rPr>
        <w:t>what death is</w:t>
      </w:r>
      <w:r>
        <w:t xml:space="preserve">; modernity’s distinctive move is to evade the question altogether — to hide death so thoroughly behind institutions and machines that one need never ask. That is worse than disagreement; it is refusal. And it is, precisely, a failure of </w:t>
      </w:r>
      <w:r>
        <w:rPr>
          <w:i/>
          <w:iCs/>
        </w:rPr>
        <w:t>formation</w:t>
      </w:r>
      <w:r>
        <w:t xml:space="preserve">: the </w:t>
      </w:r>
      <w:r>
        <w:rPr>
          <w:i/>
          <w:iCs/>
        </w:rPr>
        <w:t>ars moriendi</w:t>
      </w:r>
      <w:r>
        <w:t xml:space="preserve"> was a formation practice, and a culture that no longer forms its people to die has lost something the older cultures kept. </w:t>
      </w:r>
      <w:r>
        <w:rPr>
          <w:b/>
          <w:bCs/>
        </w:rPr>
        <w:t>This dive is the death-chapter of the formation thesis</w:t>
      </w:r>
      <w:r>
        <w:t xml:space="preserve"> — the lapse diagnosed elsewhere as civilizational (Governing Note §3a) appears here as a society that mislaid the art of its own ending. The loss is common, and so is the relearning.</w:t>
      </w:r>
    </w:p>
    <w:p w14:paraId="1CE078C9" w14:textId="77777777" w:rsidR="0035712B" w:rsidRDefault="00000000">
      <w:pPr>
        <w:pStyle w:val="BodyText"/>
      </w:pPr>
      <w:r>
        <w:rPr>
          <w:b/>
          <w:bCs/>
        </w:rPr>
        <w:t>9.10</w:t>
      </w:r>
      <w:r>
        <w:t xml:space="preserve"> </w:t>
      </w:r>
      <w:r>
        <w:rPr>
          <w:rStyle w:val="VerbatimChar"/>
        </w:rPr>
        <w:t>[HYP]</w:t>
      </w:r>
      <w:r>
        <w:t xml:space="preserve"> </w:t>
      </w:r>
      <w:r>
        <w:rPr>
          <w:rStyle w:val="VerbatimChar"/>
        </w:rPr>
        <w:t>[SYNTH]</w:t>
      </w:r>
      <w:r>
        <w:t xml:space="preserve"> </w:t>
      </w:r>
      <w:r>
        <w:rPr>
          <w:b/>
          <w:bCs/>
        </w:rPr>
        <w:t>The ground reappears — and Becker is the modern Murdoch.</w:t>
      </w:r>
      <w:r>
        <w:t xml:space="preserve"> Just as Murdoch (§7.7) reached the transcendent Good and would not name it God, Becker reached the conclusion that genuine heroism </w:t>
      </w:r>
      <w:r>
        <w:rPr>
          <w:i/>
          <w:iCs/>
        </w:rPr>
        <w:t>requires</w:t>
      </w:r>
      <w:r>
        <w:t xml:space="preserve"> a transcendent referent, judged that modern hero-systems no longer convince, and openly confessed he had no answer to put in their place. The most rigorous secular analyst of death in the twentieth century walked to the threshold of the ground and declared, in print, that he could not cross it. Yalom offers rippling, but death stays obliteration; Gawande humanizes the approach to the wall but is silent on what lies beyond it. </w:t>
      </w:r>
      <w:r>
        <w:rPr>
          <w:b/>
          <w:bCs/>
        </w:rPr>
        <w:t>The recovery is real and incomplete: the moderns recover the facing — the dimension — but most cannot supply the ground that would complete it.</w:t>
      </w:r>
      <w:r>
        <w:t xml:space="preserve"> §3.15 and §7.7, now at the deathbed.</w:t>
      </w:r>
    </w:p>
    <w:p w14:paraId="6A8679C7" w14:textId="77777777" w:rsidR="0035712B" w:rsidRDefault="00000000">
      <w:pPr>
        <w:pStyle w:val="BodyText"/>
      </w:pPr>
      <w:r>
        <w:rPr>
          <w:b/>
          <w:bCs/>
        </w:rPr>
        <w:t>9.11</w:t>
      </w:r>
      <w:r>
        <w:t xml:space="preserve"> </w:t>
      </w:r>
      <w:r>
        <w:rPr>
          <w:rStyle w:val="VerbatimChar"/>
        </w:rPr>
        <w:t>[SYNTH]</w:t>
      </w:r>
      <w:r>
        <w:t xml:space="preserve"> </w:t>
      </w:r>
      <w:r>
        <w:rPr>
          <w:b/>
          <w:bCs/>
        </w:rPr>
        <w:t>The witness note.</w:t>
      </w:r>
      <w:r>
        <w:t xml:space="preserve"> The doorway-side voices here — Tolstoy’s dying man released at last into light, the spiritual dimension of Saunders’s “total pain” — point toward the answer the secular moderns leave open. The discipline holds (Governing Note §2): each is given at full strength and the testimony is reserved. </w:t>
      </w:r>
      <w:r>
        <w:rPr>
          <w:b/>
          <w:bCs/>
        </w:rPr>
        <w:t>Dive 10</w:t>
      </w:r>
      <w:r>
        <w:t xml:space="preserve"> is where the witness answers the question Becker said he could not.</w:t>
      </w:r>
    </w:p>
    <w:p w14:paraId="43FAC16D" w14:textId="77777777" w:rsidR="0035712B" w:rsidRDefault="00000000">
      <w:bookmarkStart w:id="95" w:name="Xf80d25734377a70c31b2521873a555b16d8dcee"/>
      <w:r>
        <w:rPr>
          <w:noProof/>
        </w:rPr>
        <mc:AlternateContent>
          <mc:Choice Requires="wps">
            <w:drawing>
              <wp:inline distT="0" distB="0" distL="0" distR="0" wp14:anchorId="151975D6" wp14:editId="0CCA5DC0">
                <wp:extent cx="5943600" cy="19050"/>
                <wp:effectExtent l="0" t="0" r="0" b="0"/>
                <wp:docPr id="171" name="Rectangle 17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F89C0A8" id="Rectangle 17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5"/>
    </w:p>
    <w:p w14:paraId="05DB4F4A" w14:textId="77777777" w:rsidR="0035712B" w:rsidRDefault="00000000">
      <w:pPr>
        <w:pStyle w:val="Heading4"/>
      </w:pPr>
      <w:r>
        <w:t>Thinker &amp; source catalogue — additions from this dive</w:t>
      </w:r>
    </w:p>
    <w:p w14:paraId="497D7172" w14:textId="77777777" w:rsidR="0035712B" w:rsidRDefault="00000000">
      <w:pPr>
        <w:pStyle w:val="Compact"/>
        <w:numPr>
          <w:ilvl w:val="0"/>
          <w:numId w:val="98"/>
        </w:numPr>
      </w:pPr>
      <w:r>
        <w:rPr>
          <w:b/>
          <w:bCs/>
        </w:rPr>
        <w:t>Leo Tolstoy</w:t>
      </w:r>
      <w:r>
        <w:t xml:space="preserve"> — </w:t>
      </w:r>
      <w:r>
        <w:rPr>
          <w:i/>
          <w:iCs/>
        </w:rPr>
        <w:t>The Death of Ivan Ilyich</w:t>
      </w:r>
      <w:r>
        <w:t xml:space="preserve"> (1886); the false life unmasked by mortality; the Caius syllogism; Gerasim’s honest compassion. </w:t>
      </w:r>
      <w:r>
        <w:rPr>
          <w:i/>
          <w:iCs/>
        </w:rPr>
        <w:t>The literary diagnosis.</w:t>
      </w:r>
    </w:p>
    <w:p w14:paraId="6C75F8A7" w14:textId="77777777" w:rsidR="0035712B" w:rsidRDefault="00000000">
      <w:pPr>
        <w:pStyle w:val="Compact"/>
        <w:numPr>
          <w:ilvl w:val="0"/>
          <w:numId w:val="99"/>
        </w:numPr>
      </w:pPr>
      <w:r>
        <w:rPr>
          <w:b/>
          <w:bCs/>
        </w:rPr>
        <w:lastRenderedPageBreak/>
        <w:t>Ernest Becker</w:t>
      </w:r>
      <w:r>
        <w:t xml:space="preserve"> — </w:t>
      </w:r>
      <w:r>
        <w:rPr>
          <w:i/>
          <w:iCs/>
        </w:rPr>
        <w:t>The Denial of Death</w:t>
      </w:r>
      <w:r>
        <w:t xml:space="preserve"> (1973); death-terror as mainspring; immortality projects (</w:t>
      </w:r>
      <w:r>
        <w:rPr>
          <w:i/>
          <w:iCs/>
        </w:rPr>
        <w:t>causa sui</w:t>
      </w:r>
      <w:r>
        <w:t xml:space="preserve">); society as hero-system; the need for a transcendent referent and the confessed absence of an answer. </w:t>
      </w:r>
      <w:r>
        <w:rPr>
          <w:i/>
          <w:iCs/>
        </w:rPr>
        <w:t>The modern Murdoch (§9.10).</w:t>
      </w:r>
    </w:p>
    <w:p w14:paraId="04D1217F" w14:textId="77777777" w:rsidR="0035712B" w:rsidRDefault="00000000">
      <w:pPr>
        <w:pStyle w:val="Compact"/>
        <w:numPr>
          <w:ilvl w:val="0"/>
          <w:numId w:val="100"/>
        </w:numPr>
      </w:pPr>
      <w:r>
        <w:rPr>
          <w:b/>
          <w:bCs/>
        </w:rPr>
        <w:t>Terror Management Theory</w:t>
      </w:r>
      <w:r>
        <w:t xml:space="preserve"> — Pyszczynski, Solomon, Greenberg (from 1986); mortality-salience experiments. </w:t>
      </w:r>
      <w:r>
        <w:rPr>
          <w:i/>
          <w:iCs/>
        </w:rPr>
        <w:t>Becker’s empirical descendant.</w:t>
      </w:r>
    </w:p>
    <w:p w14:paraId="65FEBE28" w14:textId="77777777" w:rsidR="0035712B" w:rsidRDefault="00000000">
      <w:pPr>
        <w:pStyle w:val="Compact"/>
        <w:numPr>
          <w:ilvl w:val="0"/>
          <w:numId w:val="101"/>
        </w:numPr>
      </w:pPr>
      <w:r>
        <w:rPr>
          <w:b/>
          <w:bCs/>
        </w:rPr>
        <w:t>Irvin Yalom</w:t>
      </w:r>
      <w:r>
        <w:t xml:space="preserve"> — existential psychiatry; </w:t>
      </w:r>
      <w:r>
        <w:rPr>
          <w:i/>
          <w:iCs/>
        </w:rPr>
        <w:t>Staring at the Sun</w:t>
      </w:r>
      <w:r>
        <w:t xml:space="preserve"> (2008); death as ultimate concern; </w:t>
      </w:r>
      <w:r>
        <w:rPr>
          <w:i/>
          <w:iCs/>
        </w:rPr>
        <w:t>rippling</w:t>
      </w:r>
      <w:r>
        <w:t xml:space="preserve">; the idea of death as awakener. </w:t>
      </w:r>
      <w:r>
        <w:rPr>
          <w:i/>
          <w:iCs/>
        </w:rPr>
        <w:t>Ground: secular; death as obliteration.</w:t>
      </w:r>
    </w:p>
    <w:p w14:paraId="78D1E722" w14:textId="77777777" w:rsidR="0035712B" w:rsidRDefault="00000000">
      <w:pPr>
        <w:pStyle w:val="Compact"/>
        <w:numPr>
          <w:ilvl w:val="0"/>
          <w:numId w:val="102"/>
        </w:numPr>
      </w:pPr>
      <w:r>
        <w:rPr>
          <w:b/>
          <w:bCs/>
        </w:rPr>
        <w:t>Atul Gawande</w:t>
      </w:r>
      <w:r>
        <w:t xml:space="preserve"> — </w:t>
      </w:r>
      <w:r>
        <w:rPr>
          <w:i/>
          <w:iCs/>
        </w:rPr>
        <w:t>Being Mortal</w:t>
      </w:r>
      <w:r>
        <w:t xml:space="preserve"> (2014); the medicalization of aging and death; “what does a good day look like?”; quality over survival; hospice as the humane model. </w:t>
      </w:r>
      <w:r>
        <w:rPr>
          <w:i/>
          <w:iCs/>
        </w:rPr>
        <w:t>Ground: secular; humanizing the wall.</w:t>
      </w:r>
    </w:p>
    <w:p w14:paraId="279D050E" w14:textId="77777777" w:rsidR="0035712B" w:rsidRDefault="00000000">
      <w:pPr>
        <w:pStyle w:val="Compact"/>
        <w:numPr>
          <w:ilvl w:val="0"/>
          <w:numId w:val="103"/>
        </w:numPr>
      </w:pPr>
      <w:r>
        <w:rPr>
          <w:b/>
          <w:bCs/>
        </w:rPr>
        <w:t>Cicely Saunders</w:t>
      </w:r>
      <w:r>
        <w:t xml:space="preserve"> — modern hospice (St Christopher’s, 1967); </w:t>
      </w:r>
      <w:r>
        <w:rPr>
          <w:i/>
          <w:iCs/>
        </w:rPr>
        <w:t>total pain</w:t>
      </w:r>
      <w:r>
        <w:t xml:space="preserve"> (physical, emotional, social, spiritual). </w:t>
      </w:r>
      <w:r>
        <w:rPr>
          <w:i/>
          <w:iCs/>
        </w:rPr>
        <w:t>Doorway-side; the spiritual dimension named.</w:t>
      </w:r>
    </w:p>
    <w:p w14:paraId="4DD7ADBF" w14:textId="77777777" w:rsidR="0035712B" w:rsidRDefault="00000000">
      <w:pPr>
        <w:pStyle w:val="Compact"/>
        <w:numPr>
          <w:ilvl w:val="0"/>
          <w:numId w:val="104"/>
        </w:numPr>
      </w:pPr>
      <w:r>
        <w:rPr>
          <w:b/>
          <w:bCs/>
        </w:rPr>
        <w:t>Elisabeth Kübler-Ross</w:t>
      </w:r>
      <w:r>
        <w:t xml:space="preserve"> — </w:t>
      </w:r>
      <w:r>
        <w:rPr>
          <w:i/>
          <w:iCs/>
        </w:rPr>
        <w:t>On Death and Dying</w:t>
      </w:r>
      <w:r>
        <w:t xml:space="preserve"> (1969); broke the silence; the five “stages” </w:t>
      </w:r>
      <w:r>
        <w:rPr>
          <w:rStyle w:val="VerbatimChar"/>
        </w:rPr>
        <w:t>[CONTESTED]</w:t>
      </w:r>
      <w:r>
        <w:t xml:space="preserve"> as non-sequential.</w:t>
      </w:r>
    </w:p>
    <w:p w14:paraId="6631530C" w14:textId="77777777" w:rsidR="0035712B" w:rsidRDefault="00000000">
      <w:pPr>
        <w:pStyle w:val="Compact"/>
        <w:numPr>
          <w:ilvl w:val="0"/>
          <w:numId w:val="105"/>
        </w:numPr>
      </w:pPr>
      <w:r>
        <w:rPr>
          <w:b/>
          <w:bCs/>
        </w:rPr>
        <w:t>Kathryn Mannix</w:t>
      </w:r>
      <w:r>
        <w:t xml:space="preserve"> — </w:t>
      </w:r>
      <w:r>
        <w:rPr>
          <w:i/>
          <w:iCs/>
        </w:rPr>
        <w:t>With the End in Mind</w:t>
      </w:r>
      <w:r>
        <w:t xml:space="preserve"> (2017); recovering the ordinary peaceful death.</w:t>
      </w:r>
    </w:p>
    <w:p w14:paraId="0D4BEB53" w14:textId="77777777" w:rsidR="0035712B" w:rsidRDefault="00000000">
      <w:bookmarkStart w:id="96" w:name="X7dcb7d06b802ec5399d1dbe3bed3db2d18e4ee0"/>
      <w:r>
        <w:rPr>
          <w:noProof/>
        </w:rPr>
        <mc:AlternateContent>
          <mc:Choice Requires="wps">
            <w:drawing>
              <wp:inline distT="0" distB="0" distL="0" distR="0" wp14:anchorId="4A7B3B68" wp14:editId="74A2E882">
                <wp:extent cx="5943600" cy="19050"/>
                <wp:effectExtent l="0" t="0" r="0" b="0"/>
                <wp:docPr id="173" name="Rectangle 17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60C3F05" id="Rectangle 17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6"/>
    </w:p>
    <w:p w14:paraId="348F7B36" w14:textId="77777777" w:rsidR="0035712B" w:rsidRDefault="00000000">
      <w:pPr>
        <w:pStyle w:val="Heading4"/>
      </w:pPr>
      <w:r>
        <w:t>Open threads carried forward</w:t>
      </w:r>
    </w:p>
    <w:p w14:paraId="7F7698F6" w14:textId="77777777" w:rsidR="0035712B" w:rsidRDefault="00000000">
      <w:pPr>
        <w:pStyle w:val="Compact"/>
        <w:numPr>
          <w:ilvl w:val="0"/>
          <w:numId w:val="106"/>
        </w:numPr>
      </w:pPr>
      <w:r>
        <w:rPr>
          <w:b/>
          <w:bCs/>
        </w:rPr>
        <w:t>Dive 10 (death as not the last word)</w:t>
      </w:r>
      <w:r>
        <w:t xml:space="preserve"> follows directly and is the load-bearing close: it is where the witness testifies to the ground that answers the question Becker (§9.10) declared open. The doorway-vs-wall divergence of §8.11 resolves there.</w:t>
      </w:r>
    </w:p>
    <w:p w14:paraId="03D7071D" w14:textId="77777777" w:rsidR="0035712B" w:rsidRDefault="00000000">
      <w:pPr>
        <w:pStyle w:val="Compact"/>
        <w:numPr>
          <w:ilvl w:val="0"/>
          <w:numId w:val="107"/>
        </w:numPr>
      </w:pPr>
      <w:r>
        <w:rPr>
          <w:b/>
          <w:bCs/>
        </w:rPr>
        <w:t>Becker (§9.10)</w:t>
      </w:r>
      <w:r>
        <w:t xml:space="preserve"> joins Murdoch (§7.7) and the empirical “morally grounded” finding (§3.15) as instances for the </w:t>
      </w:r>
      <w:r>
        <w:rPr>
          <w:b/>
          <w:bCs/>
        </w:rPr>
        <w:t>cross-cutting finding</w:t>
      </w:r>
      <w:r>
        <w:t xml:space="preserve"> — the secular thinker who reaches the dimension and names the missing ground without supplying it.</w:t>
      </w:r>
    </w:p>
    <w:p w14:paraId="6B388CAB" w14:textId="77777777" w:rsidR="0035712B" w:rsidRDefault="00000000">
      <w:pPr>
        <w:pStyle w:val="Compact"/>
        <w:numPr>
          <w:ilvl w:val="0"/>
          <w:numId w:val="108"/>
        </w:numPr>
      </w:pPr>
      <w:r>
        <w:rPr>
          <w:b/>
          <w:bCs/>
        </w:rPr>
        <w:t>The death-chapter of the formation thesis (§9.9)</w:t>
      </w:r>
      <w:r>
        <w:t xml:space="preserve"> is a strong, original connective claim and a candidate for the writing; light bridge to the author’s civilizational argument.</w:t>
      </w:r>
    </w:p>
    <w:p w14:paraId="7379719B" w14:textId="77777777" w:rsidR="0035712B" w:rsidRDefault="00000000">
      <w:pPr>
        <w:pStyle w:val="Compact"/>
        <w:numPr>
          <w:ilvl w:val="0"/>
          <w:numId w:val="109"/>
        </w:numPr>
      </w:pPr>
      <w:r>
        <w:rPr>
          <w:b/>
          <w:bCs/>
        </w:rPr>
        <w:t>Verification:</w:t>
      </w:r>
      <w:r>
        <w:t xml:space="preserve"> all empirical and bibliographic claims web-verified June 2026; figures and the Kübler-Ross caveat to be re-confirmed against primary sources before publication, per protocol.</w:t>
      </w:r>
    </w:p>
    <w:p w14:paraId="15084052" w14:textId="77777777" w:rsidR="0035712B" w:rsidRDefault="00000000">
      <w:bookmarkStart w:id="97" w:name="dive-9-the-modern-reckoning"/>
      <w:bookmarkStart w:id="98" w:name="open-threads-carried-forward-8"/>
      <w:r>
        <w:rPr>
          <w:noProof/>
        </w:rPr>
        <mc:AlternateContent>
          <mc:Choice Requires="wps">
            <w:drawing>
              <wp:inline distT="0" distB="0" distL="0" distR="0" wp14:anchorId="28BEBA5D" wp14:editId="38005448">
                <wp:extent cx="5943600" cy="19050"/>
                <wp:effectExtent l="0" t="0" r="0" b="0"/>
                <wp:docPr id="175" name="Rectangle 17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323A9636" id="Rectangle 17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7"/>
      <w:bookmarkEnd w:id="98"/>
    </w:p>
    <w:p w14:paraId="78984AC0" w14:textId="77777777" w:rsidR="0035712B" w:rsidRDefault="00000000">
      <w:pPr>
        <w:pStyle w:val="Heading3"/>
      </w:pPr>
      <w:r>
        <w:t>Dive 10 — Death as Not the Last Word</w:t>
      </w:r>
    </w:p>
    <w:p w14:paraId="0578941A" w14:textId="77777777" w:rsidR="0035712B" w:rsidRDefault="00000000">
      <w:pPr>
        <w:pStyle w:val="Heading4"/>
      </w:pPr>
      <w:r>
        <w:t>The governing question of this dive</w:t>
      </w:r>
    </w:p>
    <w:p w14:paraId="7DD64F95" w14:textId="77777777" w:rsidR="0035712B" w:rsidRDefault="00000000">
      <w:pPr>
        <w:pStyle w:val="FirstParagraph"/>
      </w:pPr>
      <w:r>
        <w:rPr>
          <w:b/>
          <w:bCs/>
        </w:rPr>
        <w:t>10.1</w:t>
      </w:r>
      <w:r>
        <w:t xml:space="preserve"> </w:t>
      </w:r>
      <w:r>
        <w:rPr>
          <w:rStyle w:val="VerbatimChar"/>
        </w:rPr>
        <w:t>[SYNTH]</w:t>
      </w:r>
      <w:r>
        <w:t xml:space="preserve"> Dive 8 ended on the divergence and reserved the answer: doorway or wall. Dive 9 showed the moderns reach the dimension and stop at the ground — Becker stating plainly that the question stayed open for him. This dive is where the answer the compendium reserved is given, and where, by the terms set in the Governing Note (§2), the witness testifies. It does so openly, having earned a hearing through the fairness of nine prior dives, and it is careful about the difference between </w:t>
      </w:r>
      <w:r>
        <w:rPr>
          <w:i/>
          <w:iCs/>
        </w:rPr>
        <w:t>testifying</w:t>
      </w:r>
      <w:r>
        <w:t xml:space="preserve"> to a ground and </w:t>
      </w:r>
      <w:r>
        <w:rPr>
          <w:i/>
          <w:iCs/>
        </w:rPr>
        <w:t>proving</w:t>
      </w:r>
      <w:r>
        <w:t xml:space="preserve"> it. The dive’s work is two-fold: to set the claim that death is not the last word beside its </w:t>
      </w:r>
      <w:r>
        <w:lastRenderedPageBreak/>
        <w:t>rivals at full strength, and to show what that claim, if held, does to everything the survey found before it.</w:t>
      </w:r>
    </w:p>
    <w:p w14:paraId="21B7F26E" w14:textId="77777777" w:rsidR="0035712B" w:rsidRDefault="00000000">
      <w:bookmarkStart w:id="99" w:name="the-governing-question-of-this-dive-8"/>
      <w:r>
        <w:rPr>
          <w:noProof/>
        </w:rPr>
        <mc:AlternateContent>
          <mc:Choice Requires="wps">
            <w:drawing>
              <wp:inline distT="0" distB="0" distL="0" distR="0" wp14:anchorId="7FAE2778" wp14:editId="572D1436">
                <wp:extent cx="5943600" cy="19050"/>
                <wp:effectExtent l="0" t="0" r="0" b="0"/>
                <wp:docPr id="177" name="Rectangle 17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74194DF6" id="Rectangle 17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99"/>
    </w:p>
    <w:p w14:paraId="28DC1DA2" w14:textId="77777777" w:rsidR="0035712B" w:rsidRDefault="00000000">
      <w:pPr>
        <w:pStyle w:val="Heading4"/>
      </w:pPr>
      <w:r>
        <w:t>I. The shape of the claim — death defeated, not merely survived</w:t>
      </w:r>
    </w:p>
    <w:p w14:paraId="1F69A81F" w14:textId="77777777" w:rsidR="0035712B" w:rsidRDefault="00000000">
      <w:pPr>
        <w:pStyle w:val="FirstParagraph"/>
      </w:pPr>
      <w:r>
        <w:rPr>
          <w:b/>
          <w:bCs/>
        </w:rPr>
        <w:t>10.2</w:t>
      </w:r>
      <w:r>
        <w:t xml:space="preserve"> </w:t>
      </w:r>
      <w:r>
        <w:rPr>
          <w:rStyle w:val="VerbatimChar"/>
        </w:rPr>
        <w:t>[TRAD]</w:t>
      </w:r>
      <w:r>
        <w:t xml:space="preserve"> “Death is not the last word” is itself a convergence before it is a divergence. Several traditions hold that death is not simple termination — and they should be set out fairly, because they are not the same claim. Plato’s soul is </w:t>
      </w:r>
      <w:r>
        <w:rPr>
          <w:i/>
          <w:iCs/>
        </w:rPr>
        <w:t>naturally immortal</w:t>
      </w:r>
      <w:r>
        <w:t xml:space="preserve">; death releases it from the body (Dive 8 §8.3). Buddhist liberation is release </w:t>
      </w:r>
      <w:r>
        <w:rPr>
          <w:i/>
          <w:iCs/>
        </w:rPr>
        <w:t>from</w:t>
      </w:r>
      <w:r>
        <w:t xml:space="preserve"> the cycle of rebirth, the extinguishing of the craving self. Hindu </w:t>
      </w:r>
      <w:r>
        <w:rPr>
          <w:i/>
          <w:iCs/>
        </w:rPr>
        <w:t>moksha</w:t>
      </w:r>
      <w:r>
        <w:t xml:space="preserve"> is the self’s union with Brahman. Each denies that death is the end; each means something different by the denial.</w:t>
      </w:r>
    </w:p>
    <w:p w14:paraId="33635FB1" w14:textId="77777777" w:rsidR="0035712B" w:rsidRDefault="00000000">
      <w:pPr>
        <w:pStyle w:val="BodyText"/>
      </w:pPr>
      <w:r>
        <w:rPr>
          <w:b/>
          <w:bCs/>
        </w:rPr>
        <w:t>10.3</w:t>
      </w:r>
      <w:r>
        <w:t xml:space="preserve"> </w:t>
      </w:r>
      <w:r>
        <w:rPr>
          <w:rStyle w:val="VerbatimChar"/>
        </w:rPr>
        <w:t>[TEXT]</w:t>
      </w:r>
      <w:r>
        <w:t xml:space="preserve"> </w:t>
      </w:r>
      <w:r>
        <w:rPr>
          <w:rStyle w:val="VerbatimChar"/>
        </w:rPr>
        <w:t>[TRAD]</w:t>
      </w:r>
      <w:r>
        <w:t xml:space="preserve"> The Christian claim is distinct from all three, and the distinction matters. It is not the soul’s natural immortality, not endless rebirth, not dissolution into the absolute. It is </w:t>
      </w:r>
      <w:r>
        <w:rPr>
          <w:i/>
          <w:iCs/>
        </w:rPr>
        <w:t>resurrection</w:t>
      </w:r>
      <w:r>
        <w:t xml:space="preserve"> — the whole person raised, by grace, because death itself has been </w:t>
      </w:r>
      <w:r>
        <w:rPr>
          <w:b/>
          <w:bCs/>
        </w:rPr>
        <w:t>defeated</w:t>
      </w:r>
      <w:r>
        <w:t xml:space="preserve">. Paul’s argument in 1 Corinthians 15 names death the last enemy to be destroyed and taunts a foe already beaten — </w:t>
      </w:r>
      <w:r>
        <w:rPr>
          <w:i/>
          <w:iCs/>
        </w:rPr>
        <w:t>where is your victory?</w:t>
      </w:r>
      <w:r>
        <w:t xml:space="preserve"> The Logos through whom all things were made (Dive 2 §2.8) entered death and broke it from inside; in John’s Gospel the claim is made in the first person — </w:t>
      </w:r>
      <w:r>
        <w:rPr>
          <w:i/>
          <w:iCs/>
        </w:rPr>
        <w:t>I am the resurrection and the life.</w:t>
      </w:r>
      <w:r>
        <w:t xml:space="preserve"> </w:t>
      </w:r>
      <w:r>
        <w:rPr>
          <w:rStyle w:val="VerbatimChar"/>
        </w:rPr>
        <w:t>[SYNTH]</w:t>
      </w:r>
      <w:r>
        <w:t xml:space="preserve"> So the doorway here is not a door that was always open (Plato) but one that was forced — death was real, an enemy, and was conquered. That is a different shape of hope than mere survival.</w:t>
      </w:r>
    </w:p>
    <w:p w14:paraId="065AC625" w14:textId="77777777" w:rsidR="0035712B" w:rsidRDefault="00000000">
      <w:bookmarkStart w:id="100" w:name="X1dffa0bfeb5da08ec5411c3e6f15422d4519c69"/>
      <w:r>
        <w:rPr>
          <w:noProof/>
        </w:rPr>
        <mc:AlternateContent>
          <mc:Choice Requires="wps">
            <w:drawing>
              <wp:inline distT="0" distB="0" distL="0" distR="0" wp14:anchorId="776D51ED" wp14:editId="37ECEA08">
                <wp:extent cx="5943600" cy="19050"/>
                <wp:effectExtent l="0" t="0" r="0" b="0"/>
                <wp:docPr id="179" name="Rectangle 17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6F3818E" id="Rectangle 17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0"/>
    </w:p>
    <w:p w14:paraId="63703FCC" w14:textId="77777777" w:rsidR="0035712B" w:rsidRDefault="00000000">
      <w:pPr>
        <w:pStyle w:val="Heading4"/>
      </w:pPr>
      <w:r>
        <w:t>II. The witness testifies</w:t>
      </w:r>
    </w:p>
    <w:p w14:paraId="644C6473" w14:textId="77777777" w:rsidR="0035712B" w:rsidRDefault="00000000">
      <w:pPr>
        <w:pStyle w:val="FirstParagraph"/>
      </w:pPr>
      <w:r>
        <w:rPr>
          <w:b/>
          <w:bCs/>
        </w:rPr>
        <w:t>10.4</w:t>
      </w:r>
      <w:r>
        <w:t xml:space="preserve"> </w:t>
      </w:r>
      <w:r>
        <w:rPr>
          <w:rStyle w:val="VerbatimChar"/>
        </w:rPr>
        <w:t>[WITNESS]</w:t>
      </w:r>
      <w:r>
        <w:t xml:space="preserve"> Here the book’s declared ground is stated in the open: the witness testifies that death is not the last word — that, in the words the whole hope rests on, the light shines in the darkness and the darkness has not overcome it (John 1:5). This is the conviction behind the resurrection, and it is offered here as testimony — received, held, and lived — not as a proof produced. The witness does not claim to have demonstrated the resurrection, nor to have refuted the wall. It claims to have found a ground, and it says so plainly rather than smuggling it in.</w:t>
      </w:r>
    </w:p>
    <w:p w14:paraId="61B68CD5" w14:textId="77777777" w:rsidR="0035712B" w:rsidRDefault="00000000">
      <w:pPr>
        <w:pStyle w:val="BodyText"/>
      </w:pPr>
      <w:r>
        <w:rPr>
          <w:b/>
          <w:bCs/>
        </w:rPr>
        <w:t>10.5</w:t>
      </w:r>
      <w:r>
        <w:t xml:space="preserve"> </w:t>
      </w:r>
      <w:r>
        <w:rPr>
          <w:rStyle w:val="VerbatimChar"/>
        </w:rPr>
        <w:t>[SYNTH]</w:t>
      </w:r>
      <w:r>
        <w:t xml:space="preserve"> The honesty this requires is exact, and it is the discipline that makes the testimony trustworthy. The wall — Heidegger’s finitude faced without illusion, Becker’s unanswered question, Yalom’s clear-eyed obliteration — is held in good faith by serious people, and the witness says so without condescension. It does not blame those who stand there (Governing Note §3a); it offers its ground as universal recognition — the light is offered to all, not kept as a possession (Governing Note §4). And it rests its standing not on having won an argument but on having been fair across nine dives: the fairness </w:t>
      </w:r>
      <w:r>
        <w:rPr>
          <w:i/>
          <w:iCs/>
        </w:rPr>
        <w:t>is</w:t>
      </w:r>
      <w:r>
        <w:t xml:space="preserve"> the authority (Governing Note §2). A reader who has watched the witness render Marcus, the Buddha, Murdoch, Becker, and Heidegger at full strength has reason to weigh what it says when at last it speaks for itself.</w:t>
      </w:r>
    </w:p>
    <w:p w14:paraId="3345A74A" w14:textId="77777777" w:rsidR="0035712B" w:rsidRDefault="00000000">
      <w:bookmarkStart w:id="101" w:name="ii.-the-witness-testifies"/>
      <w:r>
        <w:rPr>
          <w:noProof/>
        </w:rPr>
        <mc:AlternateContent>
          <mc:Choice Requires="wps">
            <w:drawing>
              <wp:inline distT="0" distB="0" distL="0" distR="0" wp14:anchorId="16DB1531" wp14:editId="6DC8BBEF">
                <wp:extent cx="5943600" cy="19050"/>
                <wp:effectExtent l="0" t="0" r="0" b="0"/>
                <wp:docPr id="181" name="Rectangle 18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0687B99" id="Rectangle 18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1"/>
    </w:p>
    <w:p w14:paraId="122F888B" w14:textId="77777777" w:rsidR="0035712B" w:rsidRDefault="00000000">
      <w:pPr>
        <w:pStyle w:val="Heading4"/>
      </w:pPr>
      <w:r>
        <w:lastRenderedPageBreak/>
        <w:t>III. What the answer does — the structural resolution</w:t>
      </w:r>
    </w:p>
    <w:p w14:paraId="4495FAFD" w14:textId="77777777" w:rsidR="0035712B" w:rsidRDefault="00000000">
      <w:pPr>
        <w:pStyle w:val="FirstParagraph"/>
      </w:pPr>
      <w:r>
        <w:rPr>
          <w:b/>
          <w:bCs/>
        </w:rPr>
        <w:t>10.6</w:t>
      </w:r>
      <w:r>
        <w:t xml:space="preserve"> </w:t>
      </w:r>
      <w:r>
        <w:rPr>
          <w:rStyle w:val="VerbatimChar"/>
        </w:rPr>
        <w:t>[SYNTH]</w:t>
      </w:r>
      <w:r>
        <w:t xml:space="preserve"> </w:t>
      </w:r>
      <w:r>
        <w:rPr>
          <w:rStyle w:val="VerbatimChar"/>
        </w:rPr>
        <w:t>[HYP]</w:t>
      </w:r>
      <w:r>
        <w:t xml:space="preserve"> If the ground is granted, it reframes the whole survey backward — and even if it is only entertained, it shows what the entire structure was reaching toward. The convergence-at-dimensions was real and is not disturbed: humility, self-knowledge, self-transcendence, attention, the facing of death — confirmed across the traditions, the secular science (Dive 3), the secular moralists (Dive 7), the moderns (Dive 9). The divergence was always at the ground. The witness’s answer to the ground now does three things to what came before:</w:t>
      </w:r>
    </w:p>
    <w:p w14:paraId="48CA821E" w14:textId="77777777" w:rsidR="0035712B" w:rsidRDefault="00000000">
      <w:pPr>
        <w:pStyle w:val="BodyText"/>
      </w:pPr>
      <w:r>
        <w:rPr>
          <w:b/>
          <w:bCs/>
        </w:rPr>
        <w:t>10.7</w:t>
      </w:r>
      <w:r>
        <w:t xml:space="preserve"> </w:t>
      </w:r>
      <w:r>
        <w:rPr>
          <w:rStyle w:val="VerbatimChar"/>
        </w:rPr>
        <w:t>[SYNTH]</w:t>
      </w:r>
      <w:r>
        <w:t xml:space="preserve"> </w:t>
      </w:r>
      <w:r>
        <w:rPr>
          <w:b/>
          <w:bCs/>
        </w:rPr>
        <w:t>Self-transcendence finds its object.</w:t>
      </w:r>
      <w:r>
        <w:t xml:space="preserve"> The question that recurred at every level — self-transcendence </w:t>
      </w:r>
      <w:r>
        <w:rPr>
          <w:i/>
          <w:iCs/>
        </w:rPr>
        <w:t>toward what?</w:t>
      </w:r>
      <w:r>
        <w:t xml:space="preserve"> (§4.13, §5.9, §6.16, §7.12) — is answered. The destination the secular thinkers reached toward and could not name (Murdoch’s transcendent Good, §7.7; Becker’s required-but-absent referent, §9.10) is, on the witness’s testimony, not the void and not mere rippling but the One who raised the dead. The road out of the self that every tradition walked (Dive 7 §7.11) has, on this account, an end worthy of the walking.</w:t>
      </w:r>
    </w:p>
    <w:p w14:paraId="1BEE9A4F" w14:textId="77777777" w:rsidR="0035712B" w:rsidRDefault="00000000">
      <w:pPr>
        <w:pStyle w:val="BodyText"/>
      </w:pPr>
      <w:r>
        <w:rPr>
          <w:b/>
          <w:bCs/>
        </w:rPr>
        <w:t>10.8</w:t>
      </w:r>
      <w:r>
        <w:t xml:space="preserve"> </w:t>
      </w:r>
      <w:r>
        <w:rPr>
          <w:rStyle w:val="VerbatimChar"/>
        </w:rPr>
        <w:t>[SYNTH]</w:t>
      </w:r>
      <w:r>
        <w:t xml:space="preserve"> </w:t>
      </w:r>
      <w:r>
        <w:rPr>
          <w:b/>
          <w:bCs/>
        </w:rPr>
        <w:t>“Learning to die is learning to live” completes.</w:t>
      </w:r>
      <w:r>
        <w:t xml:space="preserve"> The movement’s central finding (§8.10) reaches its full form: if death is a defeated enemy, then to learn to die is to learn to live </w:t>
      </w:r>
      <w:r>
        <w:rPr>
          <w:i/>
          <w:iCs/>
        </w:rPr>
        <w:t>toward</w:t>
      </w:r>
      <w:r>
        <w:t xml:space="preserve"> the life death cannot end. The doorway reframes the living — not as a flight from finitude but as its redemption. The facing of death (Dive 8) becomes neither Heideggerian resoluteness before a wall nor only the humane management of the approach (Gawande, §9.6), but hope before a beaten foe. The Christian </w:t>
      </w:r>
      <w:r>
        <w:rPr>
          <w:i/>
          <w:iCs/>
        </w:rPr>
        <w:t>ars moriendi</w:t>
      </w:r>
      <w:r>
        <w:t xml:space="preserve"> (§8.7) is completed: the five temptations of the deathbed are answered, not by technique, but by grace.</w:t>
      </w:r>
    </w:p>
    <w:p w14:paraId="2BA28146" w14:textId="77777777" w:rsidR="0035712B" w:rsidRDefault="00000000">
      <w:pPr>
        <w:pStyle w:val="BodyText"/>
      </w:pPr>
      <w:r>
        <w:rPr>
          <w:b/>
          <w:bCs/>
        </w:rPr>
        <w:t>10.9</w:t>
      </w:r>
      <w:r>
        <w:t xml:space="preserve"> </w:t>
      </w:r>
      <w:r>
        <w:rPr>
          <w:rStyle w:val="VerbatimChar"/>
        </w:rPr>
        <w:t>[SYNTH]</w:t>
      </w:r>
      <w:r>
        <w:t xml:space="preserve"> </w:t>
      </w:r>
      <w:r>
        <w:rPr>
          <w:b/>
          <w:bCs/>
        </w:rPr>
        <w:t>The book’s own posture is set.</w:t>
      </w:r>
      <w:r>
        <w:t xml:space="preserve"> The witness has shown the reader the dimensions all may share, surveyed the grounds at their full height, and testified to its own. It does not force the resolution; it shows what the ground does and leaves the reader to stand where they stand. The dimensions are common inheritance (Governing Note §4); the resolution is testimony. This is the witness stance brought to completion — and it is the only posture from which a book can both survey honestly and speak truly.</w:t>
      </w:r>
    </w:p>
    <w:p w14:paraId="1446133A" w14:textId="77777777" w:rsidR="0035712B" w:rsidRDefault="00000000">
      <w:bookmarkStart w:id="102" w:name="X7ddda436f6e99a33d4dd780c8589537f331b8e2"/>
      <w:r>
        <w:rPr>
          <w:noProof/>
        </w:rPr>
        <mc:AlternateContent>
          <mc:Choice Requires="wps">
            <w:drawing>
              <wp:inline distT="0" distB="0" distL="0" distR="0" wp14:anchorId="48DEB66F" wp14:editId="2309AED8">
                <wp:extent cx="5943600" cy="19050"/>
                <wp:effectExtent l="0" t="0" r="0" b="0"/>
                <wp:docPr id="183" name="Rectangle 18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441967E" id="Rectangle 18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2"/>
    </w:p>
    <w:p w14:paraId="5F5C65C5" w14:textId="77777777" w:rsidR="0035712B" w:rsidRDefault="00000000">
      <w:pPr>
        <w:pStyle w:val="Heading4"/>
      </w:pPr>
      <w:r>
        <w:t>IV. The reading — the close of the survey</w:t>
      </w:r>
    </w:p>
    <w:p w14:paraId="76B91E44" w14:textId="77777777" w:rsidR="0035712B" w:rsidRDefault="00000000">
      <w:pPr>
        <w:pStyle w:val="FirstParagraph"/>
      </w:pPr>
      <w:r>
        <w:rPr>
          <w:b/>
          <w:bCs/>
        </w:rPr>
        <w:t>10.10</w:t>
      </w:r>
      <w:r>
        <w:t xml:space="preserve"> </w:t>
      </w:r>
      <w:r>
        <w:rPr>
          <w:rStyle w:val="VerbatimChar"/>
        </w:rPr>
        <w:t>[SYNTH]</w:t>
      </w:r>
      <w:r>
        <w:t xml:space="preserve"> The arc is complete. </w:t>
      </w:r>
      <w:r>
        <w:rPr>
          <w:i/>
          <w:iCs/>
        </w:rPr>
        <w:t>Envision</w:t>
      </w:r>
      <w:r>
        <w:t xml:space="preserve"> asked what wisdom is, what grounds it, whether it can be measured, how it appears inside and out. </w:t>
      </w:r>
      <w:r>
        <w:rPr>
          <w:i/>
          <w:iCs/>
        </w:rPr>
        <w:t>Live</w:t>
      </w:r>
      <w:r>
        <w:t xml:space="preserve"> showed it practiced — as a way of life, as a canon of exercises, as the attention that is love. </w:t>
      </w:r>
      <w:r>
        <w:rPr>
          <w:i/>
          <w:iCs/>
        </w:rPr>
        <w:t>Die</w:t>
      </w:r>
      <w:r>
        <w:t xml:space="preserve"> asked how a wise life is tested and completed — by learning to die, by reckoning with the modern loss of that art, and finally by the claim that death is not the last word. Throughout, one structure held: convergence at the dimensions, divergence at the ground. Dive 10 is where the witness gives its account of the ground, at the highest stakes the subject contains, in the open.</w:t>
      </w:r>
    </w:p>
    <w:p w14:paraId="36CAFF87" w14:textId="77777777" w:rsidR="0035712B" w:rsidRDefault="00000000">
      <w:pPr>
        <w:pStyle w:val="BodyText"/>
      </w:pPr>
      <w:r>
        <w:rPr>
          <w:b/>
          <w:bCs/>
        </w:rPr>
        <w:t>10.11</w:t>
      </w:r>
      <w:r>
        <w:t xml:space="preserve"> </w:t>
      </w:r>
      <w:r>
        <w:rPr>
          <w:rStyle w:val="VerbatimChar"/>
        </w:rPr>
        <w:t>[SYNTH]</w:t>
      </w:r>
      <w:r>
        <w:t xml:space="preserve"> </w:t>
      </w:r>
      <w:r>
        <w:rPr>
          <w:rStyle w:val="VerbatimChar"/>
        </w:rPr>
        <w:t>[WITNESS]</w:t>
      </w:r>
      <w:r>
        <w:t xml:space="preserve"> The last word of the survey is therefore not an argument but a testimony, and it is offered as such: that the dimensions the traditions share are real and </w:t>
      </w:r>
      <w:r>
        <w:lastRenderedPageBreak/>
        <w:t>worth practicing by anyone, on any ground; that the question of the ground is the realest question a person faces, most of all at the end; and that the witness, having looked honestly at the wall, testifies to a doorway — the light the darkness has not overcome. The reader is left free, and addressed as one capable of recognizing the light if it is there.</w:t>
      </w:r>
    </w:p>
    <w:p w14:paraId="24B9BC61" w14:textId="77777777" w:rsidR="0035712B" w:rsidRDefault="00000000">
      <w:bookmarkStart w:id="103" w:name="iv.-the-reading-the-close-of-the-survey"/>
      <w:r>
        <w:rPr>
          <w:noProof/>
        </w:rPr>
        <mc:AlternateContent>
          <mc:Choice Requires="wps">
            <w:drawing>
              <wp:inline distT="0" distB="0" distL="0" distR="0" wp14:anchorId="45856B3C" wp14:editId="2A6FC3AD">
                <wp:extent cx="5943600" cy="19050"/>
                <wp:effectExtent l="0" t="0" r="0" b="0"/>
                <wp:docPr id="185" name="Rectangle 18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8C7B9BA" id="Rectangle 18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3"/>
    </w:p>
    <w:p w14:paraId="047CA305" w14:textId="77777777" w:rsidR="0035712B" w:rsidRDefault="00000000">
      <w:pPr>
        <w:pStyle w:val="Heading4"/>
      </w:pPr>
      <w:r>
        <w:t>Thinker &amp; source catalogue — additions from this dive</w:t>
      </w:r>
    </w:p>
    <w:p w14:paraId="3C8698C2" w14:textId="77777777" w:rsidR="0035712B" w:rsidRDefault="00000000">
      <w:pPr>
        <w:pStyle w:val="Compact"/>
        <w:numPr>
          <w:ilvl w:val="0"/>
          <w:numId w:val="110"/>
        </w:numPr>
      </w:pPr>
      <w:r>
        <w:rPr>
          <w:b/>
          <w:bCs/>
        </w:rPr>
        <w:t>The resurrection tradition</w:t>
      </w:r>
      <w:r>
        <w:t xml:space="preserve"> — 1 Corinthians 15 (death as the last, defeated enemy); John 1 (the Logos, the light unovercome); John 11 (the resurrection and the life). </w:t>
      </w:r>
      <w:r>
        <w:rPr>
          <w:i/>
          <w:iCs/>
        </w:rPr>
        <w:t>The witness’s ground.</w:t>
      </w:r>
    </w:p>
    <w:p w14:paraId="129F2F2F" w14:textId="77777777" w:rsidR="0035712B" w:rsidRDefault="00000000">
      <w:pPr>
        <w:pStyle w:val="Compact"/>
        <w:numPr>
          <w:ilvl w:val="0"/>
          <w:numId w:val="111"/>
        </w:numPr>
      </w:pPr>
      <w:r>
        <w:rPr>
          <w:b/>
          <w:bCs/>
        </w:rPr>
        <w:t>Comparative doorways</w:t>
      </w:r>
      <w:r>
        <w:t xml:space="preserve"> — Plato (the naturally immortal soul; Dive 8); Buddhist liberation from rebirth; Hindu </w:t>
      </w:r>
      <w:r>
        <w:rPr>
          <w:i/>
          <w:iCs/>
        </w:rPr>
        <w:t>moksha</w:t>
      </w:r>
      <w:r>
        <w:t xml:space="preserve">. </w:t>
      </w:r>
      <w:r>
        <w:rPr>
          <w:i/>
          <w:iCs/>
        </w:rPr>
        <w:t>Surveyed at full strength; distinguished from resurrection (§10.2–10.3).</w:t>
      </w:r>
    </w:p>
    <w:p w14:paraId="7FE1D657" w14:textId="77777777" w:rsidR="0035712B" w:rsidRDefault="00000000">
      <w:pPr>
        <w:pStyle w:val="Compact"/>
        <w:numPr>
          <w:ilvl w:val="0"/>
          <w:numId w:val="112"/>
        </w:numPr>
      </w:pPr>
      <w:r>
        <w:rPr>
          <w:b/>
          <w:bCs/>
        </w:rPr>
        <w:t>The contemplative tradition</w:t>
      </w:r>
      <w:r>
        <w:t xml:space="preserve"> — death faced in hope rather than resoluteness; the completion of the Christian </w:t>
      </w:r>
      <w:r>
        <w:rPr>
          <w:i/>
          <w:iCs/>
        </w:rPr>
        <w:t>ars moriendi</w:t>
      </w:r>
      <w:r>
        <w:t xml:space="preserve"> (§8.7). </w:t>
      </w:r>
      <w:r>
        <w:rPr>
          <w:i/>
          <w:iCs/>
        </w:rPr>
        <w:t>Cross-ref: Dive 6 (monastic/Ignatian), Dive 8.</w:t>
      </w:r>
    </w:p>
    <w:p w14:paraId="15E8D79F" w14:textId="77777777" w:rsidR="0035712B" w:rsidRDefault="00000000">
      <w:pPr>
        <w:pStyle w:val="Compact"/>
        <w:numPr>
          <w:ilvl w:val="0"/>
          <w:numId w:val="113"/>
        </w:numPr>
      </w:pPr>
      <w:r>
        <w:rPr>
          <w:b/>
          <w:bCs/>
        </w:rPr>
        <w:t>The wall, honored</w:t>
      </w:r>
      <w:r>
        <w:t xml:space="preserve"> — Heidegger, Becker, Yalom (Dives 8–9). </w:t>
      </w:r>
      <w:r>
        <w:rPr>
          <w:i/>
          <w:iCs/>
        </w:rPr>
        <w:t>Held in good faith; the testimony does not blame (§10.5).</w:t>
      </w:r>
    </w:p>
    <w:p w14:paraId="20A4A696" w14:textId="77777777" w:rsidR="0035712B" w:rsidRDefault="00000000">
      <w:bookmarkStart w:id="104" w:name="X3c3c26e1abf9ccedfaf0ff17df17264792a2a61"/>
      <w:r>
        <w:rPr>
          <w:noProof/>
        </w:rPr>
        <mc:AlternateContent>
          <mc:Choice Requires="wps">
            <w:drawing>
              <wp:inline distT="0" distB="0" distL="0" distR="0" wp14:anchorId="1CB28663" wp14:editId="07DA42D5">
                <wp:extent cx="5943600" cy="19050"/>
                <wp:effectExtent l="0" t="0" r="0" b="0"/>
                <wp:docPr id="187" name="Rectangle 18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F538113" id="Rectangle 18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4"/>
    </w:p>
    <w:p w14:paraId="67978854" w14:textId="77777777" w:rsidR="0035712B" w:rsidRDefault="00000000">
      <w:pPr>
        <w:pStyle w:val="Heading4"/>
      </w:pPr>
      <w:r>
        <w:t>Open threads carried forward</w:t>
      </w:r>
    </w:p>
    <w:p w14:paraId="3B55F56D" w14:textId="77777777" w:rsidR="0035712B" w:rsidRDefault="00000000">
      <w:pPr>
        <w:pStyle w:val="Compact"/>
        <w:numPr>
          <w:ilvl w:val="0"/>
          <w:numId w:val="114"/>
        </w:numPr>
      </w:pPr>
      <w:r>
        <w:rPr>
          <w:b/>
          <w:bCs/>
        </w:rPr>
        <w:t>The ten-dive sequence is complete.</w:t>
      </w:r>
      <w:r>
        <w:t xml:space="preserve"> Envision (1–4), Live (5–7), Die (8–10). The witness stance is now fully exercised: reserved in Dives 8–9, testified in Dive 10.</w:t>
      </w:r>
    </w:p>
    <w:p w14:paraId="6BB53A8D" w14:textId="77777777" w:rsidR="0035712B" w:rsidRDefault="00000000">
      <w:pPr>
        <w:pStyle w:val="Compact"/>
        <w:numPr>
          <w:ilvl w:val="0"/>
          <w:numId w:val="115"/>
        </w:numPr>
      </w:pPr>
      <w:r>
        <w:rPr>
          <w:b/>
          <w:bCs/>
        </w:rPr>
        <w:t>The cross-cutting finding</w:t>
      </w:r>
      <w:r>
        <w:t xml:space="preserve"> remains — by design, written last. Its spine is now fully gathered: the convergence-at-dimensions / divergence-at-ground structure, evidenced across the empirical turn (§3.15), the inside/outside axis (§4.13), Hadot–Foucault (§5.9), the practical canon (§6.15–6.16), Murdoch (§7.7, §7.12), the doorway/wall (§8.11), and Becker (§9.10), and resolved — for the witness — in Dive 10. It should be written to </w:t>
      </w:r>
      <w:r>
        <w:rPr>
          <w:i/>
          <w:iCs/>
        </w:rPr>
        <w:t>earn</w:t>
      </w:r>
      <w:r>
        <w:t xml:space="preserve"> its shape from these instances rather than assert it.</w:t>
      </w:r>
    </w:p>
    <w:p w14:paraId="229418E7" w14:textId="77777777" w:rsidR="0035712B" w:rsidRDefault="00000000">
      <w:pPr>
        <w:pStyle w:val="Compact"/>
        <w:numPr>
          <w:ilvl w:val="0"/>
          <w:numId w:val="116"/>
        </w:numPr>
      </w:pPr>
      <w:r>
        <w:rPr>
          <w:b/>
          <w:bCs/>
        </w:rPr>
        <w:t>Calibration note:</w:t>
      </w:r>
      <w:r>
        <w:t xml:space="preserve"> Dive 10 is testimony, tagged </w:t>
      </w:r>
      <w:r>
        <w:rPr>
          <w:rStyle w:val="VerbatimChar"/>
        </w:rPr>
        <w:t>[WITNESS]</w:t>
      </w:r>
      <w:r>
        <w:t xml:space="preserve">, deliberately distinct from </w:t>
      </w:r>
      <w:r>
        <w:rPr>
          <w:rStyle w:val="VerbatimChar"/>
        </w:rPr>
        <w:t>[EMPIRICAL]</w:t>
      </w:r>
      <w:r>
        <w:t xml:space="preserve"> and </w:t>
      </w:r>
      <w:r>
        <w:rPr>
          <w:rStyle w:val="VerbatimChar"/>
        </w:rPr>
        <w:t>[TEXT]</w:t>
      </w:r>
      <w:r>
        <w:t>. It must never be presented as proven; its strength is the fairness that precedes it, not a claim to demonstration. This distinction should be preserved in any writing drawn from this dive.</w:t>
      </w:r>
    </w:p>
    <w:p w14:paraId="268C1C21" w14:textId="77777777" w:rsidR="0035712B" w:rsidRDefault="00000000">
      <w:bookmarkStart w:id="105" w:name="movement-iii-die"/>
      <w:bookmarkStart w:id="106" w:name="dive-10-death-as-not-the-last-word"/>
      <w:bookmarkStart w:id="107" w:name="open-threads-carried-forward-9"/>
      <w:r>
        <w:rPr>
          <w:noProof/>
        </w:rPr>
        <mc:AlternateContent>
          <mc:Choice Requires="wps">
            <w:drawing>
              <wp:inline distT="0" distB="0" distL="0" distR="0" wp14:anchorId="5B42A810" wp14:editId="273660FB">
                <wp:extent cx="5943600" cy="19050"/>
                <wp:effectExtent l="0" t="0" r="0" b="0"/>
                <wp:docPr id="189" name="Rectangle 18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36D7164" id="Rectangle 18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5"/>
      <w:bookmarkEnd w:id="106"/>
      <w:bookmarkEnd w:id="107"/>
    </w:p>
    <w:p w14:paraId="681FD908" w14:textId="77777777" w:rsidR="0035712B" w:rsidRDefault="00000000">
      <w:pPr>
        <w:pStyle w:val="Heading2"/>
      </w:pPr>
      <w:r>
        <w:t>The Cross-Cutting Finding — Convergence at the Dimensions, Divergence at the Ground</w:t>
      </w:r>
    </w:p>
    <w:p w14:paraId="28D5E6D8" w14:textId="77777777" w:rsidR="0035712B" w:rsidRDefault="00000000">
      <w:pPr>
        <w:pStyle w:val="FirstParagraph"/>
      </w:pPr>
      <w:r>
        <w:rPr>
          <w:i/>
          <w:iCs/>
        </w:rPr>
        <w:t>Capstone synthesis. Written last, by design, so it earns its shape from the ten dives rather than imposing one. Calibrated to claim exactly what the survey supports — no more.</w:t>
      </w:r>
    </w:p>
    <w:p w14:paraId="3105A544" w14:textId="77777777" w:rsidR="0035712B" w:rsidRDefault="00000000">
      <w:pPr>
        <w:pStyle w:val="BodyText"/>
      </w:pPr>
      <w:r>
        <w:rPr>
          <w:b/>
          <w:bCs/>
        </w:rPr>
        <w:t>Status-tag legend:</w:t>
      </w:r>
      <w:r>
        <w:t xml:space="preserve"> </w:t>
      </w:r>
      <w:r>
        <w:rPr>
          <w:rStyle w:val="VerbatimChar"/>
        </w:rPr>
        <w:t>[TEXT]</w:t>
      </w:r>
      <w:r>
        <w:t xml:space="preserve"> </w:t>
      </w:r>
      <w:r>
        <w:rPr>
          <w:rStyle w:val="VerbatimChar"/>
        </w:rPr>
        <w:t>[TRAD]</w:t>
      </w:r>
      <w:r>
        <w:t xml:space="preserve"> </w:t>
      </w:r>
      <w:r>
        <w:rPr>
          <w:rStyle w:val="VerbatimChar"/>
        </w:rPr>
        <w:t>[SCHOLAR]</w:t>
      </w:r>
      <w:r>
        <w:t xml:space="preserve"> </w:t>
      </w:r>
      <w:r>
        <w:rPr>
          <w:rStyle w:val="VerbatimChar"/>
        </w:rPr>
        <w:t>[CONTESTED]</w:t>
      </w:r>
      <w:r>
        <w:t xml:space="preserve"> </w:t>
      </w:r>
      <w:r>
        <w:rPr>
          <w:rStyle w:val="VerbatimChar"/>
        </w:rPr>
        <w:t>[SYNTH]</w:t>
      </w:r>
      <w:r>
        <w:t xml:space="preserve"> </w:t>
      </w:r>
      <w:r>
        <w:rPr>
          <w:rStyle w:val="VerbatimChar"/>
        </w:rPr>
        <w:t>[HYP]</w:t>
      </w:r>
      <w:r>
        <w:t xml:space="preserve"> </w:t>
      </w:r>
      <w:r>
        <w:rPr>
          <w:rStyle w:val="VerbatimChar"/>
        </w:rPr>
        <w:t>[EMPIRICAL]</w:t>
      </w:r>
      <w:r>
        <w:t xml:space="preserve"> </w:t>
      </w:r>
      <w:r>
        <w:rPr>
          <w:rStyle w:val="VerbatimChar"/>
        </w:rPr>
        <w:t>[WITNESS]</w:t>
      </w:r>
      <w:r>
        <w:t xml:space="preserve"> </w:t>
      </w:r>
      <w:r>
        <w:rPr>
          <w:i/>
          <w:iCs/>
        </w:rPr>
        <w:t>(as defined in the Governing Note §9 and the Dive 10 addition).</w:t>
      </w:r>
    </w:p>
    <w:p w14:paraId="40A1EF67" w14:textId="77777777" w:rsidR="0035712B" w:rsidRDefault="00000000">
      <w:r>
        <w:rPr>
          <w:noProof/>
        </w:rPr>
        <w:lastRenderedPageBreak/>
        <mc:AlternateContent>
          <mc:Choice Requires="wps">
            <w:drawing>
              <wp:inline distT="0" distB="0" distL="0" distR="0" wp14:anchorId="6C3337A0" wp14:editId="03E9E90B">
                <wp:extent cx="5943600" cy="19050"/>
                <wp:effectExtent l="0" t="0" r="0" b="0"/>
                <wp:docPr id="191" name="Rectangle 19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CCB3A9D" id="Rectangle 19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p>
    <w:p w14:paraId="1F6A2A1F" w14:textId="77777777" w:rsidR="0035712B" w:rsidRDefault="00000000">
      <w:pPr>
        <w:pStyle w:val="Heading3"/>
      </w:pPr>
      <w:r>
        <w:t>I. The structure the survey revealed</w:t>
      </w:r>
    </w:p>
    <w:p w14:paraId="46DEA9B9" w14:textId="77777777" w:rsidR="0035712B" w:rsidRDefault="00000000">
      <w:pPr>
        <w:pStyle w:val="FirstParagraph"/>
      </w:pPr>
      <w:r>
        <w:rPr>
          <w:b/>
          <w:bCs/>
        </w:rPr>
        <w:t>CF.1</w:t>
      </w:r>
      <w:r>
        <w:t xml:space="preserve"> </w:t>
      </w:r>
      <w:r>
        <w:rPr>
          <w:rStyle w:val="VerbatimChar"/>
        </w:rPr>
        <w:t>[HYP]</w:t>
      </w:r>
      <w:r>
        <w:t xml:space="preserve"> One structure ran under all ten dives, and it held at every level the survey reached: </w:t>
      </w:r>
      <w:r>
        <w:rPr>
          <w:b/>
          <w:bCs/>
        </w:rPr>
        <w:t xml:space="preserve">the traditions, the sciences, and the moderns converge remarkably at the level of </w:t>
      </w:r>
      <w:r>
        <w:rPr>
          <w:b/>
          <w:bCs/>
          <w:i/>
          <w:iCs/>
        </w:rPr>
        <w:t>dimensions</w:t>
      </w:r>
      <w:r>
        <w:rPr>
          <w:b/>
          <w:bCs/>
        </w:rPr>
        <w:t xml:space="preserve">, and diverge sharply at the level of </w:t>
      </w:r>
      <w:r>
        <w:rPr>
          <w:b/>
          <w:bCs/>
          <w:i/>
          <w:iCs/>
        </w:rPr>
        <w:t>ground</w:t>
      </w:r>
      <w:r>
        <w:rPr>
          <w:b/>
          <w:bCs/>
        </w:rPr>
        <w:t>.</w:t>
      </w:r>
      <w:r>
        <w:t xml:space="preserve"> Same shape, different foundation. This began (Governing Note §5) as a hypothesis to be tested, not a thesis to be defended. Ten dives later it has earned the status of a finding — but a carefully bounded one, and the boundaries are the point. What follows states what the structure is, marshals the evidence on both sides, names the most interesting pattern within it, and then says plainly what the witness may and may not conclude from it.</w:t>
      </w:r>
    </w:p>
    <w:p w14:paraId="6721FC77" w14:textId="77777777" w:rsidR="0035712B" w:rsidRDefault="00000000">
      <w:bookmarkStart w:id="108" w:name="i.-the-structure-the-survey-revealed"/>
      <w:r>
        <w:rPr>
          <w:noProof/>
        </w:rPr>
        <mc:AlternateContent>
          <mc:Choice Requires="wps">
            <w:drawing>
              <wp:inline distT="0" distB="0" distL="0" distR="0" wp14:anchorId="3F9DFE79" wp14:editId="2B3839A1">
                <wp:extent cx="5943600" cy="19050"/>
                <wp:effectExtent l="0" t="0" r="0" b="0"/>
                <wp:docPr id="193" name="Rectangle 19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D0768D9" id="Rectangle 19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8"/>
    </w:p>
    <w:p w14:paraId="1DDF4E67" w14:textId="77777777" w:rsidR="0035712B" w:rsidRDefault="00000000">
      <w:pPr>
        <w:pStyle w:val="Heading3"/>
      </w:pPr>
      <w:r>
        <w:t>II. The convergence, marshaled</w:t>
      </w:r>
    </w:p>
    <w:p w14:paraId="1ACF91D9" w14:textId="77777777" w:rsidR="0035712B" w:rsidRDefault="00000000">
      <w:pPr>
        <w:pStyle w:val="FirstParagraph"/>
      </w:pPr>
      <w:r>
        <w:rPr>
          <w:b/>
          <w:bCs/>
        </w:rPr>
        <w:t>CF.2</w:t>
      </w:r>
      <w:r>
        <w:t xml:space="preserve"> </w:t>
      </w:r>
      <w:r>
        <w:rPr>
          <w:rStyle w:val="VerbatimChar"/>
        </w:rPr>
        <w:t>[SYNTH]</w:t>
      </w:r>
      <w:r>
        <w:t xml:space="preserve"> The dimensions that recur across radically different sources are a short, stable set: humility about the limits of one’s knowledge; self-knowledge; the ordering and mastery of desire; attention to others and the de-centering of the self; the acceptance of limit; and the honest facing of mortality.</w:t>
      </w:r>
    </w:p>
    <w:p w14:paraId="281AEFCD" w14:textId="77777777" w:rsidR="0035712B" w:rsidRDefault="00000000">
      <w:pPr>
        <w:pStyle w:val="BodyText"/>
      </w:pPr>
      <w:r>
        <w:rPr>
          <w:b/>
          <w:bCs/>
        </w:rPr>
        <w:t>CF.3</w:t>
      </w:r>
      <w:r>
        <w:t xml:space="preserve"> </w:t>
      </w:r>
      <w:r>
        <w:rPr>
          <w:rStyle w:val="VerbatimChar"/>
        </w:rPr>
        <w:t>[EMPIRICAL]</w:t>
      </w:r>
      <w:r>
        <w:t xml:space="preserve"> </w:t>
      </w:r>
      <w:r>
        <w:rPr>
          <w:rStyle w:val="VerbatimChar"/>
        </w:rPr>
        <w:t>[TEXT]</w:t>
      </w:r>
      <w:r>
        <w:t xml:space="preserve"> The evidence for the convergence is unusually strong because it arrives from sources that were not trying to agree. The traditions share the dimensions (Dive 2). Secular psychology, pursuing wisdom with no theological stake across four decades and rival labs, </w:t>
      </w:r>
      <w:r>
        <w:rPr>
          <w:i/>
          <w:iCs/>
        </w:rPr>
        <w:t>convened a task force and wrote the convergence down</w:t>
      </w:r>
      <w:r>
        <w:t xml:space="preserve"> — the Common Wisdom Model’s morally-grounded metacognition (Dive 3, §3.13–3.14). The practical exercises rhyme even across opposite metaphysics, with the Stoic/Epicurean pairing as the proof case — providence and the void, kindred disciplines (Dive 6, §6.8, §6.15). Attention as the moral act spans belief and unbelief, from Weil to Murdoch to the virtue revival (Dive 7, §7.11). And the imperative to face death rather than evade it spans pagan, Christian, and atheist alike (Dive 8, §8.10). The convergence is real, and it is the book’s common ground.</w:t>
      </w:r>
    </w:p>
    <w:p w14:paraId="2C6E4744" w14:textId="77777777" w:rsidR="0035712B" w:rsidRDefault="00000000">
      <w:bookmarkStart w:id="109" w:name="ii.-the-convergence-marshaled"/>
      <w:r>
        <w:rPr>
          <w:noProof/>
        </w:rPr>
        <mc:AlternateContent>
          <mc:Choice Requires="wps">
            <w:drawing>
              <wp:inline distT="0" distB="0" distL="0" distR="0" wp14:anchorId="2707AEE1" wp14:editId="6CCCBBF6">
                <wp:extent cx="5943600" cy="19050"/>
                <wp:effectExtent l="0" t="0" r="0" b="0"/>
                <wp:docPr id="195" name="Rectangle 19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EC543CA" id="Rectangle 19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09"/>
    </w:p>
    <w:p w14:paraId="1DB0D399" w14:textId="77777777" w:rsidR="0035712B" w:rsidRDefault="00000000">
      <w:pPr>
        <w:pStyle w:val="Heading3"/>
      </w:pPr>
      <w:r>
        <w:t>III. The divergence, marshaled</w:t>
      </w:r>
    </w:p>
    <w:p w14:paraId="23B24A88" w14:textId="77777777" w:rsidR="0035712B" w:rsidRDefault="00000000">
      <w:pPr>
        <w:pStyle w:val="FirstParagraph"/>
      </w:pPr>
      <w:r>
        <w:rPr>
          <w:b/>
          <w:bCs/>
        </w:rPr>
        <w:t>CF.4</w:t>
      </w:r>
      <w:r>
        <w:t xml:space="preserve"> </w:t>
      </w:r>
      <w:r>
        <w:rPr>
          <w:rStyle w:val="VerbatimChar"/>
        </w:rPr>
        <w:t>[SYNTH]</w:t>
      </w:r>
      <w:r>
        <w:t xml:space="preserve"> Beneath the shared dimensions the grounds genuinely differ, and survey cannot adjudicate them: a covenantal and incarnate God; impersonal cosmic reason; the void of dependent origination; the ineffable Way; nothing transcendent at all; a transcendent Good that is not God; the bare wall of finitude.</w:t>
      </w:r>
    </w:p>
    <w:p w14:paraId="09E214DB" w14:textId="77777777" w:rsidR="0035712B" w:rsidRDefault="00000000">
      <w:pPr>
        <w:pStyle w:val="BodyText"/>
      </w:pPr>
      <w:r>
        <w:rPr>
          <w:b/>
          <w:bCs/>
        </w:rPr>
        <w:t>CF.5</w:t>
      </w:r>
      <w:r>
        <w:t xml:space="preserve"> </w:t>
      </w:r>
      <w:r>
        <w:rPr>
          <w:rStyle w:val="VerbatimChar"/>
        </w:rPr>
        <w:t>[SYNTH]</w:t>
      </w:r>
      <w:r>
        <w:t xml:space="preserve"> Two instances are the sharpest. The </w:t>
      </w:r>
      <w:r>
        <w:rPr>
          <w:b/>
          <w:bCs/>
        </w:rPr>
        <w:t>Logos hinge</w:t>
      </w:r>
      <w:r>
        <w:t xml:space="preserve"> (§2.16): a single word carries the Stoic impersonal cosmic reason and John’s incarnate person — the same term, opposite grounds, the cleanest proof that shared vocabulary can hide total disagreement. And the </w:t>
      </w:r>
      <w:r>
        <w:rPr>
          <w:b/>
          <w:bCs/>
        </w:rPr>
        <w:t>doorway-versus-wall</w:t>
      </w:r>
      <w:r>
        <w:t xml:space="preserve"> divide at the deathbed (§8.11): everyone agrees you must face the end; no one agrees on what the end is — the divergence at the highest stakes the </w:t>
      </w:r>
      <w:r>
        <w:lastRenderedPageBreak/>
        <w:t>subject contains, because there the ground stops being abstract and becomes the concrete question of whether anything survives.</w:t>
      </w:r>
    </w:p>
    <w:p w14:paraId="4146DA0B" w14:textId="77777777" w:rsidR="0035712B" w:rsidRDefault="00000000">
      <w:bookmarkStart w:id="110" w:name="iii.-the-divergence-marshaled"/>
      <w:r>
        <w:rPr>
          <w:noProof/>
        </w:rPr>
        <mc:AlternateContent>
          <mc:Choice Requires="wps">
            <w:drawing>
              <wp:inline distT="0" distB="0" distL="0" distR="0" wp14:anchorId="0553BE7D" wp14:editId="78BF6719">
                <wp:extent cx="5943600" cy="19050"/>
                <wp:effectExtent l="0" t="0" r="0" b="0"/>
                <wp:docPr id="197" name="Rectangle 19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5ED91E6" id="Rectangle 19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0"/>
    </w:p>
    <w:p w14:paraId="5627B295" w14:textId="77777777" w:rsidR="0035712B" w:rsidRDefault="00000000">
      <w:pPr>
        <w:pStyle w:val="Heading3"/>
      </w:pPr>
      <w:r>
        <w:t>IV. The recurring figure — the dimension that gestures at a ground</w:t>
      </w:r>
    </w:p>
    <w:p w14:paraId="4BFAEF1F" w14:textId="77777777" w:rsidR="0035712B" w:rsidRDefault="00000000">
      <w:pPr>
        <w:pStyle w:val="FirstParagraph"/>
      </w:pPr>
      <w:r>
        <w:rPr>
          <w:b/>
          <w:bCs/>
        </w:rPr>
        <w:t>CF.6</w:t>
      </w:r>
      <w:r>
        <w:t xml:space="preserve"> </w:t>
      </w:r>
      <w:r>
        <w:rPr>
          <w:rStyle w:val="VerbatimChar"/>
        </w:rPr>
        <w:t>[SYNTH]</w:t>
      </w:r>
      <w:r>
        <w:t xml:space="preserve"> The most interesting thing the survey turned up is not the convergence or the divergence as such, but a figure who keeps reappearing inside the divergence: </w:t>
      </w:r>
      <w:r>
        <w:rPr>
          <w:b/>
          <w:bCs/>
        </w:rPr>
        <w:t>the rigorous secular inquirer who reaches the dimensions and finds, at the threshold, that they seem to require a ground the method cannot supply — and who then either gestures at it or refuses to name it.</w:t>
      </w:r>
    </w:p>
    <w:p w14:paraId="74B44ECD" w14:textId="77777777" w:rsidR="0035712B" w:rsidRDefault="00000000">
      <w:pPr>
        <w:pStyle w:val="BodyText"/>
      </w:pPr>
      <w:r>
        <w:rPr>
          <w:b/>
          <w:bCs/>
        </w:rPr>
        <w:t>CF.7</w:t>
      </w:r>
      <w:r>
        <w:t xml:space="preserve"> </w:t>
      </w:r>
      <w:r>
        <w:rPr>
          <w:rStyle w:val="VerbatimChar"/>
        </w:rPr>
        <w:t>[EMPIRICAL]</w:t>
      </w:r>
      <w:r>
        <w:t xml:space="preserve"> </w:t>
      </w:r>
      <w:r>
        <w:rPr>
          <w:rStyle w:val="VerbatimChar"/>
        </w:rPr>
        <w:t>[SCHOLAR]</w:t>
      </w:r>
      <w:r>
        <w:t xml:space="preserve"> The instances accumulated without being sought: - The Common Wisdom Model settles on </w:t>
      </w:r>
      <w:r>
        <w:rPr>
          <w:i/>
          <w:iCs/>
        </w:rPr>
        <w:t>morally-grounded</w:t>
      </w:r>
      <w:r>
        <w:t xml:space="preserve"> metacognition — naming morality as essential while leaving the ground of the morality unspecified (§3.15). - Levenson’s self-transcendence measure folds in “increasing spirituality” and belonging to “a greater whole,” without naming the whole (§4.13). - Hadot breaks with Foucault precisely to insist that the cosmic dimension — belonging to a whole — is essential, not optional self-fashioning (§5.9). - Murdoch, an atheist, keeps a transcendent Good at the center of moral life and refuses to call it God — the convergence and the divergence inside one mind (§7.7, §7.12). - Becker concludes that genuine heroism requires a transcendent referent, judges that modern hero-systems no longer convince, and confesses in print that he has no answer to put in their place (§9.10).</w:t>
      </w:r>
    </w:p>
    <w:p w14:paraId="444006CF" w14:textId="77777777" w:rsidR="0035712B" w:rsidRDefault="00000000">
      <w:pPr>
        <w:pStyle w:val="BodyText"/>
      </w:pPr>
      <w:r>
        <w:rPr>
          <w:b/>
          <w:bCs/>
        </w:rPr>
        <w:t>CF.8</w:t>
      </w:r>
      <w:r>
        <w:t xml:space="preserve"> </w:t>
      </w:r>
      <w:r>
        <w:rPr>
          <w:rStyle w:val="VerbatimChar"/>
        </w:rPr>
        <w:t>[SYNTH]</w:t>
      </w:r>
      <w:r>
        <w:t xml:space="preserve"> The pattern is real and observable: pursued rigorously and without theology, the dimensions keep gesturing at a transcendent reference. </w:t>
      </w:r>
      <w:r>
        <w:rPr>
          <w:b/>
          <w:bCs/>
        </w:rPr>
        <w:t>But here the calibration must be exact, because this is where a careless book would overreach.</w:t>
      </w:r>
      <w:r>
        <w:t xml:space="preserve"> The pattern is </w:t>
      </w:r>
      <w:r>
        <w:rPr>
          <w:i/>
          <w:iCs/>
        </w:rPr>
        <w:t>suggestive, not probative.</w:t>
      </w:r>
      <w:r>
        <w:t xml:space="preserve"> It shows that secular inquiry into wisdom recurrently finds itself reaching toward a ground it cannot furnish from within its own method. It does </w:t>
      </w:r>
      <w:r>
        <w:rPr>
          <w:b/>
          <w:bCs/>
        </w:rPr>
        <w:t>not</w:t>
      </w:r>
      <w:r>
        <w:t xml:space="preserve"> show that the ground is real. To claim that it did — to argue “they all keep reaching for it, therefore it is there” — would be precisely the crutch the Governing Note forbade (§2): the witness does not lean on a manufactured consensus, and it does not convert a pattern in the history of ideas into a proof of metaphysics. The finding concerns the </w:t>
      </w:r>
      <w:r>
        <w:rPr>
          <w:i/>
          <w:iCs/>
        </w:rPr>
        <w:t>shape of the inquiry</w:t>
      </w:r>
      <w:r>
        <w:t>, not the answer to it.</w:t>
      </w:r>
    </w:p>
    <w:p w14:paraId="67520219" w14:textId="77777777" w:rsidR="0035712B" w:rsidRDefault="00000000">
      <w:bookmarkStart w:id="111" w:name="X863a57c70b58d787ec3e5ac9bf01fa318b0be00"/>
      <w:r>
        <w:rPr>
          <w:noProof/>
        </w:rPr>
        <mc:AlternateContent>
          <mc:Choice Requires="wps">
            <w:drawing>
              <wp:inline distT="0" distB="0" distL="0" distR="0" wp14:anchorId="61E311EE" wp14:editId="5F33CE38">
                <wp:extent cx="5943600" cy="19050"/>
                <wp:effectExtent l="0" t="0" r="0" b="0"/>
                <wp:docPr id="199" name="Rectangle 19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56FD93F1" id="Rectangle 19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1"/>
    </w:p>
    <w:p w14:paraId="50275D30" w14:textId="77777777" w:rsidR="0035712B" w:rsidRDefault="00000000">
      <w:pPr>
        <w:pStyle w:val="Heading3"/>
      </w:pPr>
      <w:r>
        <w:t>V. What the witness may and may not claim</w:t>
      </w:r>
    </w:p>
    <w:p w14:paraId="112EC7B1" w14:textId="77777777" w:rsidR="0035712B" w:rsidRDefault="00000000">
      <w:pPr>
        <w:pStyle w:val="FirstParagraph"/>
      </w:pPr>
      <w:r>
        <w:rPr>
          <w:b/>
          <w:bCs/>
        </w:rPr>
        <w:t>CF.9</w:t>
      </w:r>
      <w:r>
        <w:t xml:space="preserve"> </w:t>
      </w:r>
      <w:r>
        <w:rPr>
          <w:rStyle w:val="VerbatimChar"/>
        </w:rPr>
        <w:t>[WITNESS]</w:t>
      </w:r>
      <w:r>
        <w:t xml:space="preserve"> The witness testifies to a ground — that death is not the last word, the light the darkness has not overcome (Dive 10). It does so </w:t>
      </w:r>
      <w:r>
        <w:rPr>
          <w:b/>
          <w:bCs/>
        </w:rPr>
        <w:t>openly, as testimony, and not as a verdict forced by the convergence.</w:t>
      </w:r>
      <w:r>
        <w:t xml:space="preserve"> The structure of this finding does not prove the witness’s ground, and the witness does not pretend it does. What the structure does is more modest and more honest: it shows that the dimensions are robustly shared and worth practicing on any ground; that the question of the ground is the realest question a person faces, most of all at the end; and that the dimensions, pursued to their limit, keep pointing past themselves.</w:t>
      </w:r>
    </w:p>
    <w:p w14:paraId="4AAF8F31" w14:textId="77777777" w:rsidR="0035712B" w:rsidRDefault="00000000">
      <w:pPr>
        <w:pStyle w:val="BodyText"/>
      </w:pPr>
      <w:r>
        <w:rPr>
          <w:b/>
          <w:bCs/>
        </w:rPr>
        <w:lastRenderedPageBreak/>
        <w:t>CF.10</w:t>
      </w:r>
      <w:r>
        <w:t xml:space="preserve"> </w:t>
      </w:r>
      <w:r>
        <w:rPr>
          <w:rStyle w:val="VerbatimChar"/>
        </w:rPr>
        <w:t>[SYNTH]</w:t>
      </w:r>
      <w:r>
        <w:t xml:space="preserve"> The witness’s standing rests, as it always has, on the fairness of the survey rather than on a claim of demonstration — </w:t>
      </w:r>
      <w:r>
        <w:rPr>
          <w:b/>
          <w:bCs/>
        </w:rPr>
        <w:t>the fairness is the authority</w:t>
      </w:r>
      <w:r>
        <w:t xml:space="preserve"> (§2). A reader who has watched the dimensions and the grounds set out at full strength, the secular thinkers honored, the wall held in good faith, has reason to weigh the testimony when at last it is given. That is the only kind of authority a witness has, and it is enough.</w:t>
      </w:r>
    </w:p>
    <w:p w14:paraId="4C1525FD" w14:textId="77777777" w:rsidR="0035712B" w:rsidRDefault="00000000">
      <w:bookmarkStart w:id="112" w:name="Xa95ecfc4d6c99ae5d49f975e5344f70aee2774f"/>
      <w:r>
        <w:rPr>
          <w:noProof/>
        </w:rPr>
        <mc:AlternateContent>
          <mc:Choice Requires="wps">
            <w:drawing>
              <wp:inline distT="0" distB="0" distL="0" distR="0" wp14:anchorId="617B36B9" wp14:editId="4EEF4520">
                <wp:extent cx="5943600" cy="19050"/>
                <wp:effectExtent l="0" t="0" r="0" b="0"/>
                <wp:docPr id="201" name="Rectangle 20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69D5645" id="Rectangle 20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2"/>
    </w:p>
    <w:p w14:paraId="625F36EC" w14:textId="77777777" w:rsidR="0035712B" w:rsidRDefault="00000000">
      <w:pPr>
        <w:pStyle w:val="Heading3"/>
      </w:pPr>
      <w:r>
        <w:t>VI. What the finding establishes — and what it does not</w:t>
      </w:r>
    </w:p>
    <w:p w14:paraId="79CAD7AB" w14:textId="77777777" w:rsidR="0035712B" w:rsidRDefault="00000000">
      <w:pPr>
        <w:pStyle w:val="FirstParagraph"/>
      </w:pPr>
      <w:r>
        <w:rPr>
          <w:b/>
          <w:bCs/>
        </w:rPr>
        <w:t>CF.11</w:t>
      </w:r>
      <w:r>
        <w:t xml:space="preserve"> </w:t>
      </w:r>
      <w:r>
        <w:rPr>
          <w:rStyle w:val="VerbatimChar"/>
        </w:rPr>
        <w:t>[SYNTH]</w:t>
      </w:r>
      <w:r>
        <w:t xml:space="preserve"> </w:t>
      </w:r>
      <w:r>
        <w:rPr>
          <w:b/>
          <w:bCs/>
        </w:rPr>
        <w:t>Establishes:</w:t>
      </w:r>
      <w:r>
        <w:t xml:space="preserve"> (a) the dimensions of wisdom converge robustly across traditions, sciences, and eras, reached even by inquirers with no wish to agree; (b) the grounds genuinely diverge, at stakes that rise to their highest at death, and survey alone cannot adjudicate among them; (c) rigorous secular inquiry into the dimensions recurrently gestures at a transcendent ground it cannot supply from within its method.</w:t>
      </w:r>
    </w:p>
    <w:p w14:paraId="75C0B673" w14:textId="77777777" w:rsidR="0035712B" w:rsidRDefault="00000000">
      <w:pPr>
        <w:pStyle w:val="BodyText"/>
      </w:pPr>
      <w:r>
        <w:rPr>
          <w:b/>
          <w:bCs/>
        </w:rPr>
        <w:t>CF.12</w:t>
      </w:r>
      <w:r>
        <w:t xml:space="preserve"> </w:t>
      </w:r>
      <w:r>
        <w:rPr>
          <w:rStyle w:val="VerbatimChar"/>
        </w:rPr>
        <w:t>[SYNTH]</w:t>
      </w:r>
      <w:r>
        <w:t xml:space="preserve"> </w:t>
      </w:r>
      <w:r>
        <w:rPr>
          <w:b/>
          <w:bCs/>
        </w:rPr>
        <w:t>Does not establish:</w:t>
      </w:r>
      <w:r>
        <w:t xml:space="preserve"> any particular ground. The resolution offered in Dive 10 is testimony, not demonstration, and is tagged </w:t>
      </w:r>
      <w:r>
        <w:rPr>
          <w:rStyle w:val="VerbatimChar"/>
        </w:rPr>
        <w:t>[WITNESS]</w:t>
      </w:r>
      <w:r>
        <w:t xml:space="preserve"> to keep it forever distinct from what the evidence proves. This is the deepest discipline of the whole compendium honored at its capstone: claims arrive at exactly the weight the evidence supports, and the most important claim of all — the ground — is offered as what it is, a witnessed conviction, not a conclusion compelled.</w:t>
      </w:r>
    </w:p>
    <w:p w14:paraId="7D24593A" w14:textId="77777777" w:rsidR="0035712B" w:rsidRDefault="00000000">
      <w:bookmarkStart w:id="113" w:name="X44c038120ba41539fceaa8f089301ef146f8824"/>
      <w:r>
        <w:rPr>
          <w:noProof/>
        </w:rPr>
        <mc:AlternateContent>
          <mc:Choice Requires="wps">
            <w:drawing>
              <wp:inline distT="0" distB="0" distL="0" distR="0" wp14:anchorId="4C3BC85F" wp14:editId="2C82C5FF">
                <wp:extent cx="5943600" cy="19050"/>
                <wp:effectExtent l="0" t="0" r="0" b="0"/>
                <wp:docPr id="203" name="Rectangle 20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116B3E2" id="Rectangle 20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3"/>
    </w:p>
    <w:p w14:paraId="76800538" w14:textId="77777777" w:rsidR="0035712B" w:rsidRDefault="00000000">
      <w:pPr>
        <w:pStyle w:val="Heading3"/>
      </w:pPr>
      <w:r>
        <w:t>VII. The finding as the book’s architecture</w:t>
      </w:r>
    </w:p>
    <w:p w14:paraId="28553EFD" w14:textId="77777777" w:rsidR="0035712B" w:rsidRDefault="00000000">
      <w:pPr>
        <w:pStyle w:val="FirstParagraph"/>
      </w:pPr>
      <w:r>
        <w:rPr>
          <w:b/>
          <w:bCs/>
        </w:rPr>
        <w:t>CF.13</w:t>
      </w:r>
      <w:r>
        <w:t xml:space="preserve"> </w:t>
      </w:r>
      <w:r>
        <w:rPr>
          <w:rStyle w:val="VerbatimChar"/>
        </w:rPr>
        <w:t>[SYNTH]</w:t>
      </w:r>
      <w:r>
        <w:t xml:space="preserve"> This structure is not only the survey’s conclusion; it is a candidate spine for </w:t>
      </w:r>
      <w:r>
        <w:rPr>
          <w:i/>
          <w:iCs/>
        </w:rPr>
        <w:t>The Wise Life</w:t>
      </w:r>
      <w:r>
        <w:t xml:space="preserve"> itself. Each movement — Envision, Live, Die — can be written to show the convergence at the dimensions and the divergence at the ground, read at both the personal and the social scale (the mirror, Governing Note §6), and building toward the witness’s testimony at the highest stakes, the question of death. The convergence is what the book offers every reader freely; the divergence is where it is honest; the testimony is what it gives in the open, having earned the hearing. Common dimensions, witnessed ground — that is the book, in one line.</w:t>
      </w:r>
    </w:p>
    <w:p w14:paraId="695E3D4F" w14:textId="77777777" w:rsidR="0035712B" w:rsidRDefault="00000000">
      <w:pPr>
        <w:pStyle w:val="BodyText"/>
      </w:pPr>
      <w:r>
        <w:rPr>
          <w:b/>
          <w:bCs/>
        </w:rPr>
        <w:t>CF.14</w:t>
      </w:r>
      <w:r>
        <w:t xml:space="preserve"> </w:t>
      </w:r>
      <w:r>
        <w:rPr>
          <w:rStyle w:val="VerbatimChar"/>
        </w:rPr>
        <w:t>[SYNTH]</w:t>
      </w:r>
      <w:r>
        <w:t xml:space="preserve"> And the two verbs of the title resolve into one. </w:t>
      </w:r>
      <w:r>
        <w:rPr>
          <w:i/>
          <w:iCs/>
        </w:rPr>
        <w:t>Learning to die is learning to live</w:t>
      </w:r>
      <w:r>
        <w:t xml:space="preserve"> (§8.10), completed in Dive 10: if the ground the witness testifies to holds, then the whole survey — every dimension practiced, every exercise performed, every act of attention and unselfing — is preparation not for a wall but for a doorway, and the wise life and the wise death are a single thing, attempted on whatever ground a person stands, and witnessed, by this book, toward the light.</w:t>
      </w:r>
    </w:p>
    <w:p w14:paraId="5F62F1E3" w14:textId="77777777" w:rsidR="0035712B" w:rsidRDefault="00000000">
      <w:r>
        <w:rPr>
          <w:noProof/>
        </w:rPr>
        <mc:AlternateContent>
          <mc:Choice Requires="wps">
            <w:drawing>
              <wp:inline distT="0" distB="0" distL="0" distR="0" wp14:anchorId="2FF2872D" wp14:editId="0638A464">
                <wp:extent cx="5943600" cy="19050"/>
                <wp:effectExtent l="0" t="0" r="0" b="0"/>
                <wp:docPr id="205" name="Rectangle 20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6EEF95A5" id="Rectangle 20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p>
    <w:p w14:paraId="71E68AC5" w14:textId="77777777" w:rsidR="0035712B" w:rsidRDefault="00000000">
      <w:pPr>
        <w:pStyle w:val="FirstParagraph"/>
      </w:pPr>
      <w:r>
        <w:rPr>
          <w:i/>
          <w:iCs/>
        </w:rPr>
        <w:t>End of the cross-cutting finding. With the ten dives, the governing note, and the consolidated catalogue, the compendium is complete.</w:t>
      </w:r>
    </w:p>
    <w:p w14:paraId="3466AAB1" w14:textId="77777777" w:rsidR="0035712B" w:rsidRDefault="00000000">
      <w:bookmarkStart w:id="114" w:name="Xb80ca79246fe9e6eb2dd1576c668263ac367a4a"/>
      <w:bookmarkStart w:id="115" w:name="X383cd8a49825f71baedde3c3f167f7afcab7328"/>
      <w:r>
        <w:rPr>
          <w:noProof/>
        </w:rPr>
        <mc:AlternateContent>
          <mc:Choice Requires="wps">
            <w:drawing>
              <wp:inline distT="0" distB="0" distL="0" distR="0" wp14:anchorId="4607380A" wp14:editId="1DFDBBD0">
                <wp:extent cx="5943600" cy="19050"/>
                <wp:effectExtent l="0" t="0" r="0" b="0"/>
                <wp:docPr id="207" name="Rectangle 207"/>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4A623F19" id="Rectangle 207"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4"/>
      <w:bookmarkEnd w:id="115"/>
    </w:p>
    <w:p w14:paraId="61AF1D31" w14:textId="77777777" w:rsidR="0035712B" w:rsidRDefault="00000000">
      <w:pPr>
        <w:pStyle w:val="Heading2"/>
      </w:pPr>
      <w:r>
        <w:lastRenderedPageBreak/>
        <w:t>Consolidated Thinker &amp; Source Catalogue</w:t>
      </w:r>
    </w:p>
    <w:p w14:paraId="15FFD94A" w14:textId="77777777" w:rsidR="0035712B" w:rsidRDefault="00000000">
      <w:pPr>
        <w:pStyle w:val="FirstParagraph"/>
      </w:pPr>
      <w:r>
        <w:rPr>
          <w:i/>
          <w:iCs/>
        </w:rPr>
        <w:t>Master reference. Gathers the per-dive catalogue entries into one cross-referenced list. “Ground” is noted where a figure stakes one; “—” where the contribution is methodological or descriptive. Section references point to the dives.</w:t>
      </w:r>
    </w:p>
    <w:p w14:paraId="133FA25C" w14:textId="77777777" w:rsidR="0035712B" w:rsidRDefault="00000000">
      <w:r>
        <w:rPr>
          <w:noProof/>
        </w:rPr>
        <mc:AlternateContent>
          <mc:Choice Requires="wps">
            <w:drawing>
              <wp:inline distT="0" distB="0" distL="0" distR="0" wp14:anchorId="2A1AEEC9" wp14:editId="66474ECA">
                <wp:extent cx="5943600" cy="19050"/>
                <wp:effectExtent l="0" t="0" r="0" b="0"/>
                <wp:docPr id="209" name="Rectangle 20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C56C948" id="Rectangle 209"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p>
    <w:p w14:paraId="0B4458ED" w14:textId="77777777" w:rsidR="0035712B" w:rsidRDefault="00000000">
      <w:pPr>
        <w:pStyle w:val="Heading3"/>
      </w:pPr>
      <w:r>
        <w:t>Movement I · Envision</w:t>
      </w:r>
    </w:p>
    <w:p w14:paraId="581423BC" w14:textId="77777777" w:rsidR="0035712B" w:rsidRDefault="00000000">
      <w:pPr>
        <w:pStyle w:val="FirstParagraph"/>
      </w:pPr>
      <w:r>
        <w:rPr>
          <w:b/>
          <w:bCs/>
        </w:rPr>
        <w:t>Aristotle</w:t>
      </w:r>
      <w:r>
        <w:t xml:space="preserve"> — the </w:t>
      </w:r>
      <w:r>
        <w:rPr>
          <w:i/>
          <w:iCs/>
        </w:rPr>
        <w:t>sophia</w:t>
      </w:r>
      <w:r>
        <w:t>/</w:t>
      </w:r>
      <w:r>
        <w:rPr>
          <w:i/>
          <w:iCs/>
        </w:rPr>
        <w:t>phronesis</w:t>
      </w:r>
      <w:r>
        <w:t xml:space="preserve"> distinction (</w:t>
      </w:r>
      <w:r>
        <w:rPr>
          <w:i/>
          <w:iCs/>
        </w:rPr>
        <w:t>Nicomachean Ethics</w:t>
      </w:r>
      <w:r>
        <w:t xml:space="preserve"> VI); the </w:t>
      </w:r>
      <w:r>
        <w:rPr>
          <w:i/>
          <w:iCs/>
        </w:rPr>
        <w:t>phronimos</w:t>
      </w:r>
      <w:r>
        <w:t xml:space="preserve"> as ethical standard; practical wisdom dependent on formed character; </w:t>
      </w:r>
      <w:r>
        <w:rPr>
          <w:i/>
          <w:iCs/>
        </w:rPr>
        <w:t>Ethics</w:t>
      </w:r>
      <w:r>
        <w:t xml:space="preserve"> opening onto </w:t>
      </w:r>
      <w:r>
        <w:rPr>
          <w:i/>
          <w:iCs/>
        </w:rPr>
        <w:t>Politics</w:t>
      </w:r>
      <w:r>
        <w:t xml:space="preserve"> (phronesis is already social). </w:t>
      </w:r>
      <w:r>
        <w:rPr>
          <w:i/>
          <w:iCs/>
        </w:rPr>
        <w:t>Dives 1, 6. Ground: —. Carries the dual-scale axis.</w:t>
      </w:r>
    </w:p>
    <w:p w14:paraId="17ABC083" w14:textId="77777777" w:rsidR="0035712B" w:rsidRDefault="00000000">
      <w:pPr>
        <w:pStyle w:val="BodyText"/>
      </w:pPr>
      <w:r>
        <w:rPr>
          <w:b/>
          <w:bCs/>
        </w:rPr>
        <w:t>Plato / Socrates</w:t>
      </w:r>
      <w:r>
        <w:t xml:space="preserve"> — the </w:t>
      </w:r>
      <w:r>
        <w:rPr>
          <w:i/>
          <w:iCs/>
        </w:rPr>
        <w:t>Meno</w:t>
      </w:r>
      <w:r>
        <w:t xml:space="preserve"> (priority of the definition; teachability of virtue; recollection; the aporetic close and divine dispensation); the </w:t>
      </w:r>
      <w:r>
        <w:rPr>
          <w:i/>
          <w:iCs/>
        </w:rPr>
        <w:t>Apology</w:t>
      </w:r>
      <w:r>
        <w:t xml:space="preserve"> (the Delphic </w:t>
      </w:r>
      <w:r>
        <w:rPr>
          <w:i/>
          <w:iCs/>
        </w:rPr>
        <w:t>know thyself</w:t>
      </w:r>
      <w:r>
        <w:t xml:space="preserve">; wisdom as awareness of one’s own ignorance); the </w:t>
      </w:r>
      <w:r>
        <w:rPr>
          <w:i/>
          <w:iCs/>
        </w:rPr>
        <w:t>Phaedo</w:t>
      </w:r>
      <w:r>
        <w:t xml:space="preserve"> (philosophy as rehearsal of death; the immortal soul). </w:t>
      </w:r>
      <w:r>
        <w:rPr>
          <w:i/>
          <w:iCs/>
        </w:rPr>
        <w:t>Dives 1, 4, 8, 10. Ground: the immortal soul / the Forms. Death as doorway.</w:t>
      </w:r>
    </w:p>
    <w:p w14:paraId="33051391" w14:textId="77777777" w:rsidR="0035712B" w:rsidRDefault="00000000">
      <w:pPr>
        <w:pStyle w:val="BodyText"/>
      </w:pPr>
      <w:r>
        <w:rPr>
          <w:b/>
          <w:bCs/>
        </w:rPr>
        <w:t>The Hebrew sages</w:t>
      </w:r>
      <w:r>
        <w:t xml:space="preserve"> — Proverbs (the fear of the LORD as beginning; Wisdom personified, ch. 8), Ecclesiastes (</w:t>
      </w:r>
      <w:r>
        <w:rPr>
          <w:i/>
          <w:iCs/>
        </w:rPr>
        <w:t>hevel</w:t>
      </w:r>
      <w:r>
        <w:t xml:space="preserve">, wisdom’s limit), Job (wisdom’s inscrutability; encounter, not explanation). </w:t>
      </w:r>
      <w:r>
        <w:rPr>
          <w:i/>
          <w:iCs/>
        </w:rPr>
        <w:t>Dive 2. Ground: a covenantal God.</w:t>
      </w:r>
    </w:p>
    <w:p w14:paraId="64CC816F" w14:textId="77777777" w:rsidR="0035712B" w:rsidRDefault="00000000">
      <w:pPr>
        <w:pStyle w:val="BodyText"/>
      </w:pPr>
      <w:r>
        <w:rPr>
          <w:b/>
          <w:bCs/>
        </w:rPr>
        <w:t>John the Evangelist / Paul</w:t>
      </w:r>
      <w:r>
        <w:t xml:space="preserve"> — the Logos personalized and incarnate (John 1); Christ as the Wisdom of God (1 Cor 1); the light unovercome (John 1:5); death the last, defeated enemy (1 Cor 15). </w:t>
      </w:r>
      <w:r>
        <w:rPr>
          <w:i/>
          <w:iCs/>
        </w:rPr>
        <w:t>Dives 2, 10. Ground: a person — the incarnate Logos. The witness’s ground.</w:t>
      </w:r>
    </w:p>
    <w:p w14:paraId="148E5E69" w14:textId="77777777" w:rsidR="0035712B" w:rsidRDefault="00000000">
      <w:pPr>
        <w:pStyle w:val="BodyText"/>
      </w:pPr>
      <w:r>
        <w:rPr>
          <w:b/>
          <w:bCs/>
        </w:rPr>
        <w:t>The Stoa (Cleanthes, Chrysippus)</w:t>
      </w:r>
      <w:r>
        <w:t xml:space="preserve"> — Logos as impersonal cosmic reason; living </w:t>
      </w:r>
      <w:r>
        <w:rPr>
          <w:i/>
          <w:iCs/>
        </w:rPr>
        <w:t>kata physin</w:t>
      </w:r>
      <w:r>
        <w:t xml:space="preserve">; the sage as asymptote. </w:t>
      </w:r>
      <w:r>
        <w:rPr>
          <w:i/>
          <w:iCs/>
        </w:rPr>
        <w:t>Dive 2. Ground: cosmic reason.</w:t>
      </w:r>
    </w:p>
    <w:p w14:paraId="34C8A8E1" w14:textId="77777777" w:rsidR="0035712B" w:rsidRDefault="00000000">
      <w:pPr>
        <w:pStyle w:val="BodyText"/>
      </w:pPr>
      <w:r>
        <w:rPr>
          <w:b/>
          <w:bCs/>
        </w:rPr>
        <w:t>The Prajñaparamita tradition</w:t>
      </w:r>
      <w:r>
        <w:t xml:space="preserve"> — </w:t>
      </w:r>
      <w:r>
        <w:rPr>
          <w:i/>
          <w:iCs/>
        </w:rPr>
        <w:t>prajña</w:t>
      </w:r>
      <w:r>
        <w:t xml:space="preserve">; </w:t>
      </w:r>
      <w:r>
        <w:rPr>
          <w:i/>
          <w:iCs/>
        </w:rPr>
        <w:t>śūnyatā</w:t>
      </w:r>
      <w:r>
        <w:t xml:space="preserve"> (emptiness); dependent origination; wisdom yoked to compassion. </w:t>
      </w:r>
      <w:r>
        <w:rPr>
          <w:i/>
          <w:iCs/>
        </w:rPr>
        <w:t>Dive 2. Ground: no transcendent ground.</w:t>
      </w:r>
    </w:p>
    <w:p w14:paraId="11038533" w14:textId="77777777" w:rsidR="0035712B" w:rsidRDefault="00000000">
      <w:pPr>
        <w:pStyle w:val="BodyText"/>
      </w:pPr>
      <w:r>
        <w:rPr>
          <w:b/>
          <w:bCs/>
        </w:rPr>
        <w:t>Laozi / Zhuangzi</w:t>
      </w:r>
      <w:r>
        <w:t xml:space="preserve"> — the unnameable Tao; </w:t>
      </w:r>
      <w:r>
        <w:rPr>
          <w:i/>
          <w:iCs/>
        </w:rPr>
        <w:t>wu wei</w:t>
      </w:r>
      <w:r>
        <w:t xml:space="preserve">. </w:t>
      </w:r>
      <w:r>
        <w:rPr>
          <w:i/>
          <w:iCs/>
        </w:rPr>
        <w:t>Dive 2. Ground: the ineffable immanent Way.</w:t>
      </w:r>
    </w:p>
    <w:p w14:paraId="4F19B79D" w14:textId="77777777" w:rsidR="0035712B" w:rsidRDefault="00000000">
      <w:pPr>
        <w:pStyle w:val="BodyText"/>
      </w:pPr>
      <w:r>
        <w:rPr>
          <w:b/>
          <w:bCs/>
        </w:rPr>
        <w:t>Paul Baltes &amp; Ursula Staudinger</w:t>
      </w:r>
      <w:r>
        <w:t xml:space="preserve"> — the Berlin Wisdom Paradigm; wisdom as expertise in life’s fundamental pragmatics; descriptive not prescriptive; general vs. personal wisdom. </w:t>
      </w:r>
      <w:r>
        <w:rPr>
          <w:i/>
          <w:iCs/>
        </w:rPr>
        <w:t>(2000, American Psychologist.) Dives 3, 4.</w:t>
      </w:r>
    </w:p>
    <w:p w14:paraId="28A5E3D1" w14:textId="77777777" w:rsidR="0035712B" w:rsidRDefault="00000000">
      <w:pPr>
        <w:pStyle w:val="BodyText"/>
      </w:pPr>
      <w:r>
        <w:rPr>
          <w:b/>
          <w:bCs/>
        </w:rPr>
        <w:t>Robert Sternberg</w:t>
      </w:r>
      <w:r>
        <w:t xml:space="preserve"> — the Balance Theory of Wisdom (the common good and values); teaching how, not what; implicit theories of wisdom (1985 — the shared lay prototype); the Unified 6P framework. </w:t>
      </w:r>
      <w:r>
        <w:rPr>
          <w:i/>
          <w:iCs/>
        </w:rPr>
        <w:t>(1998; 1985; Sternberg &amp; Karami, 2021.) Dives 3, 4.</w:t>
      </w:r>
    </w:p>
    <w:p w14:paraId="7F21A456" w14:textId="77777777" w:rsidR="0035712B" w:rsidRDefault="00000000">
      <w:pPr>
        <w:pStyle w:val="BodyText"/>
      </w:pPr>
      <w:r>
        <w:rPr>
          <w:b/>
          <w:bCs/>
        </w:rPr>
        <w:t>Monika Ardelt</w:t>
      </w:r>
      <w:r>
        <w:t xml:space="preserve"> — the Three-Dimensional Wisdom Scale; cognitive/reflective/affective; wisdom as a property of persons, not artifacts; compassion. </w:t>
      </w:r>
      <w:r>
        <w:rPr>
          <w:i/>
          <w:iCs/>
        </w:rPr>
        <w:t>(2003.) Dives 3, 4.</w:t>
      </w:r>
    </w:p>
    <w:p w14:paraId="48AA6829" w14:textId="77777777" w:rsidR="0035712B" w:rsidRDefault="00000000">
      <w:pPr>
        <w:pStyle w:val="BodyText"/>
      </w:pPr>
      <w:r>
        <w:rPr>
          <w:b/>
          <w:bCs/>
        </w:rPr>
        <w:t>Igor Grossmann</w:t>
      </w:r>
      <w:r>
        <w:t xml:space="preserve"> — wise reasoning; Solomon’s paradox (we reason more wisely about others than ourselves); self-distancing as the lever; virtue as moderator. </w:t>
      </w:r>
      <w:r>
        <w:rPr>
          <w:i/>
          <w:iCs/>
        </w:rPr>
        <w:t>(Grossmann &amp; Kross, 2014; Huynh et al., 2017.) Dives 3, 4.</w:t>
      </w:r>
    </w:p>
    <w:p w14:paraId="4C6ABC8B" w14:textId="77777777" w:rsidR="0035712B" w:rsidRDefault="00000000">
      <w:pPr>
        <w:pStyle w:val="BodyText"/>
      </w:pPr>
      <w:r>
        <w:rPr>
          <w:b/>
          <w:bCs/>
        </w:rPr>
        <w:lastRenderedPageBreak/>
        <w:t>Dilip Jeste &amp; Michael Thomas</w:t>
      </w:r>
      <w:r>
        <w:t xml:space="preserve"> — the San Diego Wisdom Scale; the neurobiological model; cross-cultural convergence incl. the </w:t>
      </w:r>
      <w:r>
        <w:rPr>
          <w:i/>
          <w:iCs/>
        </w:rPr>
        <w:t>Bhagavad Gita</w:t>
      </w:r>
      <w:r>
        <w:t xml:space="preserve">; spirituality added in SD-WISE-7. </w:t>
      </w:r>
      <w:r>
        <w:rPr>
          <w:i/>
          <w:iCs/>
        </w:rPr>
        <w:t>(2017/2019; Jeste &amp; Vahia, 2008.) Dive 3.</w:t>
      </w:r>
    </w:p>
    <w:p w14:paraId="35CFFD8F" w14:textId="77777777" w:rsidR="0035712B" w:rsidRDefault="00000000">
      <w:pPr>
        <w:pStyle w:val="BodyText"/>
      </w:pPr>
      <w:r>
        <w:rPr>
          <w:b/>
          <w:bCs/>
        </w:rPr>
        <w:t>The Toronto Wisdom Task Force / Common Wisdom Model</w:t>
      </w:r>
      <w:r>
        <w:t xml:space="preserve"> — morally-grounded metacognition; perspectival metacognition + moral aspirations. </w:t>
      </w:r>
      <w:r>
        <w:rPr>
          <w:i/>
          <w:iCs/>
        </w:rPr>
        <w:t>(Grossmann, Weststrate, Ardelt, et al., 2020, Psychological Inquiry.) Dive 3. The secular convergence, written down.</w:t>
      </w:r>
    </w:p>
    <w:p w14:paraId="073F215B" w14:textId="77777777" w:rsidR="0035712B" w:rsidRDefault="00000000">
      <w:pPr>
        <w:pStyle w:val="BodyText"/>
      </w:pPr>
      <w:r>
        <w:rPr>
          <w:b/>
          <w:bCs/>
        </w:rPr>
        <w:t>Judith Glück</w:t>
      </w:r>
      <w:r>
        <w:t xml:space="preserve"> (and critics) — measurement validity; lab vs. life; the limits of self-report. </w:t>
      </w:r>
      <w:r>
        <w:rPr>
          <w:i/>
          <w:iCs/>
        </w:rPr>
        <w:t>Dive 3. The calibration check.</w:t>
      </w:r>
    </w:p>
    <w:p w14:paraId="1BEF61B3" w14:textId="77777777" w:rsidR="0035712B" w:rsidRDefault="00000000">
      <w:pPr>
        <w:pStyle w:val="BodyText"/>
      </w:pPr>
      <w:r>
        <w:rPr>
          <w:b/>
          <w:bCs/>
        </w:rPr>
        <w:t>Nic Weststrate, Michel Ferrari &amp; Monika Ardelt</w:t>
      </w:r>
      <w:r>
        <w:t xml:space="preserve"> — wisdom-exemplar prototypes: practical, philosophical, benevolent. </w:t>
      </w:r>
      <w:r>
        <w:rPr>
          <w:i/>
          <w:iCs/>
        </w:rPr>
        <w:t>(2016.) Dive 4.</w:t>
      </w:r>
    </w:p>
    <w:p w14:paraId="4983C800" w14:textId="77777777" w:rsidR="0035712B" w:rsidRDefault="00000000">
      <w:pPr>
        <w:pStyle w:val="BodyText"/>
      </w:pPr>
      <w:r>
        <w:rPr>
          <w:b/>
          <w:bCs/>
        </w:rPr>
        <w:t>Michael Levenson &amp; Carolyn Aldwin</w:t>
      </w:r>
      <w:r>
        <w:t xml:space="preserve"> — wisdom as self-transcendence; the Adult Self-Transcendence Inventory; ego-quieting, non-attachment, interiority. </w:t>
      </w:r>
      <w:r>
        <w:rPr>
          <w:i/>
          <w:iCs/>
        </w:rPr>
        <w:t>(2005; 2019.) Dive 4. The bridge concept; folds in “spirituality” without naming the whole.</w:t>
      </w:r>
    </w:p>
    <w:p w14:paraId="5F9C75C6" w14:textId="77777777" w:rsidR="0035712B" w:rsidRDefault="00000000">
      <w:pPr>
        <w:pStyle w:val="BodyText"/>
      </w:pPr>
      <w:r>
        <w:rPr>
          <w:b/>
          <w:bCs/>
        </w:rPr>
        <w:t>The elder archetype</w:t>
      </w:r>
      <w:r>
        <w:t xml:space="preserve"> — cross-tradition (</w:t>
      </w:r>
      <w:r>
        <w:rPr>
          <w:i/>
          <w:iCs/>
        </w:rPr>
        <w:t>zaqen</w:t>
      </w:r>
      <w:r>
        <w:t xml:space="preserve">, </w:t>
      </w:r>
      <w:r>
        <w:rPr>
          <w:i/>
          <w:iCs/>
        </w:rPr>
        <w:t>presbyteros</w:t>
      </w:r>
      <w:r>
        <w:t xml:space="preserve">, the matured </w:t>
      </w:r>
      <w:r>
        <w:rPr>
          <w:i/>
          <w:iCs/>
        </w:rPr>
        <w:t>junzi</w:t>
      </w:r>
      <w:r>
        <w:t xml:space="preserve">, </w:t>
      </w:r>
      <w:r>
        <w:rPr>
          <w:i/>
          <w:iCs/>
        </w:rPr>
        <w:t>abba</w:t>
      </w:r>
      <w:r>
        <w:t>/</w:t>
      </w:r>
      <w:r>
        <w:rPr>
          <w:i/>
          <w:iCs/>
        </w:rPr>
        <w:t>amma</w:t>
      </w:r>
      <w:r>
        <w:t xml:space="preserve">, </w:t>
      </w:r>
      <w:r>
        <w:rPr>
          <w:i/>
          <w:iCs/>
        </w:rPr>
        <w:t>staretz</w:t>
      </w:r>
      <w:r>
        <w:t xml:space="preserve">, guru, indigenous elder); wisdom recognized, not credentialed. </w:t>
      </w:r>
      <w:r>
        <w:rPr>
          <w:i/>
          <w:iCs/>
        </w:rPr>
        <w:t>Dives 1, 4.</w:t>
      </w:r>
    </w:p>
    <w:p w14:paraId="105F1B9A" w14:textId="77777777" w:rsidR="0035712B" w:rsidRDefault="00000000">
      <w:bookmarkStart w:id="116" w:name="movement-i-envision-1"/>
      <w:r>
        <w:rPr>
          <w:noProof/>
        </w:rPr>
        <mc:AlternateContent>
          <mc:Choice Requires="wps">
            <w:drawing>
              <wp:inline distT="0" distB="0" distL="0" distR="0" wp14:anchorId="58A676F2" wp14:editId="052DFA69">
                <wp:extent cx="5943600" cy="19050"/>
                <wp:effectExtent l="0" t="0" r="0" b="0"/>
                <wp:docPr id="211" name="Rectangle 2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0E18838E" id="Rectangle 2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6"/>
    </w:p>
    <w:p w14:paraId="2BB2A14A" w14:textId="77777777" w:rsidR="0035712B" w:rsidRDefault="00000000">
      <w:pPr>
        <w:pStyle w:val="Heading3"/>
      </w:pPr>
      <w:r>
        <w:t>Movement II · Live</w:t>
      </w:r>
    </w:p>
    <w:p w14:paraId="7EE24C27" w14:textId="77777777" w:rsidR="0035712B" w:rsidRDefault="00000000">
      <w:pPr>
        <w:pStyle w:val="FirstParagraph"/>
      </w:pPr>
      <w:r>
        <w:rPr>
          <w:b/>
          <w:bCs/>
        </w:rPr>
        <w:t>Pierre Hadot</w:t>
      </w:r>
      <w:r>
        <w:t xml:space="preserve"> — philosophy as a way of life; forms of life vs. forms of discourse; spiritual exercises (</w:t>
      </w:r>
      <w:r>
        <w:rPr>
          <w:i/>
          <w:iCs/>
        </w:rPr>
        <w:t>askesis</w:t>
      </w:r>
      <w:r>
        <w:t xml:space="preserve">); </w:t>
      </w:r>
      <w:r>
        <w:rPr>
          <w:i/>
          <w:iCs/>
        </w:rPr>
        <w:t>prosoche</w:t>
      </w:r>
      <w:r>
        <w:t xml:space="preserve">, the view from above; self-realization through self-transcendence. </w:t>
      </w:r>
      <w:r>
        <w:rPr>
          <w:i/>
          <w:iCs/>
        </w:rPr>
        <w:t>(1995/1981; The Inner Citadel, 1998.) Dives 5, 6. The hinge of LIVE.</w:t>
      </w:r>
    </w:p>
    <w:p w14:paraId="4A905DD1" w14:textId="77777777" w:rsidR="0035712B" w:rsidRDefault="00000000">
      <w:pPr>
        <w:pStyle w:val="BodyText"/>
      </w:pPr>
      <w:r>
        <w:rPr>
          <w:b/>
          <w:bCs/>
        </w:rPr>
        <w:t>Arnold Davidson</w:t>
      </w:r>
      <w:r>
        <w:t xml:space="preserve"> — editor and principal interpreter of Hadot. </w:t>
      </w:r>
      <w:r>
        <w:rPr>
          <w:i/>
          <w:iCs/>
        </w:rPr>
        <w:t>Dive 5.</w:t>
      </w:r>
    </w:p>
    <w:p w14:paraId="1F6BF91D" w14:textId="77777777" w:rsidR="0035712B" w:rsidRDefault="00000000">
      <w:pPr>
        <w:pStyle w:val="BodyText"/>
      </w:pPr>
      <w:r>
        <w:rPr>
          <w:b/>
          <w:bCs/>
        </w:rPr>
        <w:t>Michel Foucault</w:t>
      </w:r>
      <w:r>
        <w:t xml:space="preserve"> — the care of the self; the aesthetics of existence. </w:t>
      </w:r>
      <w:r>
        <w:rPr>
          <w:i/>
          <w:iCs/>
        </w:rPr>
        <w:t>Dive 5. Hadot’s foil: convergence on practice, divergence on destination.</w:t>
      </w:r>
    </w:p>
    <w:p w14:paraId="0C408D61" w14:textId="77777777" w:rsidR="0035712B" w:rsidRDefault="00000000">
      <w:pPr>
        <w:pStyle w:val="BodyText"/>
      </w:pPr>
      <w:r>
        <w:rPr>
          <w:b/>
          <w:bCs/>
        </w:rPr>
        <w:t>Epictetus</w:t>
      </w:r>
      <w:r>
        <w:t xml:space="preserve"> — the dichotomy of control; freedom through right desire. </w:t>
      </w:r>
      <w:r>
        <w:rPr>
          <w:i/>
          <w:iCs/>
        </w:rPr>
        <w:t>(Enchiridion, Discourses.) Dive 6. Ground: cosmic Logos.</w:t>
      </w:r>
    </w:p>
    <w:p w14:paraId="237C6C6D" w14:textId="77777777" w:rsidR="0035712B" w:rsidRDefault="00000000">
      <w:pPr>
        <w:pStyle w:val="BodyText"/>
      </w:pPr>
      <w:r>
        <w:rPr>
          <w:b/>
          <w:bCs/>
        </w:rPr>
        <w:t>Marcus Aurelius</w:t>
      </w:r>
      <w:r>
        <w:t xml:space="preserve"> — the three disciplines (perception, desire, action); </w:t>
      </w:r>
      <w:r>
        <w:rPr>
          <w:i/>
          <w:iCs/>
        </w:rPr>
        <w:t>amor fati</w:t>
      </w:r>
      <w:r>
        <w:t xml:space="preserve">. </w:t>
      </w:r>
      <w:r>
        <w:rPr>
          <w:i/>
          <w:iCs/>
        </w:rPr>
        <w:t>(Meditations; via Hadot, The Inner Citadel.) Dive 6. Ground: Nature.</w:t>
      </w:r>
    </w:p>
    <w:p w14:paraId="77584F30" w14:textId="77777777" w:rsidR="0035712B" w:rsidRDefault="00000000">
      <w:pPr>
        <w:pStyle w:val="BodyText"/>
      </w:pPr>
      <w:r>
        <w:rPr>
          <w:b/>
          <w:bCs/>
        </w:rPr>
        <w:t>Seneca</w:t>
      </w:r>
      <w:r>
        <w:t xml:space="preserve"> — the sufficiency of a well-used life; the evening examination; premeditation of adversity; letters as formation. </w:t>
      </w:r>
      <w:r>
        <w:rPr>
          <w:i/>
          <w:iCs/>
        </w:rPr>
        <w:t>Dives 6, 8. Ground: Nature.</w:t>
      </w:r>
    </w:p>
    <w:p w14:paraId="11E2CA1E" w14:textId="77777777" w:rsidR="0035712B" w:rsidRDefault="00000000">
      <w:pPr>
        <w:pStyle w:val="BodyText"/>
      </w:pPr>
      <w:r>
        <w:rPr>
          <w:b/>
          <w:bCs/>
        </w:rPr>
        <w:t>Epicurus</w:t>
      </w:r>
      <w:r>
        <w:t xml:space="preserve"> — </w:t>
      </w:r>
      <w:r>
        <w:rPr>
          <w:i/>
          <w:iCs/>
        </w:rPr>
        <w:t>ataraxia</w:t>
      </w:r>
      <w:r>
        <w:t xml:space="preserve">; the tetrapharmakos; the calculus of desire; prudence as chief virtue. </w:t>
      </w:r>
      <w:r>
        <w:rPr>
          <w:i/>
          <w:iCs/>
        </w:rPr>
        <w:t>Dive 6. Ground: atoms and void. The proof case for convergence-at-practice / divergence-at-ground.</w:t>
      </w:r>
    </w:p>
    <w:p w14:paraId="4470A71B" w14:textId="77777777" w:rsidR="0035712B" w:rsidRDefault="00000000">
      <w:pPr>
        <w:pStyle w:val="BodyText"/>
      </w:pPr>
      <w:r>
        <w:rPr>
          <w:b/>
          <w:bCs/>
        </w:rPr>
        <w:t>The Confucian tradition</w:t>
      </w:r>
      <w:r>
        <w:t xml:space="preserve"> — </w:t>
      </w:r>
      <w:r>
        <w:rPr>
          <w:i/>
          <w:iCs/>
        </w:rPr>
        <w:t>junzi</w:t>
      </w:r>
      <w:r>
        <w:t xml:space="preserve">, </w:t>
      </w:r>
      <w:r>
        <w:rPr>
          <w:i/>
          <w:iCs/>
        </w:rPr>
        <w:t>li</w:t>
      </w:r>
      <w:r>
        <w:t xml:space="preserve">, </w:t>
      </w:r>
      <w:r>
        <w:rPr>
          <w:i/>
          <w:iCs/>
        </w:rPr>
        <w:t>ren</w:t>
      </w:r>
      <w:r>
        <w:t xml:space="preserve">, </w:t>
      </w:r>
      <w:r>
        <w:rPr>
          <w:i/>
          <w:iCs/>
        </w:rPr>
        <w:t>xue</w:t>
      </w:r>
      <w:r>
        <w:t xml:space="preserve">; daily self-examination; the </w:t>
      </w:r>
      <w:r>
        <w:rPr>
          <w:i/>
          <w:iCs/>
        </w:rPr>
        <w:t>Great Learning</w:t>
      </w:r>
      <w:r>
        <w:t xml:space="preserve"> chain (self → family → state → world). </w:t>
      </w:r>
      <w:r>
        <w:rPr>
          <w:i/>
          <w:iCs/>
        </w:rPr>
        <w:t>Dive 6. Ground: the Way / Heaven. Carries the explicit dual-scale of the mirror.</w:t>
      </w:r>
    </w:p>
    <w:p w14:paraId="30C79837" w14:textId="77777777" w:rsidR="0035712B" w:rsidRDefault="00000000">
      <w:pPr>
        <w:pStyle w:val="BodyText"/>
      </w:pPr>
      <w:r>
        <w:rPr>
          <w:b/>
          <w:bCs/>
        </w:rPr>
        <w:lastRenderedPageBreak/>
        <w:t>Benedict of Nursia</w:t>
      </w:r>
      <w:r>
        <w:t xml:space="preserve"> — </w:t>
      </w:r>
      <w:r>
        <w:rPr>
          <w:i/>
          <w:iCs/>
        </w:rPr>
        <w:t>ora et labora</w:t>
      </w:r>
      <w:r>
        <w:t xml:space="preserve">; the daily office; </w:t>
      </w:r>
      <w:r>
        <w:rPr>
          <w:i/>
          <w:iCs/>
        </w:rPr>
        <w:t>lectio divina</w:t>
      </w:r>
      <w:r>
        <w:t xml:space="preserve">; stability, obedience, humility. </w:t>
      </w:r>
      <w:r>
        <w:rPr>
          <w:i/>
          <w:iCs/>
        </w:rPr>
        <w:t>Dive 6. Ground: God. The fullest institutionalization of askesis.</w:t>
      </w:r>
    </w:p>
    <w:p w14:paraId="742754E9" w14:textId="77777777" w:rsidR="0035712B" w:rsidRDefault="00000000">
      <w:pPr>
        <w:pStyle w:val="BodyText"/>
      </w:pPr>
      <w:r>
        <w:rPr>
          <w:b/>
          <w:bCs/>
        </w:rPr>
        <w:t>Ignatius of Loyola</w:t>
      </w:r>
      <w:r>
        <w:t xml:space="preserve"> — the </w:t>
      </w:r>
      <w:r>
        <w:rPr>
          <w:i/>
          <w:iCs/>
        </w:rPr>
        <w:t>Spiritual Exercises</w:t>
      </w:r>
      <w:r>
        <w:t xml:space="preserve">; discernment of spirits; the examen. </w:t>
      </w:r>
      <w:r>
        <w:rPr>
          <w:i/>
          <w:iCs/>
        </w:rPr>
        <w:t>Dives 5, 6. Ground: God. The apex of the examination tradition; light bridge to authorial discernment.</w:t>
      </w:r>
    </w:p>
    <w:p w14:paraId="23F1742B" w14:textId="77777777" w:rsidR="0035712B" w:rsidRDefault="00000000">
      <w:pPr>
        <w:pStyle w:val="BodyText"/>
      </w:pPr>
      <w:r>
        <w:rPr>
          <w:b/>
          <w:bCs/>
        </w:rPr>
        <w:t>Martha Nussbaum</w:t>
      </w:r>
      <w:r>
        <w:t xml:space="preserve"> — </w:t>
      </w:r>
      <w:r>
        <w:rPr>
          <w:i/>
          <w:iCs/>
        </w:rPr>
        <w:t>The Therapy of Desire</w:t>
      </w:r>
      <w:r>
        <w:t xml:space="preserve">; the fragility of goodness; emotions as evaluative; literature as training in attention. </w:t>
      </w:r>
      <w:r>
        <w:rPr>
          <w:i/>
          <w:iCs/>
        </w:rPr>
        <w:t>Dives 5, 6, 7.</w:t>
      </w:r>
    </w:p>
    <w:p w14:paraId="01026353" w14:textId="77777777" w:rsidR="0035712B" w:rsidRDefault="00000000">
      <w:pPr>
        <w:pStyle w:val="BodyText"/>
      </w:pPr>
      <w:r>
        <w:rPr>
          <w:b/>
          <w:bCs/>
        </w:rPr>
        <w:t>Simone Weil</w:t>
      </w:r>
      <w:r>
        <w:t xml:space="preserve"> — attention as receptive, self-emptied looking; attention as the substance of love of neighbor and continuous with prayer; </w:t>
      </w:r>
      <w:r>
        <w:rPr>
          <w:i/>
          <w:iCs/>
        </w:rPr>
        <w:t>decreation</w:t>
      </w:r>
      <w:r>
        <w:t xml:space="preserve">. </w:t>
      </w:r>
      <w:r>
        <w:rPr>
          <w:i/>
          <w:iCs/>
        </w:rPr>
        <w:t>Dive 7. Ground: God.</w:t>
      </w:r>
    </w:p>
    <w:p w14:paraId="53A9287D" w14:textId="77777777" w:rsidR="0035712B" w:rsidRDefault="00000000">
      <w:pPr>
        <w:pStyle w:val="BodyText"/>
      </w:pPr>
      <w:r>
        <w:rPr>
          <w:b/>
          <w:bCs/>
        </w:rPr>
        <w:t>Iris Murdoch</w:t>
      </w:r>
      <w:r>
        <w:t xml:space="preserve"> — </w:t>
      </w:r>
      <w:r>
        <w:rPr>
          <w:i/>
          <w:iCs/>
        </w:rPr>
        <w:t>The Sovereignty of Good</w:t>
      </w:r>
      <w:r>
        <w:t xml:space="preserve"> (1970); attention as a just and loving perception; the ego as enemy; </w:t>
      </w:r>
      <w:r>
        <w:rPr>
          <w:i/>
          <w:iCs/>
        </w:rPr>
        <w:t>unselfing</w:t>
      </w:r>
      <w:r>
        <w:t xml:space="preserve">; love as the realization that the other is real; the transcendent Good. </w:t>
      </w:r>
      <w:r>
        <w:rPr>
          <w:i/>
          <w:iCs/>
        </w:rPr>
        <w:t>Dive 7. Ground: a Good that is not God. The jewel-case of convergence/divergence.</w:t>
      </w:r>
    </w:p>
    <w:p w14:paraId="1B832C3D" w14:textId="77777777" w:rsidR="0035712B" w:rsidRDefault="00000000">
      <w:pPr>
        <w:pStyle w:val="BodyText"/>
      </w:pPr>
      <w:r>
        <w:rPr>
          <w:b/>
          <w:bCs/>
        </w:rPr>
        <w:t>G. E. M. Anscombe</w:t>
      </w:r>
      <w:r>
        <w:t xml:space="preserve"> — “Modern Moral Philosophy” (1958); the launch of the virtue revival; obligation-talk severed from its lawgiver. </w:t>
      </w:r>
      <w:r>
        <w:rPr>
          <w:i/>
          <w:iCs/>
        </w:rPr>
        <w:t>Dive 7.</w:t>
      </w:r>
    </w:p>
    <w:p w14:paraId="1244E386" w14:textId="77777777" w:rsidR="0035712B" w:rsidRDefault="00000000">
      <w:pPr>
        <w:pStyle w:val="BodyText"/>
      </w:pPr>
      <w:r>
        <w:rPr>
          <w:b/>
          <w:bCs/>
        </w:rPr>
        <w:t>Philippa Foot</w:t>
      </w:r>
      <w:r>
        <w:t xml:space="preserve"> — </w:t>
      </w:r>
      <w:r>
        <w:rPr>
          <w:i/>
          <w:iCs/>
        </w:rPr>
        <w:t>Natural Goodness</w:t>
      </w:r>
      <w:r>
        <w:t xml:space="preserve">; virtue as the goodness proper to the human as a living kind. </w:t>
      </w:r>
      <w:r>
        <w:rPr>
          <w:i/>
          <w:iCs/>
        </w:rPr>
        <w:t>Dive 7. Ground: human nature.</w:t>
      </w:r>
    </w:p>
    <w:p w14:paraId="77D94A77" w14:textId="77777777" w:rsidR="0035712B" w:rsidRDefault="00000000">
      <w:pPr>
        <w:pStyle w:val="BodyText"/>
      </w:pPr>
      <w:r>
        <w:rPr>
          <w:b/>
          <w:bCs/>
        </w:rPr>
        <w:t>Alasdair MacIntyre</w:t>
      </w:r>
      <w:r>
        <w:t xml:space="preserve"> — </w:t>
      </w:r>
      <w:r>
        <w:rPr>
          <w:i/>
          <w:iCs/>
        </w:rPr>
        <w:t>After Virtue</w:t>
      </w:r>
      <w:r>
        <w:t xml:space="preserve"> (1981); virtues internal to practices; tradition and narrative unity; the need for a </w:t>
      </w:r>
      <w:r>
        <w:rPr>
          <w:i/>
          <w:iCs/>
        </w:rPr>
        <w:t>telos</w:t>
      </w:r>
      <w:r>
        <w:t xml:space="preserve">. </w:t>
      </w:r>
      <w:r>
        <w:rPr>
          <w:i/>
          <w:iCs/>
        </w:rPr>
        <w:t>Dive 7. Ground: tradition.</w:t>
      </w:r>
    </w:p>
    <w:p w14:paraId="660ABFAC" w14:textId="77777777" w:rsidR="0035712B" w:rsidRDefault="00000000">
      <w:bookmarkStart w:id="117" w:name="movement-ii-live-1"/>
      <w:r>
        <w:rPr>
          <w:noProof/>
        </w:rPr>
        <mc:AlternateContent>
          <mc:Choice Requires="wps">
            <w:drawing>
              <wp:inline distT="0" distB="0" distL="0" distR="0" wp14:anchorId="4FEC2F1D" wp14:editId="32D84261">
                <wp:extent cx="5943600" cy="19050"/>
                <wp:effectExtent l="0" t="0" r="0" b="0"/>
                <wp:docPr id="213" name="Rectangle 2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2B387619" id="Rectangle 21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bookmarkEnd w:id="117"/>
    </w:p>
    <w:p w14:paraId="456820D8" w14:textId="77777777" w:rsidR="0035712B" w:rsidRDefault="00000000">
      <w:pPr>
        <w:pStyle w:val="Heading3"/>
      </w:pPr>
      <w:r>
        <w:t>Movement III · Die</w:t>
      </w:r>
    </w:p>
    <w:p w14:paraId="46C0E5DF" w14:textId="77777777" w:rsidR="0035712B" w:rsidRDefault="00000000">
      <w:pPr>
        <w:pStyle w:val="FirstParagraph"/>
      </w:pPr>
      <w:r>
        <w:rPr>
          <w:b/>
          <w:bCs/>
        </w:rPr>
        <w:t>Cicero</w:t>
      </w:r>
      <w:r>
        <w:t xml:space="preserve"> — transmits the “to philosophize is to learn to die” formula from the </w:t>
      </w:r>
      <w:r>
        <w:rPr>
          <w:i/>
          <w:iCs/>
        </w:rPr>
        <w:t>Phaedo</w:t>
      </w:r>
      <w:r>
        <w:t xml:space="preserve"> tradition to the Renaissance. </w:t>
      </w:r>
      <w:r>
        <w:rPr>
          <w:i/>
          <w:iCs/>
        </w:rPr>
        <w:t>Dive 8.</w:t>
      </w:r>
    </w:p>
    <w:p w14:paraId="713F68F6" w14:textId="77777777" w:rsidR="0035712B" w:rsidRDefault="00000000">
      <w:pPr>
        <w:pStyle w:val="BodyText"/>
      </w:pPr>
      <w:r>
        <w:rPr>
          <w:b/>
          <w:bCs/>
        </w:rPr>
        <w:t>Michel de Montaigne</w:t>
      </w:r>
      <w:r>
        <w:t xml:space="preserve"> — “That to Philosophize Is to Learn to Die” (1580); the early Stoic </w:t>
      </w:r>
      <w:r>
        <w:rPr>
          <w:i/>
          <w:iCs/>
        </w:rPr>
        <w:t>memento mori</w:t>
      </w:r>
      <w:r>
        <w:t xml:space="preserve">; the unmasking of death’s ceremony; the later turn from rehearsing death to living well. </w:t>
      </w:r>
      <w:r>
        <w:rPr>
          <w:i/>
          <w:iCs/>
        </w:rPr>
        <w:t>Dive 8. Ground: Nature (held loosely). The internal shift: learn-to-die becomes learn-to-live.</w:t>
      </w:r>
    </w:p>
    <w:p w14:paraId="28AA941D" w14:textId="77777777" w:rsidR="0035712B" w:rsidRDefault="00000000">
      <w:pPr>
        <w:pStyle w:val="BodyText"/>
      </w:pPr>
      <w:r>
        <w:rPr>
          <w:b/>
          <w:bCs/>
        </w:rPr>
        <w:t xml:space="preserve">The </w:t>
      </w:r>
      <w:r>
        <w:rPr>
          <w:b/>
          <w:bCs/>
          <w:i/>
          <w:iCs/>
        </w:rPr>
        <w:t>ars moriendi</w:t>
      </w:r>
      <w:r>
        <w:rPr>
          <w:b/>
          <w:bCs/>
        </w:rPr>
        <w:t xml:space="preserve"> tradition</w:t>
      </w:r>
      <w:r>
        <w:t xml:space="preserve"> — early-15th-c. manuals; dying as a teachable craft; the five temptations and their consolations; the deathbed as spiritual battle. </w:t>
      </w:r>
      <w:r>
        <w:rPr>
          <w:i/>
          <w:iCs/>
        </w:rPr>
        <w:t>Dives 8, 10. Ground: Christian judgment and resurrection. Death as doorway onto judgment.</w:t>
      </w:r>
    </w:p>
    <w:p w14:paraId="3300E1D8" w14:textId="77777777" w:rsidR="0035712B" w:rsidRDefault="00000000">
      <w:pPr>
        <w:pStyle w:val="BodyText"/>
      </w:pPr>
      <w:r>
        <w:rPr>
          <w:b/>
          <w:bCs/>
        </w:rPr>
        <w:t>Martin Heidegger</w:t>
      </w:r>
      <w:r>
        <w:t xml:space="preserve"> — </w:t>
      </w:r>
      <w:r>
        <w:rPr>
          <w:i/>
          <w:iCs/>
        </w:rPr>
        <w:t>Being and Time</w:t>
      </w:r>
      <w:r>
        <w:t xml:space="preserve"> (1927); being-toward-death; </w:t>
      </w:r>
      <w:r>
        <w:rPr>
          <w:i/>
          <w:iCs/>
        </w:rPr>
        <w:t>das Man</w:t>
      </w:r>
      <w:r>
        <w:t xml:space="preserve">’s evasion; anticipatory resoluteness; death as the whole-making limit. </w:t>
      </w:r>
      <w:r>
        <w:rPr>
          <w:i/>
          <w:iCs/>
        </w:rPr>
        <w:t>Dives 8, 9, 10. Ground: nothing beyond. Death as wall — held in good faith.</w:t>
      </w:r>
    </w:p>
    <w:p w14:paraId="43E4F5FB" w14:textId="77777777" w:rsidR="0035712B" w:rsidRDefault="00000000">
      <w:pPr>
        <w:pStyle w:val="BodyText"/>
      </w:pPr>
      <w:r>
        <w:rPr>
          <w:b/>
          <w:bCs/>
        </w:rPr>
        <w:t>Leo Tolstoy</w:t>
      </w:r>
      <w:r>
        <w:t xml:space="preserve"> — </w:t>
      </w:r>
      <w:r>
        <w:rPr>
          <w:i/>
          <w:iCs/>
        </w:rPr>
        <w:t>The Death of Ivan Ilyich</w:t>
      </w:r>
      <w:r>
        <w:t xml:space="preserve"> (1886); the false life unmasked by mortality; the Caius syllogism; Gerasim’s honest compassion. </w:t>
      </w:r>
      <w:r>
        <w:rPr>
          <w:i/>
          <w:iCs/>
        </w:rPr>
        <w:t>Dive 9. The literary diagnosis.</w:t>
      </w:r>
    </w:p>
    <w:p w14:paraId="41BD8835" w14:textId="77777777" w:rsidR="0035712B" w:rsidRDefault="00000000">
      <w:pPr>
        <w:pStyle w:val="BodyText"/>
      </w:pPr>
      <w:r>
        <w:rPr>
          <w:b/>
          <w:bCs/>
        </w:rPr>
        <w:t>Ernest Becker</w:t>
      </w:r>
      <w:r>
        <w:t xml:space="preserve"> — </w:t>
      </w:r>
      <w:r>
        <w:rPr>
          <w:i/>
          <w:iCs/>
        </w:rPr>
        <w:t>The Denial of Death</w:t>
      </w:r>
      <w:r>
        <w:t xml:space="preserve"> (1973); death-terror as mainspring; immortality projects (</w:t>
      </w:r>
      <w:r>
        <w:rPr>
          <w:i/>
          <w:iCs/>
        </w:rPr>
        <w:t>causa sui</w:t>
      </w:r>
      <w:r>
        <w:t xml:space="preserve">); society as hero-system; the need for a transcendent referent and the confessed absence of an answer. </w:t>
      </w:r>
      <w:r>
        <w:rPr>
          <w:i/>
          <w:iCs/>
        </w:rPr>
        <w:t>Dive 9. The modern Murdoch.</w:t>
      </w:r>
    </w:p>
    <w:p w14:paraId="1F1F33EB" w14:textId="77777777" w:rsidR="0035712B" w:rsidRDefault="00000000">
      <w:pPr>
        <w:pStyle w:val="BodyText"/>
      </w:pPr>
      <w:r>
        <w:rPr>
          <w:b/>
          <w:bCs/>
        </w:rPr>
        <w:lastRenderedPageBreak/>
        <w:t>Terror Management Theory</w:t>
      </w:r>
      <w:r>
        <w:t xml:space="preserve"> — Pyszczynski, Solomon, Greenberg (from 1986); mortality-salience experiments. </w:t>
      </w:r>
      <w:r>
        <w:rPr>
          <w:i/>
          <w:iCs/>
        </w:rPr>
        <w:t>Dive 9. Becker’s empirical descendant.</w:t>
      </w:r>
    </w:p>
    <w:p w14:paraId="0B178FF9" w14:textId="77777777" w:rsidR="0035712B" w:rsidRDefault="00000000">
      <w:pPr>
        <w:pStyle w:val="BodyText"/>
      </w:pPr>
      <w:r>
        <w:rPr>
          <w:b/>
          <w:bCs/>
        </w:rPr>
        <w:t>Irvin Yalom</w:t>
      </w:r>
      <w:r>
        <w:t xml:space="preserve"> — existential psychiatry; </w:t>
      </w:r>
      <w:r>
        <w:rPr>
          <w:i/>
          <w:iCs/>
        </w:rPr>
        <w:t>Staring at the Sun</w:t>
      </w:r>
      <w:r>
        <w:t xml:space="preserve"> (2008); death as ultimate concern; </w:t>
      </w:r>
      <w:r>
        <w:rPr>
          <w:i/>
          <w:iCs/>
        </w:rPr>
        <w:t>rippling</w:t>
      </w:r>
      <w:r>
        <w:t xml:space="preserve">; the idea of death as awakener. </w:t>
      </w:r>
      <w:r>
        <w:rPr>
          <w:i/>
          <w:iCs/>
        </w:rPr>
        <w:t>Dive 9. Ground: secular; death as obliteration.</w:t>
      </w:r>
    </w:p>
    <w:p w14:paraId="21FAEF84" w14:textId="77777777" w:rsidR="0035712B" w:rsidRDefault="00000000">
      <w:pPr>
        <w:pStyle w:val="BodyText"/>
      </w:pPr>
      <w:r>
        <w:rPr>
          <w:b/>
          <w:bCs/>
        </w:rPr>
        <w:t>Atul Gawande</w:t>
      </w:r>
      <w:r>
        <w:t xml:space="preserve"> — </w:t>
      </w:r>
      <w:r>
        <w:rPr>
          <w:i/>
          <w:iCs/>
        </w:rPr>
        <w:t>Being Mortal</w:t>
      </w:r>
      <w:r>
        <w:t xml:space="preserve"> (2014); the medicalization of aging and death; “what does a good day look like?”; quality over survival; hospice as the humane model. </w:t>
      </w:r>
      <w:r>
        <w:rPr>
          <w:i/>
          <w:iCs/>
        </w:rPr>
        <w:t>Dive 9. Ground: secular; humanizing the wall.</w:t>
      </w:r>
    </w:p>
    <w:p w14:paraId="32C36D4D" w14:textId="77777777" w:rsidR="0035712B" w:rsidRDefault="00000000">
      <w:pPr>
        <w:pStyle w:val="BodyText"/>
      </w:pPr>
      <w:r>
        <w:rPr>
          <w:b/>
          <w:bCs/>
        </w:rPr>
        <w:t>Cicely Saunders</w:t>
      </w:r>
      <w:r>
        <w:t xml:space="preserve"> — modern hospice (St Christopher’s, 1967); </w:t>
      </w:r>
      <w:r>
        <w:rPr>
          <w:i/>
          <w:iCs/>
        </w:rPr>
        <w:t>total pain</w:t>
      </w:r>
      <w:r>
        <w:t xml:space="preserve"> (physical, emotional, social, spiritual). </w:t>
      </w:r>
      <w:r>
        <w:rPr>
          <w:i/>
          <w:iCs/>
        </w:rPr>
        <w:t>Dive 9. Doorway-side; the spiritual dimension named.</w:t>
      </w:r>
    </w:p>
    <w:p w14:paraId="0E44EE5B" w14:textId="77777777" w:rsidR="0035712B" w:rsidRDefault="00000000">
      <w:pPr>
        <w:pStyle w:val="BodyText"/>
      </w:pPr>
      <w:r>
        <w:rPr>
          <w:b/>
          <w:bCs/>
        </w:rPr>
        <w:t>Elisabeth Kübler-Ross</w:t>
      </w:r>
      <w:r>
        <w:t xml:space="preserve"> — </w:t>
      </w:r>
      <w:r>
        <w:rPr>
          <w:i/>
          <w:iCs/>
        </w:rPr>
        <w:t>On Death and Dying</w:t>
      </w:r>
      <w:r>
        <w:t xml:space="preserve"> (1969); broke the silence; the five “stages” (now regarded as non-sequential). </w:t>
      </w:r>
      <w:r>
        <w:rPr>
          <w:i/>
          <w:iCs/>
        </w:rPr>
        <w:t>Dive 9.</w:t>
      </w:r>
    </w:p>
    <w:p w14:paraId="0578C233" w14:textId="77777777" w:rsidR="0035712B" w:rsidRDefault="00000000">
      <w:pPr>
        <w:pStyle w:val="BodyText"/>
      </w:pPr>
      <w:r>
        <w:rPr>
          <w:b/>
          <w:bCs/>
        </w:rPr>
        <w:t>Kathryn Mannix</w:t>
      </w:r>
      <w:r>
        <w:t xml:space="preserve"> — </w:t>
      </w:r>
      <w:r>
        <w:rPr>
          <w:i/>
          <w:iCs/>
        </w:rPr>
        <w:t>With the End in Mind</w:t>
      </w:r>
      <w:r>
        <w:t xml:space="preserve"> (2017); recovering the ordinary peaceful death. </w:t>
      </w:r>
      <w:r>
        <w:rPr>
          <w:i/>
          <w:iCs/>
        </w:rPr>
        <w:t>Dive 9.</w:t>
      </w:r>
    </w:p>
    <w:p w14:paraId="04BEC74B" w14:textId="77777777" w:rsidR="0035712B" w:rsidRDefault="00000000">
      <w:pPr>
        <w:pStyle w:val="BodyText"/>
      </w:pPr>
      <w:r>
        <w:rPr>
          <w:b/>
          <w:bCs/>
        </w:rPr>
        <w:t>The resurrection and contemplative tradition</w:t>
      </w:r>
      <w:r>
        <w:t xml:space="preserve"> — 1 Corinthians 15; John 1 and 11; the completion of the Christian </w:t>
      </w:r>
      <w:r>
        <w:rPr>
          <w:i/>
          <w:iCs/>
        </w:rPr>
        <w:t>ars moriendi</w:t>
      </w:r>
      <w:r>
        <w:t xml:space="preserve">; death faced in hope. </w:t>
      </w:r>
      <w:r>
        <w:rPr>
          <w:i/>
          <w:iCs/>
        </w:rPr>
        <w:t>Dive 10. The witness’s ground.</w:t>
      </w:r>
    </w:p>
    <w:p w14:paraId="25F03488" w14:textId="77777777" w:rsidR="0035712B" w:rsidRDefault="00000000">
      <w:pPr>
        <w:pStyle w:val="BodyText"/>
      </w:pPr>
      <w:r>
        <w:rPr>
          <w:b/>
          <w:bCs/>
        </w:rPr>
        <w:t>Comparative doorways</w:t>
      </w:r>
      <w:r>
        <w:t xml:space="preserve"> — Plato’s naturally immortal soul; Buddhist liberation from rebirth; Hindu </w:t>
      </w:r>
      <w:r>
        <w:rPr>
          <w:i/>
          <w:iCs/>
        </w:rPr>
        <w:t>moksha</w:t>
      </w:r>
      <w:r>
        <w:t xml:space="preserve">. </w:t>
      </w:r>
      <w:r>
        <w:rPr>
          <w:i/>
          <w:iCs/>
        </w:rPr>
        <w:t>Dive 10. Distinguished from resurrection, at full strength.</w:t>
      </w:r>
    </w:p>
    <w:p w14:paraId="0B1C064C" w14:textId="77777777" w:rsidR="0035712B" w:rsidRDefault="00000000">
      <w:r>
        <w:rPr>
          <w:noProof/>
        </w:rPr>
        <mc:AlternateContent>
          <mc:Choice Requires="wps">
            <w:drawing>
              <wp:inline distT="0" distB="0" distL="0" distR="0" wp14:anchorId="2D774AB9" wp14:editId="547A599F">
                <wp:extent cx="5943600" cy="19050"/>
                <wp:effectExtent l="0" t="0" r="0" b="0"/>
                <wp:docPr id="215" name="Rectangle 2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w14:anchorId="19FDA646" id="Rectangle 21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" strokeweight="0">
                <w10:anchorlock/>
              </v:rect>
            </w:pict>
          </mc:Fallback>
        </mc:AlternateContent>
      </w:r>
    </w:p>
    <w:p w14:paraId="4D2A50A0" w14:textId="77777777" w:rsidR="0035712B" w:rsidRDefault="00000000">
      <w:pPr>
        <w:pStyle w:val="FirstParagraph"/>
      </w:pPr>
      <w:bookmarkStart w:id="118" w:name="the-wise-life-research-compendium"/>
      <w:bookmarkStart w:id="119" w:name="consolidated-thinker-source-catalogue"/>
      <w:bookmarkStart w:id="120" w:name="movement-iii-die-1"/>
      <w:r>
        <w:rPr>
          <w:i/>
          <w:iCs/>
        </w:rPr>
        <w:t>End of the consolidated catalogue.</w:t>
      </w:r>
      <w:bookmarkEnd w:id="118"/>
      <w:bookmarkEnd w:id="119"/>
      <w:bookmarkEnd w:id="120"/>
    </w:p>
    <w:sectPr w:rsidR="0035712B">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A5A"/>
    <w:multiLevelType w:val="multilevel"/>
    <w:tmpl w:val="CF50B7A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21933AA8"/>
    <w:multiLevelType w:val="multilevel"/>
    <w:tmpl w:val="ED36EA2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929503097">
    <w:abstractNumId w:val="0"/>
  </w:num>
  <w:num w:numId="2" w16cid:durableId="267154854">
    <w:abstractNumId w:val="1"/>
  </w:num>
  <w:num w:numId="3" w16cid:durableId="1820682935">
    <w:abstractNumId w:val="0"/>
    <w:lvlOverride w:ilvl="0">
      <w:startOverride w:val="1"/>
    </w:lvlOverride>
  </w:num>
  <w:num w:numId="4" w16cid:durableId="929199644">
    <w:abstractNumId w:val="1"/>
  </w:num>
  <w:num w:numId="5" w16cid:durableId="1876000391">
    <w:abstractNumId w:val="1"/>
  </w:num>
  <w:num w:numId="6" w16cid:durableId="675961653">
    <w:abstractNumId w:val="1"/>
  </w:num>
  <w:num w:numId="7" w16cid:durableId="1979921505">
    <w:abstractNumId w:val="1"/>
  </w:num>
  <w:num w:numId="8" w16cid:durableId="131489634">
    <w:abstractNumId w:val="1"/>
  </w:num>
  <w:num w:numId="9" w16cid:durableId="1481459760">
    <w:abstractNumId w:val="1"/>
  </w:num>
  <w:num w:numId="10" w16cid:durableId="833494459">
    <w:abstractNumId w:val="1"/>
  </w:num>
  <w:num w:numId="11" w16cid:durableId="833642117">
    <w:abstractNumId w:val="1"/>
  </w:num>
  <w:num w:numId="12" w16cid:durableId="263415784">
    <w:abstractNumId w:val="1"/>
  </w:num>
  <w:num w:numId="13" w16cid:durableId="718893553">
    <w:abstractNumId w:val="1"/>
  </w:num>
  <w:num w:numId="14" w16cid:durableId="124542084">
    <w:abstractNumId w:val="1"/>
  </w:num>
  <w:num w:numId="15" w16cid:durableId="1843617724">
    <w:abstractNumId w:val="1"/>
  </w:num>
  <w:num w:numId="16" w16cid:durableId="888758269">
    <w:abstractNumId w:val="1"/>
  </w:num>
  <w:num w:numId="17" w16cid:durableId="729186238">
    <w:abstractNumId w:val="1"/>
  </w:num>
  <w:num w:numId="18" w16cid:durableId="2075395966">
    <w:abstractNumId w:val="1"/>
  </w:num>
  <w:num w:numId="19" w16cid:durableId="8220244">
    <w:abstractNumId w:val="1"/>
  </w:num>
  <w:num w:numId="20" w16cid:durableId="431050594">
    <w:abstractNumId w:val="1"/>
  </w:num>
  <w:num w:numId="21" w16cid:durableId="972953508">
    <w:abstractNumId w:val="1"/>
  </w:num>
  <w:num w:numId="22" w16cid:durableId="1350329734">
    <w:abstractNumId w:val="1"/>
  </w:num>
  <w:num w:numId="23" w16cid:durableId="729839689">
    <w:abstractNumId w:val="1"/>
  </w:num>
  <w:num w:numId="24" w16cid:durableId="784663623">
    <w:abstractNumId w:val="1"/>
  </w:num>
  <w:num w:numId="25" w16cid:durableId="1647007321">
    <w:abstractNumId w:val="1"/>
  </w:num>
  <w:num w:numId="26" w16cid:durableId="161704937">
    <w:abstractNumId w:val="1"/>
  </w:num>
  <w:num w:numId="27" w16cid:durableId="1952592665">
    <w:abstractNumId w:val="1"/>
  </w:num>
  <w:num w:numId="28" w16cid:durableId="1385250721">
    <w:abstractNumId w:val="1"/>
  </w:num>
  <w:num w:numId="29" w16cid:durableId="2070496627">
    <w:abstractNumId w:val="1"/>
  </w:num>
  <w:num w:numId="30" w16cid:durableId="1821341786">
    <w:abstractNumId w:val="1"/>
  </w:num>
  <w:num w:numId="31" w16cid:durableId="1421024616">
    <w:abstractNumId w:val="1"/>
  </w:num>
  <w:num w:numId="32" w16cid:durableId="1266116557">
    <w:abstractNumId w:val="1"/>
  </w:num>
  <w:num w:numId="33" w16cid:durableId="1682511512">
    <w:abstractNumId w:val="1"/>
  </w:num>
  <w:num w:numId="34" w16cid:durableId="1101951579">
    <w:abstractNumId w:val="1"/>
  </w:num>
  <w:num w:numId="35" w16cid:durableId="1372000813">
    <w:abstractNumId w:val="1"/>
  </w:num>
  <w:num w:numId="36" w16cid:durableId="2143691362">
    <w:abstractNumId w:val="1"/>
  </w:num>
  <w:num w:numId="37" w16cid:durableId="2098939836">
    <w:abstractNumId w:val="1"/>
  </w:num>
  <w:num w:numId="38" w16cid:durableId="1940329308">
    <w:abstractNumId w:val="1"/>
  </w:num>
  <w:num w:numId="39" w16cid:durableId="1054503510">
    <w:abstractNumId w:val="1"/>
  </w:num>
  <w:num w:numId="40" w16cid:durableId="1662276508">
    <w:abstractNumId w:val="1"/>
  </w:num>
  <w:num w:numId="41" w16cid:durableId="1773820152">
    <w:abstractNumId w:val="1"/>
  </w:num>
  <w:num w:numId="42" w16cid:durableId="717167675">
    <w:abstractNumId w:val="1"/>
  </w:num>
  <w:num w:numId="43" w16cid:durableId="1455051825">
    <w:abstractNumId w:val="1"/>
  </w:num>
  <w:num w:numId="44" w16cid:durableId="545068939">
    <w:abstractNumId w:val="1"/>
  </w:num>
  <w:num w:numId="45" w16cid:durableId="1236550247">
    <w:abstractNumId w:val="1"/>
  </w:num>
  <w:num w:numId="46" w16cid:durableId="1209876201">
    <w:abstractNumId w:val="1"/>
  </w:num>
  <w:num w:numId="47" w16cid:durableId="790049187">
    <w:abstractNumId w:val="1"/>
  </w:num>
  <w:num w:numId="48" w16cid:durableId="1800487027">
    <w:abstractNumId w:val="1"/>
  </w:num>
  <w:num w:numId="49" w16cid:durableId="1764377217">
    <w:abstractNumId w:val="1"/>
  </w:num>
  <w:num w:numId="50" w16cid:durableId="955524308">
    <w:abstractNumId w:val="1"/>
  </w:num>
  <w:num w:numId="51" w16cid:durableId="242421991">
    <w:abstractNumId w:val="1"/>
  </w:num>
  <w:num w:numId="52" w16cid:durableId="533808268">
    <w:abstractNumId w:val="1"/>
  </w:num>
  <w:num w:numId="53" w16cid:durableId="1611469135">
    <w:abstractNumId w:val="1"/>
  </w:num>
  <w:num w:numId="54" w16cid:durableId="629483640">
    <w:abstractNumId w:val="1"/>
  </w:num>
  <w:num w:numId="55" w16cid:durableId="1459109561">
    <w:abstractNumId w:val="1"/>
  </w:num>
  <w:num w:numId="56" w16cid:durableId="486166202">
    <w:abstractNumId w:val="1"/>
  </w:num>
  <w:num w:numId="57" w16cid:durableId="799568296">
    <w:abstractNumId w:val="1"/>
  </w:num>
  <w:num w:numId="58" w16cid:durableId="985161793">
    <w:abstractNumId w:val="1"/>
  </w:num>
  <w:num w:numId="59" w16cid:durableId="1868524076">
    <w:abstractNumId w:val="1"/>
  </w:num>
  <w:num w:numId="60" w16cid:durableId="1534995609">
    <w:abstractNumId w:val="1"/>
  </w:num>
  <w:num w:numId="61" w16cid:durableId="492533102">
    <w:abstractNumId w:val="1"/>
  </w:num>
  <w:num w:numId="62" w16cid:durableId="798649292">
    <w:abstractNumId w:val="1"/>
  </w:num>
  <w:num w:numId="63" w16cid:durableId="2048619">
    <w:abstractNumId w:val="1"/>
  </w:num>
  <w:num w:numId="64" w16cid:durableId="1706178533">
    <w:abstractNumId w:val="1"/>
  </w:num>
  <w:num w:numId="65" w16cid:durableId="1798913665">
    <w:abstractNumId w:val="1"/>
  </w:num>
  <w:num w:numId="66" w16cid:durableId="38752323">
    <w:abstractNumId w:val="1"/>
  </w:num>
  <w:num w:numId="67" w16cid:durableId="1456022321">
    <w:abstractNumId w:val="1"/>
  </w:num>
  <w:num w:numId="68" w16cid:durableId="2065979452">
    <w:abstractNumId w:val="1"/>
  </w:num>
  <w:num w:numId="69" w16cid:durableId="1677419772">
    <w:abstractNumId w:val="1"/>
  </w:num>
  <w:num w:numId="70" w16cid:durableId="1668361081">
    <w:abstractNumId w:val="1"/>
  </w:num>
  <w:num w:numId="71" w16cid:durableId="930090083">
    <w:abstractNumId w:val="1"/>
  </w:num>
  <w:num w:numId="72" w16cid:durableId="432407689">
    <w:abstractNumId w:val="1"/>
  </w:num>
  <w:num w:numId="73" w16cid:durableId="1200707944">
    <w:abstractNumId w:val="1"/>
  </w:num>
  <w:num w:numId="74" w16cid:durableId="1688562802">
    <w:abstractNumId w:val="1"/>
  </w:num>
  <w:num w:numId="75" w16cid:durableId="1164511984">
    <w:abstractNumId w:val="1"/>
  </w:num>
  <w:num w:numId="76" w16cid:durableId="2113435673">
    <w:abstractNumId w:val="1"/>
  </w:num>
  <w:num w:numId="77" w16cid:durableId="1036541751">
    <w:abstractNumId w:val="1"/>
  </w:num>
  <w:num w:numId="78" w16cid:durableId="1054039523">
    <w:abstractNumId w:val="1"/>
  </w:num>
  <w:num w:numId="79" w16cid:durableId="179784844">
    <w:abstractNumId w:val="1"/>
  </w:num>
  <w:num w:numId="80" w16cid:durableId="504246656">
    <w:abstractNumId w:val="1"/>
  </w:num>
  <w:num w:numId="81" w16cid:durableId="712191890">
    <w:abstractNumId w:val="1"/>
  </w:num>
  <w:num w:numId="82" w16cid:durableId="1109550581">
    <w:abstractNumId w:val="1"/>
  </w:num>
  <w:num w:numId="83" w16cid:durableId="2058360185">
    <w:abstractNumId w:val="1"/>
  </w:num>
  <w:num w:numId="84" w16cid:durableId="967779171">
    <w:abstractNumId w:val="1"/>
  </w:num>
  <w:num w:numId="85" w16cid:durableId="1536844071">
    <w:abstractNumId w:val="1"/>
  </w:num>
  <w:num w:numId="86" w16cid:durableId="1570725767">
    <w:abstractNumId w:val="1"/>
  </w:num>
  <w:num w:numId="87" w16cid:durableId="144055621">
    <w:abstractNumId w:val="1"/>
  </w:num>
  <w:num w:numId="88" w16cid:durableId="1287662552">
    <w:abstractNumId w:val="1"/>
  </w:num>
  <w:num w:numId="89" w16cid:durableId="718742650">
    <w:abstractNumId w:val="1"/>
  </w:num>
  <w:num w:numId="90" w16cid:durableId="1485857970">
    <w:abstractNumId w:val="1"/>
  </w:num>
  <w:num w:numId="91" w16cid:durableId="820779969">
    <w:abstractNumId w:val="1"/>
  </w:num>
  <w:num w:numId="92" w16cid:durableId="1167986760">
    <w:abstractNumId w:val="1"/>
  </w:num>
  <w:num w:numId="93" w16cid:durableId="806313422">
    <w:abstractNumId w:val="1"/>
  </w:num>
  <w:num w:numId="94" w16cid:durableId="1813716603">
    <w:abstractNumId w:val="1"/>
  </w:num>
  <w:num w:numId="95" w16cid:durableId="235629940">
    <w:abstractNumId w:val="1"/>
  </w:num>
  <w:num w:numId="96" w16cid:durableId="1632325785">
    <w:abstractNumId w:val="1"/>
  </w:num>
  <w:num w:numId="97" w16cid:durableId="1727022820">
    <w:abstractNumId w:val="1"/>
  </w:num>
  <w:num w:numId="98" w16cid:durableId="1839732753">
    <w:abstractNumId w:val="1"/>
  </w:num>
  <w:num w:numId="99" w16cid:durableId="597644487">
    <w:abstractNumId w:val="1"/>
  </w:num>
  <w:num w:numId="100" w16cid:durableId="1320814712">
    <w:abstractNumId w:val="1"/>
  </w:num>
  <w:num w:numId="101" w16cid:durableId="1783955750">
    <w:abstractNumId w:val="1"/>
  </w:num>
  <w:num w:numId="102" w16cid:durableId="34240848">
    <w:abstractNumId w:val="1"/>
  </w:num>
  <w:num w:numId="103" w16cid:durableId="1763064323">
    <w:abstractNumId w:val="1"/>
  </w:num>
  <w:num w:numId="104" w16cid:durableId="644773856">
    <w:abstractNumId w:val="1"/>
  </w:num>
  <w:num w:numId="105" w16cid:durableId="398140273">
    <w:abstractNumId w:val="1"/>
  </w:num>
  <w:num w:numId="106" w16cid:durableId="591667797">
    <w:abstractNumId w:val="1"/>
  </w:num>
  <w:num w:numId="107" w16cid:durableId="354623761">
    <w:abstractNumId w:val="1"/>
  </w:num>
  <w:num w:numId="108" w16cid:durableId="1180579432">
    <w:abstractNumId w:val="1"/>
  </w:num>
  <w:num w:numId="109" w16cid:durableId="1032805104">
    <w:abstractNumId w:val="1"/>
  </w:num>
  <w:num w:numId="110" w16cid:durableId="2106607732">
    <w:abstractNumId w:val="1"/>
  </w:num>
  <w:num w:numId="111" w16cid:durableId="985399339">
    <w:abstractNumId w:val="1"/>
  </w:num>
  <w:num w:numId="112" w16cid:durableId="95907265">
    <w:abstractNumId w:val="1"/>
  </w:num>
  <w:num w:numId="113" w16cid:durableId="1011637922">
    <w:abstractNumId w:val="1"/>
  </w:num>
  <w:num w:numId="114" w16cid:durableId="1330644819">
    <w:abstractNumId w:val="1"/>
  </w:num>
  <w:num w:numId="115" w16cid:durableId="1073552709">
    <w:abstractNumId w:val="1"/>
  </w:num>
  <w:num w:numId="116" w16cid:durableId="1326060">
    <w:abstractNumId w:val="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12B"/>
    <w:rsid w:val="0012063B"/>
    <w:rsid w:val="0035712B"/>
    <w:rsid w:val="00A5607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AF4A864"/>
  <w15:docId w15:val="{F615562A-09EF-AB40-8F16-0A37CCD3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20733</Words>
  <Characters>109888</Characters>
  <Application>Microsoft Office Word</Application>
  <DocSecurity>0</DocSecurity>
  <Lines>1831</Lines>
  <Paragraphs>567</Paragraphs>
  <ScaleCrop>false</ScaleCrop>
  <Company/>
  <LinksUpToDate>false</LinksUpToDate>
  <CharactersWithSpaces>130054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Granberry</cp:lastModifiedBy>
  <cp:revision>2</cp:revision>
  <dcterms:created xsi:type="dcterms:W3CDTF">2026-06-06T20:25:00Z</dcterms:created>
  <dcterms:modified xsi:type="dcterms:W3CDTF">2026-06-06T20:25:00Z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2026-06-06T20:21:40Z</dcterms:created>
  <dc:creator/>
  <dc:description/>
  <dc:language>en-US</dc:language>
  <cp:lastModifiedBy/>
  <dcterms:modified xsi:type="dcterms:W3CDTF">2026-06-06T20:21:40Z</dcterms:modified>
  <cp:revision>0</cp:revision>
  <dc:subject/>
  <dc:title>The Wise Life ��� Research Compendium</dc:title>
</cp:coreProperties>
</file>