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C98" w:rsidRPr="00BE6424" w:rsidRDefault="00C42C98" w:rsidP="00C42C98">
      <w:pPr>
        <w:autoSpaceDE w:val="0"/>
        <w:autoSpaceDN w:val="0"/>
        <w:adjustRightInd w:val="0"/>
        <w:rPr>
          <w:color w:val="000000"/>
          <w:sz w:val="22"/>
          <w:szCs w:val="22"/>
        </w:rPr>
      </w:pPr>
      <w:bookmarkStart w:id="0" w:name="_GoBack"/>
      <w:bookmarkEnd w:id="0"/>
    </w:p>
    <w:p w:rsidR="00C42C98" w:rsidRPr="00BE6424" w:rsidRDefault="00C42C98" w:rsidP="00C42C98">
      <w:pPr>
        <w:pStyle w:val="Default"/>
        <w:jc w:val="center"/>
        <w:rPr>
          <w:b/>
          <w:bCs/>
          <w:sz w:val="22"/>
          <w:szCs w:val="22"/>
        </w:rPr>
      </w:pPr>
      <w:r w:rsidRPr="00BE6424">
        <w:rPr>
          <w:b/>
          <w:bCs/>
          <w:sz w:val="22"/>
          <w:szCs w:val="22"/>
        </w:rPr>
        <w:t>GUIDELINES FOR PROMOTION AND TENURE WITHIN THE</w:t>
      </w:r>
    </w:p>
    <w:p w:rsidR="00C42C98" w:rsidRPr="00BE6424" w:rsidRDefault="00C42C98" w:rsidP="00C42C98">
      <w:pPr>
        <w:pStyle w:val="Default"/>
        <w:jc w:val="center"/>
        <w:rPr>
          <w:sz w:val="22"/>
          <w:szCs w:val="22"/>
        </w:rPr>
      </w:pPr>
      <w:r w:rsidRPr="00BE6424">
        <w:rPr>
          <w:b/>
          <w:bCs/>
          <w:sz w:val="22"/>
          <w:szCs w:val="22"/>
        </w:rPr>
        <w:t xml:space="preserve">DEPARTMENT OF </w:t>
      </w:r>
      <w:r w:rsidRPr="00BE6424">
        <w:rPr>
          <w:b/>
          <w:sz w:val="22"/>
          <w:szCs w:val="22"/>
        </w:rPr>
        <w:t xml:space="preserve">OPERATIONAL SCIENCES </w:t>
      </w:r>
      <w:r w:rsidRPr="00BE6424">
        <w:rPr>
          <w:b/>
          <w:bCs/>
          <w:sz w:val="22"/>
          <w:szCs w:val="22"/>
        </w:rPr>
        <w:t>AT AFIT</w:t>
      </w:r>
    </w:p>
    <w:p w:rsidR="00D628D9" w:rsidRPr="00BE6424" w:rsidRDefault="008C5C91" w:rsidP="00C42C98">
      <w:pPr>
        <w:jc w:val="center"/>
        <w:rPr>
          <w:sz w:val="22"/>
          <w:szCs w:val="22"/>
        </w:rPr>
      </w:pPr>
      <w:r w:rsidRPr="00BE6424">
        <w:rPr>
          <w:b/>
          <w:bCs/>
          <w:sz w:val="22"/>
          <w:szCs w:val="22"/>
        </w:rPr>
        <w:t>AS OF</w:t>
      </w:r>
      <w:r w:rsidR="00C42C98" w:rsidRPr="00BE6424">
        <w:rPr>
          <w:b/>
          <w:bCs/>
          <w:sz w:val="22"/>
          <w:szCs w:val="22"/>
        </w:rPr>
        <w:t xml:space="preserve"> OCTOBER, 2</w:t>
      </w:r>
      <w:r w:rsidR="006043A1" w:rsidRPr="00BE6424">
        <w:rPr>
          <w:b/>
          <w:bCs/>
          <w:sz w:val="22"/>
          <w:szCs w:val="22"/>
        </w:rPr>
        <w:t>01</w:t>
      </w:r>
      <w:r w:rsidR="00ED4C1C">
        <w:rPr>
          <w:b/>
          <w:bCs/>
          <w:sz w:val="22"/>
          <w:szCs w:val="22"/>
        </w:rPr>
        <w:t>5</w:t>
      </w:r>
    </w:p>
    <w:p w:rsidR="00D628D9" w:rsidRPr="00BE6424" w:rsidRDefault="00D628D9" w:rsidP="00D628D9">
      <w:pPr>
        <w:jc w:val="center"/>
        <w:rPr>
          <w:sz w:val="22"/>
          <w:szCs w:val="22"/>
        </w:rPr>
      </w:pPr>
    </w:p>
    <w:p w:rsidR="00B35B4A" w:rsidRPr="00BE6424" w:rsidRDefault="00B35B4A" w:rsidP="00D628D9">
      <w:pPr>
        <w:rPr>
          <w:sz w:val="22"/>
          <w:szCs w:val="22"/>
        </w:rPr>
      </w:pPr>
    </w:p>
    <w:p w:rsidR="00C42C98" w:rsidRPr="00BE6424" w:rsidRDefault="00C42C98" w:rsidP="00C42C98">
      <w:pPr>
        <w:autoSpaceDE w:val="0"/>
        <w:autoSpaceDN w:val="0"/>
        <w:adjustRightInd w:val="0"/>
        <w:rPr>
          <w:color w:val="000000"/>
          <w:sz w:val="22"/>
          <w:szCs w:val="22"/>
        </w:rPr>
      </w:pPr>
    </w:p>
    <w:p w:rsidR="00B35B4A" w:rsidRPr="00BE6424" w:rsidRDefault="00C42C98" w:rsidP="00C42C98">
      <w:pPr>
        <w:rPr>
          <w:sz w:val="22"/>
          <w:szCs w:val="22"/>
        </w:rPr>
      </w:pPr>
      <w:r w:rsidRPr="00BE6424">
        <w:rPr>
          <w:sz w:val="22"/>
          <w:szCs w:val="22"/>
        </w:rPr>
        <w:t xml:space="preserve"> </w:t>
      </w:r>
      <w:r w:rsidRPr="00BE6424">
        <w:rPr>
          <w:color w:val="000000"/>
          <w:sz w:val="22"/>
          <w:szCs w:val="22"/>
        </w:rPr>
        <w:t>First of all, and most importantly, consult the AFIT Graduate School of Engineering and Management Standing Rules for Promotion and Tenure</w:t>
      </w:r>
      <w:r w:rsidR="0008337B" w:rsidRPr="00BE6424">
        <w:rPr>
          <w:color w:val="000000"/>
          <w:sz w:val="22"/>
          <w:szCs w:val="22"/>
        </w:rPr>
        <w:t xml:space="preserve"> (P&amp;T)</w:t>
      </w:r>
      <w:r w:rsidR="00E10372" w:rsidRPr="00BE6424">
        <w:rPr>
          <w:color w:val="000000"/>
          <w:sz w:val="22"/>
          <w:szCs w:val="22"/>
        </w:rPr>
        <w:t xml:space="preserve"> dated </w:t>
      </w:r>
      <w:r w:rsidR="00D87A61" w:rsidRPr="00BE6424">
        <w:rPr>
          <w:color w:val="000000"/>
          <w:sz w:val="22"/>
          <w:szCs w:val="22"/>
        </w:rPr>
        <w:t>1</w:t>
      </w:r>
      <w:r w:rsidR="00E10372" w:rsidRPr="00BE6424">
        <w:rPr>
          <w:color w:val="000000"/>
          <w:sz w:val="22"/>
          <w:szCs w:val="22"/>
        </w:rPr>
        <w:t xml:space="preserve"> </w:t>
      </w:r>
      <w:r w:rsidR="00D87A61" w:rsidRPr="00BE6424">
        <w:rPr>
          <w:color w:val="000000"/>
          <w:sz w:val="22"/>
          <w:szCs w:val="22"/>
        </w:rPr>
        <w:t>September 2011</w:t>
      </w:r>
      <w:r w:rsidR="00BE6424" w:rsidRPr="00BE6424">
        <w:rPr>
          <w:color w:val="000000"/>
          <w:sz w:val="22"/>
          <w:szCs w:val="22"/>
        </w:rPr>
        <w:t xml:space="preserve"> (amended 16 May 2012, amended 7 Feb 2013)</w:t>
      </w:r>
      <w:r w:rsidRPr="00BE6424">
        <w:rPr>
          <w:color w:val="000000"/>
          <w:sz w:val="22"/>
          <w:szCs w:val="22"/>
        </w:rPr>
        <w:t>.  The following is a supplement to these rules for use by the Department of Operational Sciences</w:t>
      </w:r>
      <w:r w:rsidR="00E10372" w:rsidRPr="00BE6424">
        <w:rPr>
          <w:color w:val="000000"/>
          <w:sz w:val="22"/>
          <w:szCs w:val="22"/>
        </w:rPr>
        <w:t xml:space="preserve"> (ENS)</w:t>
      </w:r>
      <w:r w:rsidRPr="00BE6424">
        <w:rPr>
          <w:color w:val="000000"/>
          <w:sz w:val="22"/>
          <w:szCs w:val="22"/>
        </w:rPr>
        <w:t xml:space="preserve">.  </w:t>
      </w:r>
    </w:p>
    <w:p w:rsidR="006F7BB7" w:rsidRPr="00BE6424" w:rsidRDefault="006F7BB7" w:rsidP="00D628D9">
      <w:pPr>
        <w:rPr>
          <w:sz w:val="22"/>
          <w:szCs w:val="22"/>
        </w:rPr>
      </w:pPr>
    </w:p>
    <w:p w:rsidR="00D44932" w:rsidRPr="00BE6424" w:rsidRDefault="00C42C98" w:rsidP="00D628D9">
      <w:pPr>
        <w:rPr>
          <w:sz w:val="22"/>
          <w:szCs w:val="22"/>
        </w:rPr>
      </w:pPr>
      <w:r w:rsidRPr="00BE6424">
        <w:rPr>
          <w:sz w:val="22"/>
          <w:szCs w:val="22"/>
        </w:rPr>
        <w:t>These guidelines are provided as specified in paragraph 8.d. of the AFIT Graduate School of Engineering and Management Standing Rules for Promotion and Tenure</w:t>
      </w:r>
      <w:r w:rsidR="00F65900" w:rsidRPr="00BE6424">
        <w:rPr>
          <w:sz w:val="22"/>
          <w:szCs w:val="22"/>
        </w:rPr>
        <w:t xml:space="preserve"> (</w:t>
      </w:r>
      <w:r w:rsidR="00D87A61" w:rsidRPr="00BE6424">
        <w:rPr>
          <w:color w:val="000000"/>
          <w:sz w:val="22"/>
          <w:szCs w:val="22"/>
        </w:rPr>
        <w:t>1 September 2011</w:t>
      </w:r>
      <w:r w:rsidR="00F65900" w:rsidRPr="00BE6424">
        <w:rPr>
          <w:sz w:val="22"/>
          <w:szCs w:val="22"/>
        </w:rPr>
        <w:t>)</w:t>
      </w:r>
      <w:r w:rsidRPr="00BE6424">
        <w:rPr>
          <w:sz w:val="22"/>
          <w:szCs w:val="22"/>
        </w:rPr>
        <w:t>.  The guidelines are meant to “…form the basis for candidate mentoring and…provide sufficient metrics to enable the candidate to establish appropriate, individualized performance goals.”  As noted in the standing rules, guidelines will be updated annually.  It is the Department P&amp;T committee’s philosophy that the guidelines will evolve over the years to where we desire to go, based on the department’s strategic vision</w:t>
      </w:r>
      <w:r w:rsidR="00A607DD" w:rsidRPr="00BE6424">
        <w:rPr>
          <w:sz w:val="22"/>
          <w:szCs w:val="22"/>
        </w:rPr>
        <w:t>.  The department faculty should first refer to the current version of the school-level P&amp;T standing rules for initial guidance on promotion criteria to be achieved by the time one puts forward a petition for promotion and/or tenure.  Section 5 of the EN P&amp;T Standing Rules (</w:t>
      </w:r>
      <w:r w:rsidR="00BE6424" w:rsidRPr="00BE6424">
        <w:rPr>
          <w:color w:val="000000"/>
          <w:sz w:val="22"/>
          <w:szCs w:val="22"/>
        </w:rPr>
        <w:t>1 September 2011, amended 16 May 2012, amended 7 Feb 2013</w:t>
      </w:r>
      <w:r w:rsidR="00A607DD" w:rsidRPr="00BE6424">
        <w:rPr>
          <w:sz w:val="22"/>
          <w:szCs w:val="22"/>
        </w:rPr>
        <w:t xml:space="preserve">) provides a detailed discussion of the performance metrics that are applied across EN when evaluating a faculty member’s request for promotion and/or tenure.  Research, teaching, and service are the primary activities of graduate faculty.  This document is intended to provide additional guidance regarding the factors used to assess performance in each of these categories for ENS faculty.  </w:t>
      </w:r>
      <w:r w:rsidR="00A607DD" w:rsidRPr="00BB4B23">
        <w:rPr>
          <w:sz w:val="22"/>
          <w:szCs w:val="22"/>
          <w:highlight w:val="yellow"/>
        </w:rPr>
        <w:t xml:space="preserve">The quality and impact of intellectually creative endeavors are often difficult to quantify.  While a number of metrics are presented as a guide to evaluation, such measures are never a substitute for the thorough assessment of a candidate’s entire career record.  Indeed, the quality and impact of the candidate’s contributions (to the Department, Institute, USAF, and society) </w:t>
      </w:r>
      <w:r w:rsidR="00D84715" w:rsidRPr="00BB4B23">
        <w:rPr>
          <w:sz w:val="22"/>
          <w:szCs w:val="22"/>
          <w:highlight w:val="yellow"/>
        </w:rPr>
        <w:t>should always dominate</w:t>
      </w:r>
      <w:r w:rsidR="00A607DD" w:rsidRPr="00BB4B23">
        <w:rPr>
          <w:sz w:val="22"/>
          <w:szCs w:val="22"/>
          <w:highlight w:val="yellow"/>
        </w:rPr>
        <w:t xml:space="preserve"> the evaluation.</w:t>
      </w:r>
      <w:r w:rsidR="00F65900" w:rsidRPr="00BE6424">
        <w:rPr>
          <w:sz w:val="22"/>
          <w:szCs w:val="22"/>
        </w:rPr>
        <w:t xml:space="preserve"> </w:t>
      </w:r>
      <w:r w:rsidR="005F2228" w:rsidRPr="00BE6424">
        <w:rPr>
          <w:sz w:val="22"/>
          <w:szCs w:val="22"/>
        </w:rPr>
        <w:t xml:space="preserve"> </w:t>
      </w:r>
      <w:r w:rsidR="00FF6ABF" w:rsidRPr="00BE6424">
        <w:rPr>
          <w:sz w:val="22"/>
          <w:szCs w:val="22"/>
        </w:rPr>
        <w:t>The P&amp;T rules state</w:t>
      </w:r>
      <w:proofErr w:type="gramStart"/>
      <w:r w:rsidR="00CC14B8" w:rsidRPr="00BE6424">
        <w:rPr>
          <w:sz w:val="22"/>
          <w:szCs w:val="22"/>
        </w:rPr>
        <w:t>:  “</w:t>
      </w:r>
      <w:proofErr w:type="gramEnd"/>
      <w:r w:rsidR="00CC14B8" w:rsidRPr="00BE6424">
        <w:rPr>
          <w:sz w:val="22"/>
          <w:szCs w:val="22"/>
        </w:rPr>
        <w:t xml:space="preserve">Teaching productivity is measured by the quality of classroom instruction, excellence in student advising and mentoring, and the sound pedagogical development of new courses of instruction”; </w:t>
      </w:r>
      <w:r w:rsidR="00FF6ABF" w:rsidRPr="00BE6424">
        <w:rPr>
          <w:sz w:val="22"/>
          <w:szCs w:val="22"/>
        </w:rPr>
        <w:t>“Research productivity is measured by the quality, quantity and rate of publishing in</w:t>
      </w:r>
      <w:r w:rsidR="00FF6ABF" w:rsidRPr="00BE6424">
        <w:rPr>
          <w:color w:val="000000"/>
          <w:sz w:val="22"/>
          <w:szCs w:val="22"/>
        </w:rPr>
        <w:t xml:space="preserve"> refereed </w:t>
      </w:r>
      <w:r w:rsidR="00FF6ABF" w:rsidRPr="00BE6424">
        <w:rPr>
          <w:sz w:val="22"/>
          <w:szCs w:val="22"/>
        </w:rPr>
        <w:t>journals.  Books, monographs, book chapters, and patents also indicate significant research contributions.  The record of successful competition for funding is also an important metric, …”</w:t>
      </w:r>
      <w:r w:rsidR="00CC14B8" w:rsidRPr="00BE6424">
        <w:rPr>
          <w:sz w:val="22"/>
          <w:szCs w:val="22"/>
        </w:rPr>
        <w:t>; and “Service productivity is measured by the candidate’s contributions internally to the Department, School, and Institute and externally to his or her academic discipline, to the U.S. Air Force and Department of Defense</w:t>
      </w:r>
      <w:r w:rsidR="00E10372" w:rsidRPr="00BE6424">
        <w:rPr>
          <w:sz w:val="22"/>
          <w:szCs w:val="22"/>
        </w:rPr>
        <w:t xml:space="preserve"> (DoD)</w:t>
      </w:r>
      <w:r w:rsidR="00CC14B8" w:rsidRPr="00BE6424">
        <w:rPr>
          <w:sz w:val="22"/>
          <w:szCs w:val="22"/>
        </w:rPr>
        <w:t>, and to society at large”</w:t>
      </w:r>
      <w:r w:rsidR="00FF6ABF" w:rsidRPr="00BE6424">
        <w:rPr>
          <w:sz w:val="22"/>
          <w:szCs w:val="22"/>
        </w:rPr>
        <w:t>.</w:t>
      </w:r>
      <w:r w:rsidR="005F2228" w:rsidRPr="00BE6424">
        <w:rPr>
          <w:sz w:val="22"/>
          <w:szCs w:val="22"/>
        </w:rPr>
        <w:t xml:space="preserve">  </w:t>
      </w:r>
      <w:r w:rsidR="00D44932" w:rsidRPr="00BE6424">
        <w:rPr>
          <w:sz w:val="22"/>
          <w:szCs w:val="22"/>
        </w:rPr>
        <w:t xml:space="preserve">The </w:t>
      </w:r>
      <w:r w:rsidR="00D84715" w:rsidRPr="00BE6424">
        <w:rPr>
          <w:sz w:val="22"/>
          <w:szCs w:val="22"/>
        </w:rPr>
        <w:t xml:space="preserve">ENS </w:t>
      </w:r>
      <w:r w:rsidR="00D44932" w:rsidRPr="00BE6424">
        <w:rPr>
          <w:sz w:val="22"/>
          <w:szCs w:val="22"/>
        </w:rPr>
        <w:t>promotion process considers the whole person, but a very important aspect of your profession is to s</w:t>
      </w:r>
      <w:r w:rsidR="005F2228" w:rsidRPr="00BE6424">
        <w:rPr>
          <w:sz w:val="22"/>
          <w:szCs w:val="22"/>
        </w:rPr>
        <w:t>ucceed at publishing and acquiri</w:t>
      </w:r>
      <w:r w:rsidR="00D44932" w:rsidRPr="00BE6424">
        <w:rPr>
          <w:sz w:val="22"/>
          <w:szCs w:val="22"/>
        </w:rPr>
        <w:t xml:space="preserve">ng </w:t>
      </w:r>
      <w:r w:rsidR="00F65900" w:rsidRPr="00BE6424">
        <w:rPr>
          <w:sz w:val="22"/>
          <w:szCs w:val="22"/>
        </w:rPr>
        <w:t>appropriate levels of research funding</w:t>
      </w:r>
      <w:r w:rsidR="00D44932" w:rsidRPr="00BE6424">
        <w:rPr>
          <w:sz w:val="22"/>
          <w:szCs w:val="22"/>
        </w:rPr>
        <w:t xml:space="preserve">. </w:t>
      </w:r>
    </w:p>
    <w:p w:rsidR="00D9223D" w:rsidRPr="00BE6424" w:rsidRDefault="00D9223D" w:rsidP="0021610E">
      <w:pPr>
        <w:ind w:firstLine="720"/>
        <w:rPr>
          <w:sz w:val="22"/>
          <w:szCs w:val="22"/>
        </w:rPr>
      </w:pPr>
    </w:p>
    <w:p w:rsidR="001C2350" w:rsidRPr="00BE6424" w:rsidRDefault="001C2350" w:rsidP="00D9223D">
      <w:pPr>
        <w:rPr>
          <w:b/>
          <w:sz w:val="22"/>
          <w:szCs w:val="22"/>
        </w:rPr>
      </w:pPr>
    </w:p>
    <w:p w:rsidR="00D9223D" w:rsidRPr="00BE6424" w:rsidRDefault="00D9223D" w:rsidP="00D9223D">
      <w:pPr>
        <w:rPr>
          <w:b/>
          <w:sz w:val="22"/>
          <w:szCs w:val="22"/>
        </w:rPr>
      </w:pPr>
      <w:r w:rsidRPr="00BE6424">
        <w:rPr>
          <w:b/>
          <w:sz w:val="22"/>
          <w:szCs w:val="22"/>
        </w:rPr>
        <w:t>The primary criteria for promotion to the rank of Associate Professor with tenure are:</w:t>
      </w:r>
    </w:p>
    <w:p w:rsidR="00D9223D" w:rsidRPr="00BE6424" w:rsidRDefault="00D9223D" w:rsidP="00D9223D">
      <w:pPr>
        <w:rPr>
          <w:sz w:val="22"/>
          <w:szCs w:val="22"/>
        </w:rPr>
      </w:pPr>
    </w:p>
    <w:p w:rsidR="007A1B85" w:rsidRPr="00BE6424" w:rsidRDefault="00D9223D" w:rsidP="00D9223D">
      <w:pPr>
        <w:numPr>
          <w:ilvl w:val="0"/>
          <w:numId w:val="2"/>
        </w:numPr>
        <w:rPr>
          <w:sz w:val="22"/>
          <w:szCs w:val="22"/>
        </w:rPr>
      </w:pPr>
      <w:r w:rsidRPr="00BE6424">
        <w:rPr>
          <w:sz w:val="22"/>
          <w:szCs w:val="22"/>
        </w:rPr>
        <w:t xml:space="preserve">Archival, peer-reviewed publications (including joint authorship) </w:t>
      </w:r>
      <w:proofErr w:type="gramStart"/>
      <w:r w:rsidRPr="00BE6424">
        <w:rPr>
          <w:sz w:val="22"/>
          <w:szCs w:val="22"/>
        </w:rPr>
        <w:t>shoul</w:t>
      </w:r>
      <w:r w:rsidR="00E10372" w:rsidRPr="00BE6424">
        <w:rPr>
          <w:sz w:val="22"/>
          <w:szCs w:val="22"/>
        </w:rPr>
        <w:t xml:space="preserve">d </w:t>
      </w:r>
      <w:r w:rsidR="00E63761" w:rsidRPr="00BE6424">
        <w:rPr>
          <w:sz w:val="22"/>
          <w:szCs w:val="22"/>
        </w:rPr>
        <w:t xml:space="preserve"> </w:t>
      </w:r>
      <w:r w:rsidR="00E10372" w:rsidRPr="00BE6424">
        <w:rPr>
          <w:sz w:val="22"/>
          <w:szCs w:val="22"/>
        </w:rPr>
        <w:t>approach</w:t>
      </w:r>
      <w:proofErr w:type="gramEnd"/>
      <w:r w:rsidR="00E63761" w:rsidRPr="00BE6424">
        <w:rPr>
          <w:sz w:val="22"/>
          <w:szCs w:val="22"/>
        </w:rPr>
        <w:t xml:space="preserve"> or exceed</w:t>
      </w:r>
      <w:r w:rsidR="00E10372" w:rsidRPr="00BE6424">
        <w:rPr>
          <w:sz w:val="22"/>
          <w:szCs w:val="22"/>
        </w:rPr>
        <w:t xml:space="preserve"> 8</w:t>
      </w:r>
      <w:r w:rsidRPr="00BE6424">
        <w:rPr>
          <w:sz w:val="22"/>
          <w:szCs w:val="22"/>
        </w:rPr>
        <w:t> (assuming applying at the end of the 5</w:t>
      </w:r>
      <w:r w:rsidRPr="00BE6424">
        <w:rPr>
          <w:sz w:val="22"/>
          <w:szCs w:val="22"/>
          <w:vertAlign w:val="superscript"/>
        </w:rPr>
        <w:t>th</w:t>
      </w:r>
      <w:r w:rsidRPr="00BE6424">
        <w:rPr>
          <w:sz w:val="22"/>
          <w:szCs w:val="22"/>
        </w:rPr>
        <w:t xml:space="preserve"> year)</w:t>
      </w:r>
      <w:r w:rsidR="007A1B85" w:rsidRPr="00BE6424">
        <w:rPr>
          <w:sz w:val="22"/>
          <w:szCs w:val="22"/>
        </w:rPr>
        <w:t>.</w:t>
      </w:r>
      <w:r w:rsidR="00E63761" w:rsidRPr="00BE6424">
        <w:rPr>
          <w:sz w:val="22"/>
          <w:szCs w:val="22"/>
        </w:rPr>
        <w:t xml:space="preserve">  </w:t>
      </w:r>
      <w:r w:rsidRPr="00BE6424">
        <w:rPr>
          <w:sz w:val="22"/>
          <w:szCs w:val="22"/>
        </w:rPr>
        <w:t>These publications may include those derived from the candidate</w:t>
      </w:r>
      <w:r w:rsidR="00E63761" w:rsidRPr="00BE6424">
        <w:rPr>
          <w:sz w:val="22"/>
          <w:szCs w:val="22"/>
        </w:rPr>
        <w:t>’</w:t>
      </w:r>
      <w:r w:rsidRPr="00BE6424">
        <w:rPr>
          <w:sz w:val="22"/>
          <w:szCs w:val="22"/>
        </w:rPr>
        <w:t>s PhD dissertation work</w:t>
      </w:r>
      <w:r w:rsidR="00E63761" w:rsidRPr="00BE6424">
        <w:rPr>
          <w:sz w:val="22"/>
          <w:szCs w:val="22"/>
        </w:rPr>
        <w:t xml:space="preserve"> with evidence of continued and sustained peer-reviewed publication</w:t>
      </w:r>
      <w:r w:rsidR="007A1B85" w:rsidRPr="00BE6424">
        <w:rPr>
          <w:sz w:val="22"/>
          <w:szCs w:val="22"/>
        </w:rPr>
        <w:t>.</w:t>
      </w:r>
      <w:r w:rsidRPr="00BE6424">
        <w:rPr>
          <w:sz w:val="22"/>
          <w:szCs w:val="22"/>
        </w:rPr>
        <w:t xml:space="preserve"> </w:t>
      </w:r>
    </w:p>
    <w:p w:rsidR="00D9223D" w:rsidRPr="00BE6424" w:rsidRDefault="00D9223D" w:rsidP="00D9223D">
      <w:pPr>
        <w:numPr>
          <w:ilvl w:val="0"/>
          <w:numId w:val="2"/>
        </w:numPr>
        <w:rPr>
          <w:sz w:val="22"/>
          <w:szCs w:val="22"/>
        </w:rPr>
      </w:pPr>
      <w:r w:rsidRPr="00BE6424">
        <w:rPr>
          <w:sz w:val="22"/>
          <w:szCs w:val="22"/>
        </w:rPr>
        <w:lastRenderedPageBreak/>
        <w:t>A sustained record of good teacher ratings is a necessity with the absence of repeated, uncorrected, negative teaching feedback.  Documented forms of teaching recognition such as student granted Instructor-of-the-Quarter awards weigh heavily.</w:t>
      </w:r>
    </w:p>
    <w:p w:rsidR="00D9223D" w:rsidRPr="00BE6424" w:rsidRDefault="00D9223D" w:rsidP="00D9223D">
      <w:pPr>
        <w:numPr>
          <w:ilvl w:val="0"/>
          <w:numId w:val="2"/>
        </w:numPr>
        <w:rPr>
          <w:sz w:val="22"/>
          <w:szCs w:val="22"/>
        </w:rPr>
      </w:pPr>
      <w:r w:rsidRPr="00BE6424">
        <w:rPr>
          <w:sz w:val="22"/>
          <w:szCs w:val="22"/>
        </w:rPr>
        <w:t xml:space="preserve">The candidate should have demonstrated the ability to </w:t>
      </w:r>
      <w:r w:rsidR="00D84715" w:rsidRPr="00BE6424">
        <w:rPr>
          <w:sz w:val="22"/>
          <w:szCs w:val="22"/>
        </w:rPr>
        <w:t xml:space="preserve">consistently </w:t>
      </w:r>
      <w:r w:rsidRPr="00BE6424">
        <w:rPr>
          <w:sz w:val="22"/>
          <w:szCs w:val="22"/>
        </w:rPr>
        <w:t>garner sponsored research funding as a PI</w:t>
      </w:r>
      <w:r w:rsidR="00D84715" w:rsidRPr="00BE6424">
        <w:rPr>
          <w:sz w:val="22"/>
          <w:szCs w:val="22"/>
        </w:rPr>
        <w:t>.</w:t>
      </w:r>
      <w:r w:rsidRPr="00BE6424">
        <w:rPr>
          <w:sz w:val="22"/>
          <w:szCs w:val="22"/>
        </w:rPr>
        <w:t xml:space="preserve">  This may</w:t>
      </w:r>
      <w:r w:rsidR="00D84715" w:rsidRPr="00BE6424">
        <w:rPr>
          <w:sz w:val="22"/>
          <w:szCs w:val="22"/>
        </w:rPr>
        <w:t>, but should not exclusively,</w:t>
      </w:r>
      <w:r w:rsidRPr="00BE6424">
        <w:rPr>
          <w:sz w:val="22"/>
          <w:szCs w:val="22"/>
        </w:rPr>
        <w:t xml:space="preserve"> include internal faculty startup funding such as is available from the Faculty Research Council.  The candidate should demonstrate the ability to sustain his or her line of research (including intercessional salary) by garnering sponsored resear</w:t>
      </w:r>
      <w:r w:rsidR="007A1B85" w:rsidRPr="00BE6424">
        <w:rPr>
          <w:sz w:val="22"/>
          <w:szCs w:val="22"/>
        </w:rPr>
        <w:t xml:space="preserve">ch funds in accordance with </w:t>
      </w:r>
      <w:r w:rsidRPr="00BE6424">
        <w:rPr>
          <w:sz w:val="22"/>
          <w:szCs w:val="22"/>
        </w:rPr>
        <w:t>research funding needs.</w:t>
      </w:r>
    </w:p>
    <w:p w:rsidR="007A1B85" w:rsidRPr="00BE6424" w:rsidRDefault="001F4558" w:rsidP="00D9223D">
      <w:pPr>
        <w:numPr>
          <w:ilvl w:val="0"/>
          <w:numId w:val="2"/>
        </w:numPr>
        <w:rPr>
          <w:sz w:val="22"/>
          <w:szCs w:val="22"/>
        </w:rPr>
      </w:pPr>
      <w:r w:rsidRPr="00BE6424">
        <w:rPr>
          <w:sz w:val="22"/>
          <w:szCs w:val="22"/>
        </w:rPr>
        <w:t xml:space="preserve"> Successfully graduate MS thesi</w:t>
      </w:r>
      <w:r w:rsidR="00D84715" w:rsidRPr="00BE6424">
        <w:rPr>
          <w:sz w:val="22"/>
          <w:szCs w:val="22"/>
        </w:rPr>
        <w:t>s students as the primary advisor.</w:t>
      </w:r>
    </w:p>
    <w:p w:rsidR="00D9223D" w:rsidRPr="00BE6424" w:rsidRDefault="00D9223D" w:rsidP="00D9223D">
      <w:pPr>
        <w:numPr>
          <w:ilvl w:val="0"/>
          <w:numId w:val="2"/>
        </w:numPr>
        <w:rPr>
          <w:sz w:val="22"/>
          <w:szCs w:val="22"/>
        </w:rPr>
      </w:pPr>
      <w:r w:rsidRPr="00BE6424">
        <w:rPr>
          <w:sz w:val="22"/>
          <w:szCs w:val="22"/>
        </w:rPr>
        <w:t xml:space="preserve">All faculty members should participate in service both to their profession and to AFIT. </w:t>
      </w:r>
      <w:r w:rsidR="00F65900" w:rsidRPr="00BE6424">
        <w:rPr>
          <w:sz w:val="22"/>
          <w:szCs w:val="22"/>
        </w:rPr>
        <w:t xml:space="preserve"> </w:t>
      </w:r>
      <w:r w:rsidRPr="00BE6424">
        <w:rPr>
          <w:sz w:val="22"/>
          <w:szCs w:val="22"/>
        </w:rPr>
        <w:t>Assist</w:t>
      </w:r>
      <w:r w:rsidR="00D84715" w:rsidRPr="00BE6424">
        <w:rPr>
          <w:sz w:val="22"/>
          <w:szCs w:val="22"/>
        </w:rPr>
        <w:t>ant Professors should focus</w:t>
      </w:r>
      <w:r w:rsidRPr="00BE6424">
        <w:rPr>
          <w:sz w:val="22"/>
          <w:szCs w:val="22"/>
        </w:rPr>
        <w:t xml:space="preserve"> on professional service such as participating on conference organizing committees, reviewing papers and proposals for various publications and organizations, serving on professional awards committees, and providing consultation support to USAF, DoD</w:t>
      </w:r>
      <w:r w:rsidR="00E10372" w:rsidRPr="00BE6424">
        <w:rPr>
          <w:sz w:val="22"/>
          <w:szCs w:val="22"/>
        </w:rPr>
        <w:t>,</w:t>
      </w:r>
      <w:r w:rsidRPr="00BE6424">
        <w:rPr>
          <w:sz w:val="22"/>
          <w:szCs w:val="22"/>
        </w:rPr>
        <w:t xml:space="preserve"> and national organizations.  </w:t>
      </w:r>
    </w:p>
    <w:p w:rsidR="00D9223D" w:rsidRPr="00BE6424" w:rsidRDefault="00D9223D" w:rsidP="00D9223D">
      <w:pPr>
        <w:rPr>
          <w:sz w:val="22"/>
          <w:szCs w:val="22"/>
        </w:rPr>
      </w:pPr>
    </w:p>
    <w:p w:rsidR="00D9223D" w:rsidRPr="00BE6424" w:rsidRDefault="00D9223D" w:rsidP="00D9223D">
      <w:pPr>
        <w:rPr>
          <w:sz w:val="22"/>
          <w:szCs w:val="22"/>
        </w:rPr>
      </w:pPr>
      <w:r w:rsidRPr="00BE6424">
        <w:rPr>
          <w:sz w:val="22"/>
          <w:szCs w:val="22"/>
        </w:rPr>
        <w:t xml:space="preserve">In addition, the following are areas within a vita that are favorably considered by the </w:t>
      </w:r>
      <w:r w:rsidR="007A1B85" w:rsidRPr="00BE6424">
        <w:rPr>
          <w:sz w:val="22"/>
          <w:szCs w:val="22"/>
        </w:rPr>
        <w:t xml:space="preserve">Department </w:t>
      </w:r>
      <w:r w:rsidRPr="00BE6424">
        <w:rPr>
          <w:sz w:val="22"/>
          <w:szCs w:val="22"/>
        </w:rPr>
        <w:t>P&amp;T committee for promotion and tenure:</w:t>
      </w:r>
    </w:p>
    <w:p w:rsidR="00D9223D" w:rsidRPr="00BE6424" w:rsidRDefault="00D9223D" w:rsidP="00D9223D">
      <w:pPr>
        <w:rPr>
          <w:sz w:val="22"/>
          <w:szCs w:val="22"/>
        </w:rPr>
      </w:pPr>
    </w:p>
    <w:p w:rsidR="00D9223D" w:rsidRPr="00BE6424" w:rsidRDefault="004026A2" w:rsidP="00D9223D">
      <w:pPr>
        <w:numPr>
          <w:ilvl w:val="0"/>
          <w:numId w:val="2"/>
        </w:numPr>
        <w:rPr>
          <w:sz w:val="22"/>
          <w:szCs w:val="22"/>
        </w:rPr>
      </w:pPr>
      <w:r w:rsidRPr="00BE6424">
        <w:rPr>
          <w:sz w:val="22"/>
          <w:szCs w:val="22"/>
        </w:rPr>
        <w:t xml:space="preserve">Research </w:t>
      </w:r>
      <w:r w:rsidR="00D9223D" w:rsidRPr="00BE6424">
        <w:rPr>
          <w:sz w:val="22"/>
          <w:szCs w:val="22"/>
        </w:rPr>
        <w:t>collaboration</w:t>
      </w:r>
      <w:r w:rsidR="00D84715" w:rsidRPr="00BE6424">
        <w:rPr>
          <w:sz w:val="22"/>
          <w:szCs w:val="22"/>
        </w:rPr>
        <w:t>, particularly external to AFIT</w:t>
      </w:r>
      <w:r w:rsidR="00D9223D" w:rsidRPr="00BE6424">
        <w:rPr>
          <w:sz w:val="22"/>
          <w:szCs w:val="22"/>
        </w:rPr>
        <w:t xml:space="preserve"> </w:t>
      </w:r>
    </w:p>
    <w:p w:rsidR="00D9223D" w:rsidRPr="00BE6424" w:rsidRDefault="00D9223D" w:rsidP="00D9223D">
      <w:pPr>
        <w:numPr>
          <w:ilvl w:val="0"/>
          <w:numId w:val="2"/>
        </w:numPr>
        <w:rPr>
          <w:sz w:val="22"/>
          <w:szCs w:val="22"/>
        </w:rPr>
      </w:pPr>
      <w:r w:rsidRPr="00BE6424">
        <w:rPr>
          <w:sz w:val="22"/>
          <w:szCs w:val="22"/>
        </w:rPr>
        <w:t>Contact and involvement with one AF/DoD agency</w:t>
      </w:r>
      <w:r w:rsidR="004026A2" w:rsidRPr="00BE6424">
        <w:rPr>
          <w:sz w:val="22"/>
          <w:szCs w:val="22"/>
        </w:rPr>
        <w:t xml:space="preserve"> or other government or civilian organization</w:t>
      </w:r>
      <w:r w:rsidRPr="00BE6424">
        <w:rPr>
          <w:sz w:val="22"/>
          <w:szCs w:val="22"/>
        </w:rPr>
        <w:t xml:space="preserve"> on a consistent basis </w:t>
      </w:r>
    </w:p>
    <w:p w:rsidR="00D9223D" w:rsidRPr="00BE6424" w:rsidRDefault="00D9223D" w:rsidP="00D9223D">
      <w:pPr>
        <w:numPr>
          <w:ilvl w:val="0"/>
          <w:numId w:val="2"/>
        </w:numPr>
        <w:rPr>
          <w:sz w:val="22"/>
          <w:szCs w:val="22"/>
        </w:rPr>
      </w:pPr>
      <w:r w:rsidRPr="00BE6424">
        <w:rPr>
          <w:sz w:val="22"/>
          <w:szCs w:val="22"/>
        </w:rPr>
        <w:t xml:space="preserve">Institutional and professional society participation </w:t>
      </w:r>
      <w:r w:rsidR="00D84715" w:rsidRPr="00BE6424">
        <w:rPr>
          <w:sz w:val="22"/>
          <w:szCs w:val="22"/>
        </w:rPr>
        <w:t xml:space="preserve">(beyond just as a </w:t>
      </w:r>
      <w:proofErr w:type="gramStart"/>
      <w:r w:rsidR="00D84715" w:rsidRPr="00BE6424">
        <w:rPr>
          <w:sz w:val="22"/>
          <w:szCs w:val="22"/>
        </w:rPr>
        <w:t>dues</w:t>
      </w:r>
      <w:proofErr w:type="gramEnd"/>
      <w:r w:rsidR="00D84715" w:rsidRPr="00BE6424">
        <w:rPr>
          <w:sz w:val="22"/>
          <w:szCs w:val="22"/>
        </w:rPr>
        <w:t xml:space="preserve"> paying member)</w:t>
      </w:r>
    </w:p>
    <w:p w:rsidR="00D9223D" w:rsidRPr="00BE6424" w:rsidRDefault="00D9223D" w:rsidP="00D9223D">
      <w:pPr>
        <w:rPr>
          <w:b/>
          <w:bCs/>
          <w:sz w:val="22"/>
          <w:szCs w:val="22"/>
        </w:rPr>
      </w:pPr>
    </w:p>
    <w:p w:rsidR="001C2350" w:rsidRPr="00BE6424" w:rsidRDefault="001C2350" w:rsidP="00387AD7">
      <w:pPr>
        <w:rPr>
          <w:b/>
          <w:sz w:val="22"/>
          <w:szCs w:val="22"/>
        </w:rPr>
      </w:pPr>
    </w:p>
    <w:p w:rsidR="00387AD7" w:rsidRPr="00BE6424" w:rsidRDefault="00387AD7" w:rsidP="00387AD7">
      <w:pPr>
        <w:rPr>
          <w:sz w:val="22"/>
          <w:szCs w:val="22"/>
        </w:rPr>
      </w:pPr>
      <w:r w:rsidRPr="00BE6424">
        <w:rPr>
          <w:b/>
          <w:sz w:val="22"/>
          <w:szCs w:val="22"/>
        </w:rPr>
        <w:t>Promotion to Full Professor</w:t>
      </w:r>
    </w:p>
    <w:p w:rsidR="00387AD7" w:rsidRPr="00BE6424" w:rsidRDefault="00387AD7" w:rsidP="00387AD7">
      <w:pPr>
        <w:rPr>
          <w:sz w:val="22"/>
          <w:szCs w:val="22"/>
        </w:rPr>
      </w:pPr>
    </w:p>
    <w:p w:rsidR="00387AD7" w:rsidRPr="00BE6424" w:rsidRDefault="00387AD7" w:rsidP="00387AD7">
      <w:pPr>
        <w:rPr>
          <w:sz w:val="22"/>
          <w:szCs w:val="22"/>
        </w:rPr>
      </w:pPr>
      <w:r w:rsidRPr="00BE6424">
        <w:rPr>
          <w:sz w:val="22"/>
          <w:szCs w:val="22"/>
        </w:rPr>
        <w:t>The title of Professor is the highest level of academic rank and should recognize the attainment of authoritative knowledge and reputation in a recognized field of education</w:t>
      </w:r>
      <w:r w:rsidR="00D84715" w:rsidRPr="00BE6424">
        <w:rPr>
          <w:sz w:val="22"/>
          <w:szCs w:val="22"/>
        </w:rPr>
        <w:t>, typically</w:t>
      </w:r>
      <w:r w:rsidRPr="00BE6424">
        <w:rPr>
          <w:sz w:val="22"/>
          <w:szCs w:val="22"/>
        </w:rPr>
        <w:t xml:space="preserve"> over a period of at least ten years of significant experience from the time the </w:t>
      </w:r>
      <w:r w:rsidR="00E10372" w:rsidRPr="00BE6424">
        <w:rPr>
          <w:sz w:val="22"/>
          <w:szCs w:val="22"/>
        </w:rPr>
        <w:t>doctoral degree</w:t>
      </w:r>
      <w:r w:rsidRPr="00BE6424">
        <w:rPr>
          <w:sz w:val="22"/>
          <w:szCs w:val="22"/>
        </w:rPr>
        <w:t xml:space="preserve"> was obtained.  Exceptions to this time span may occur but those are very infrequent and rare.  The pers</w:t>
      </w:r>
      <w:r w:rsidR="00E10372" w:rsidRPr="00BE6424">
        <w:rPr>
          <w:sz w:val="22"/>
          <w:szCs w:val="22"/>
        </w:rPr>
        <w:t>on should include in this total</w:t>
      </w:r>
      <w:r w:rsidRPr="00BE6424">
        <w:rPr>
          <w:sz w:val="22"/>
          <w:szCs w:val="22"/>
        </w:rPr>
        <w:t xml:space="preserve"> six years of </w:t>
      </w:r>
      <w:proofErr w:type="gramStart"/>
      <w:r w:rsidRPr="00BE6424">
        <w:rPr>
          <w:sz w:val="22"/>
          <w:szCs w:val="22"/>
        </w:rPr>
        <w:t>full time</w:t>
      </w:r>
      <w:proofErr w:type="gramEnd"/>
      <w:r w:rsidRPr="00BE6424">
        <w:rPr>
          <w:sz w:val="22"/>
          <w:szCs w:val="22"/>
        </w:rPr>
        <w:t xml:space="preserve"> university experience.  The individual should have attained superior stature in his or her field through research, writing, teaching, professional practice, or leadership in professional and learned organizations, as well as having exceeded the standards described for ranks below the level of Professor.</w:t>
      </w:r>
    </w:p>
    <w:p w:rsidR="00387AD7" w:rsidRPr="00BE6424" w:rsidRDefault="00387AD7" w:rsidP="00387AD7">
      <w:pPr>
        <w:rPr>
          <w:sz w:val="22"/>
          <w:szCs w:val="22"/>
          <w:u w:val="single"/>
        </w:rPr>
      </w:pPr>
    </w:p>
    <w:p w:rsidR="00387AD7" w:rsidRPr="00BE6424" w:rsidRDefault="00387AD7" w:rsidP="00387AD7">
      <w:pPr>
        <w:rPr>
          <w:sz w:val="22"/>
          <w:szCs w:val="22"/>
        </w:rPr>
      </w:pPr>
      <w:r w:rsidRPr="00BE6424">
        <w:rPr>
          <w:sz w:val="22"/>
          <w:szCs w:val="22"/>
          <w:u w:val="single"/>
        </w:rPr>
        <w:t>Research</w:t>
      </w:r>
      <w:r w:rsidRPr="00BE6424">
        <w:rPr>
          <w:sz w:val="22"/>
          <w:szCs w:val="22"/>
        </w:rPr>
        <w:t>:  Those aspiring to the rank of Professor must have demonstrated consistent leadership as the primary investigator</w:t>
      </w:r>
      <w:r w:rsidR="00F65900" w:rsidRPr="00BE6424">
        <w:rPr>
          <w:sz w:val="22"/>
          <w:szCs w:val="22"/>
        </w:rPr>
        <w:t>.</w:t>
      </w:r>
      <w:r w:rsidRPr="00BE6424">
        <w:rPr>
          <w:sz w:val="22"/>
          <w:szCs w:val="22"/>
        </w:rPr>
        <w:t xml:space="preserve"> </w:t>
      </w:r>
      <w:r w:rsidR="00CA554D" w:rsidRPr="00BE6424">
        <w:rPr>
          <w:sz w:val="22"/>
          <w:szCs w:val="22"/>
        </w:rPr>
        <w:t xml:space="preserve"> The quality and impact of the</w:t>
      </w:r>
      <w:r w:rsidRPr="00BE6424">
        <w:rPr>
          <w:sz w:val="22"/>
          <w:szCs w:val="22"/>
        </w:rPr>
        <w:t xml:space="preserve"> research is of paramount consideration</w:t>
      </w:r>
      <w:r w:rsidR="00CA554D" w:rsidRPr="00BE6424">
        <w:rPr>
          <w:sz w:val="22"/>
          <w:szCs w:val="22"/>
        </w:rPr>
        <w:t>.</w:t>
      </w:r>
      <w:r w:rsidRPr="00BE6424">
        <w:rPr>
          <w:sz w:val="22"/>
          <w:szCs w:val="22"/>
        </w:rPr>
        <w:t xml:space="preserve"> </w:t>
      </w:r>
      <w:r w:rsidR="00CA554D" w:rsidRPr="00BE6424">
        <w:rPr>
          <w:sz w:val="22"/>
          <w:szCs w:val="22"/>
        </w:rPr>
        <w:t xml:space="preserve"> </w:t>
      </w:r>
    </w:p>
    <w:p w:rsidR="00CA554D" w:rsidRPr="00BE6424" w:rsidRDefault="00CA554D" w:rsidP="00387AD7">
      <w:pPr>
        <w:rPr>
          <w:sz w:val="22"/>
          <w:szCs w:val="22"/>
        </w:rPr>
      </w:pPr>
    </w:p>
    <w:p w:rsidR="00387AD7" w:rsidRPr="00BE6424" w:rsidRDefault="00387AD7" w:rsidP="00387AD7">
      <w:pPr>
        <w:rPr>
          <w:sz w:val="22"/>
          <w:szCs w:val="22"/>
        </w:rPr>
      </w:pPr>
      <w:r w:rsidRPr="00BE6424">
        <w:rPr>
          <w:sz w:val="22"/>
          <w:szCs w:val="22"/>
          <w:u w:val="single"/>
        </w:rPr>
        <w:t>Teaching</w:t>
      </w:r>
      <w:r w:rsidRPr="00BE6424">
        <w:rPr>
          <w:sz w:val="22"/>
          <w:szCs w:val="22"/>
        </w:rPr>
        <w:t>:  A sustained level of excellent teaching is required as described for the candidate for Associate Professor.  A continued teaching load of 4 to 5 courses per year is expected, although, in consultation with the department head, this expectation can be lowered to facilitate better productivity of funded research and other leadership responsibilities.</w:t>
      </w:r>
    </w:p>
    <w:p w:rsidR="00387AD7" w:rsidRPr="00BE6424" w:rsidRDefault="00387AD7" w:rsidP="00387AD7">
      <w:pPr>
        <w:rPr>
          <w:sz w:val="22"/>
          <w:szCs w:val="22"/>
        </w:rPr>
      </w:pPr>
    </w:p>
    <w:p w:rsidR="00387AD7" w:rsidRPr="00BE6424" w:rsidRDefault="00387AD7" w:rsidP="00387AD7">
      <w:pPr>
        <w:rPr>
          <w:sz w:val="22"/>
          <w:szCs w:val="22"/>
        </w:rPr>
      </w:pPr>
      <w:r w:rsidRPr="00BE6424">
        <w:rPr>
          <w:sz w:val="22"/>
          <w:szCs w:val="22"/>
          <w:u w:val="single"/>
        </w:rPr>
        <w:t>Service</w:t>
      </w:r>
      <w:r w:rsidRPr="00BE6424">
        <w:rPr>
          <w:sz w:val="22"/>
          <w:szCs w:val="22"/>
        </w:rPr>
        <w:t xml:space="preserve">:  Once promoted and/or tenured, faculty members should take an increasingly active role in the administrative responsibilities of running the department and </w:t>
      </w:r>
      <w:r w:rsidR="00CA554D" w:rsidRPr="00BE6424">
        <w:rPr>
          <w:sz w:val="22"/>
          <w:szCs w:val="22"/>
        </w:rPr>
        <w:t>the school. This service will be</w:t>
      </w:r>
      <w:r w:rsidRPr="00BE6424">
        <w:rPr>
          <w:sz w:val="22"/>
          <w:szCs w:val="22"/>
        </w:rPr>
        <w:t xml:space="preserve"> considered when a faculty member is evaluated for promotion to Professor.</w:t>
      </w:r>
    </w:p>
    <w:p w:rsidR="00387AD7" w:rsidRPr="00BE6424" w:rsidRDefault="00387AD7" w:rsidP="00387AD7">
      <w:pPr>
        <w:rPr>
          <w:b/>
          <w:sz w:val="22"/>
          <w:szCs w:val="22"/>
        </w:rPr>
      </w:pPr>
    </w:p>
    <w:p w:rsidR="00BE6424" w:rsidRDefault="00BE6424">
      <w:pPr>
        <w:rPr>
          <w:b/>
          <w:sz w:val="22"/>
          <w:szCs w:val="22"/>
        </w:rPr>
      </w:pPr>
      <w:r>
        <w:rPr>
          <w:b/>
          <w:sz w:val="22"/>
          <w:szCs w:val="22"/>
        </w:rPr>
        <w:br w:type="page"/>
      </w:r>
    </w:p>
    <w:p w:rsidR="00387AD7" w:rsidRPr="00BE6424" w:rsidRDefault="00387AD7" w:rsidP="00387AD7">
      <w:pPr>
        <w:rPr>
          <w:b/>
          <w:sz w:val="22"/>
          <w:szCs w:val="22"/>
        </w:rPr>
      </w:pPr>
      <w:r w:rsidRPr="00BE6424">
        <w:rPr>
          <w:b/>
          <w:sz w:val="22"/>
          <w:szCs w:val="22"/>
        </w:rPr>
        <w:lastRenderedPageBreak/>
        <w:t>The primary criteria for promotion to the rank of Professor are:</w:t>
      </w:r>
    </w:p>
    <w:p w:rsidR="00387AD7" w:rsidRPr="00BE6424" w:rsidRDefault="00387AD7" w:rsidP="00387AD7">
      <w:pPr>
        <w:rPr>
          <w:sz w:val="22"/>
          <w:szCs w:val="22"/>
        </w:rPr>
      </w:pPr>
    </w:p>
    <w:p w:rsidR="00387AD7" w:rsidRPr="00BE6424" w:rsidRDefault="00387AD7" w:rsidP="00387AD7">
      <w:pPr>
        <w:rPr>
          <w:sz w:val="22"/>
          <w:szCs w:val="22"/>
          <w:u w:val="single"/>
        </w:rPr>
      </w:pPr>
    </w:p>
    <w:p w:rsidR="00DE283F" w:rsidRPr="00BE6424" w:rsidRDefault="00387AD7" w:rsidP="00387AD7">
      <w:pPr>
        <w:numPr>
          <w:ilvl w:val="0"/>
          <w:numId w:val="9"/>
        </w:numPr>
        <w:tabs>
          <w:tab w:val="left" w:pos="1440"/>
        </w:tabs>
        <w:rPr>
          <w:sz w:val="22"/>
          <w:szCs w:val="22"/>
        </w:rPr>
      </w:pPr>
      <w:r w:rsidRPr="00BE6424">
        <w:rPr>
          <w:sz w:val="22"/>
          <w:szCs w:val="22"/>
        </w:rPr>
        <w:t xml:space="preserve">Cumulative archival publications (including joint authorship) should </w:t>
      </w:r>
      <w:r w:rsidR="008D6906" w:rsidRPr="00BE6424">
        <w:rPr>
          <w:sz w:val="22"/>
          <w:szCs w:val="22"/>
        </w:rPr>
        <w:t>be at least</w:t>
      </w:r>
      <w:r w:rsidRPr="00BE6424">
        <w:rPr>
          <w:sz w:val="22"/>
          <w:szCs w:val="22"/>
        </w:rPr>
        <w:t xml:space="preserve"> 20</w:t>
      </w:r>
      <w:r w:rsidR="004026A2" w:rsidRPr="00BE6424">
        <w:rPr>
          <w:sz w:val="22"/>
          <w:szCs w:val="22"/>
        </w:rPr>
        <w:t xml:space="preserve"> with evidence of continued and sustained publication</w:t>
      </w:r>
      <w:r w:rsidR="00DE283F" w:rsidRPr="00BE6424">
        <w:rPr>
          <w:sz w:val="22"/>
          <w:szCs w:val="22"/>
        </w:rPr>
        <w:t>.</w:t>
      </w:r>
      <w:r w:rsidRPr="00BE6424">
        <w:rPr>
          <w:sz w:val="22"/>
          <w:szCs w:val="22"/>
        </w:rPr>
        <w:t xml:space="preserve"> </w:t>
      </w:r>
    </w:p>
    <w:p w:rsidR="00387AD7" w:rsidRPr="00BE6424" w:rsidRDefault="00387AD7" w:rsidP="00387AD7">
      <w:pPr>
        <w:numPr>
          <w:ilvl w:val="0"/>
          <w:numId w:val="9"/>
        </w:numPr>
        <w:tabs>
          <w:tab w:val="left" w:pos="1440"/>
        </w:tabs>
        <w:rPr>
          <w:sz w:val="22"/>
          <w:szCs w:val="22"/>
        </w:rPr>
      </w:pPr>
      <w:r w:rsidRPr="00BE6424">
        <w:rPr>
          <w:sz w:val="22"/>
          <w:szCs w:val="22"/>
        </w:rPr>
        <w:t>A sustained record of good teacher ratings is a necessity with the absence of repeated, uncorrected, negative teaching feedback.  Documented forms of teaching recognition such as student granted Instructor-of-the-Quarter awards weigh heavily.</w:t>
      </w:r>
    </w:p>
    <w:p w:rsidR="00D84715" w:rsidRPr="00BE6424" w:rsidRDefault="001F4558" w:rsidP="00D84715">
      <w:pPr>
        <w:pStyle w:val="ListParagraph"/>
        <w:numPr>
          <w:ilvl w:val="0"/>
          <w:numId w:val="9"/>
        </w:numPr>
        <w:tabs>
          <w:tab w:val="left" w:pos="1440"/>
        </w:tabs>
        <w:rPr>
          <w:sz w:val="22"/>
          <w:szCs w:val="22"/>
        </w:rPr>
      </w:pPr>
      <w:r w:rsidRPr="00BE6424">
        <w:rPr>
          <w:sz w:val="22"/>
          <w:szCs w:val="22"/>
        </w:rPr>
        <w:t xml:space="preserve">The candidate for Professor must have successfully </w:t>
      </w:r>
      <w:r w:rsidR="004026A2" w:rsidRPr="00BE6424">
        <w:rPr>
          <w:sz w:val="22"/>
          <w:szCs w:val="22"/>
        </w:rPr>
        <w:t>advised</w:t>
      </w:r>
      <w:r w:rsidRPr="00BE6424">
        <w:rPr>
          <w:sz w:val="22"/>
          <w:szCs w:val="22"/>
        </w:rPr>
        <w:t xml:space="preserve"> MS and/or PhD candidates.  Participating in or chairing a doctoral committee is </w:t>
      </w:r>
      <w:r w:rsidR="00D84715" w:rsidRPr="00BE6424">
        <w:rPr>
          <w:sz w:val="22"/>
          <w:szCs w:val="22"/>
        </w:rPr>
        <w:t>highly valued.</w:t>
      </w:r>
      <w:r w:rsidR="006043A1" w:rsidRPr="00BE6424">
        <w:rPr>
          <w:sz w:val="22"/>
          <w:szCs w:val="22"/>
        </w:rPr>
        <w:t xml:space="preserve">  Publication of advisee research is also highly valued.</w:t>
      </w:r>
      <w:r w:rsidRPr="00BE6424">
        <w:rPr>
          <w:sz w:val="22"/>
          <w:szCs w:val="22"/>
        </w:rPr>
        <w:t xml:space="preserve"> </w:t>
      </w:r>
    </w:p>
    <w:p w:rsidR="00387AD7" w:rsidRPr="00BE6424" w:rsidRDefault="00387AD7" w:rsidP="00D84715">
      <w:pPr>
        <w:pStyle w:val="ListParagraph"/>
        <w:numPr>
          <w:ilvl w:val="0"/>
          <w:numId w:val="9"/>
        </w:numPr>
        <w:tabs>
          <w:tab w:val="left" w:pos="1440"/>
        </w:tabs>
        <w:rPr>
          <w:sz w:val="22"/>
          <w:szCs w:val="22"/>
        </w:rPr>
      </w:pPr>
      <w:r w:rsidRPr="00BE6424">
        <w:rPr>
          <w:sz w:val="22"/>
          <w:szCs w:val="22"/>
        </w:rPr>
        <w:t>Increased involvement in Department and Institutional governance (e.g., chairing a program committee, membership on School committee).</w:t>
      </w:r>
    </w:p>
    <w:p w:rsidR="00387AD7" w:rsidRPr="00BE6424" w:rsidRDefault="00387AD7" w:rsidP="00387AD7">
      <w:pPr>
        <w:numPr>
          <w:ilvl w:val="1"/>
          <w:numId w:val="8"/>
        </w:numPr>
        <w:tabs>
          <w:tab w:val="num" w:pos="720"/>
          <w:tab w:val="left" w:pos="1440"/>
        </w:tabs>
        <w:ind w:left="720"/>
        <w:rPr>
          <w:sz w:val="22"/>
          <w:szCs w:val="22"/>
        </w:rPr>
      </w:pPr>
      <w:r w:rsidRPr="00BE6424">
        <w:rPr>
          <w:sz w:val="22"/>
          <w:szCs w:val="22"/>
        </w:rPr>
        <w:t xml:space="preserve">Successfully connect </w:t>
      </w:r>
      <w:r w:rsidR="00E63761" w:rsidRPr="00BE6424">
        <w:rPr>
          <w:sz w:val="22"/>
          <w:szCs w:val="22"/>
        </w:rPr>
        <w:t xml:space="preserve">a portion of their </w:t>
      </w:r>
      <w:r w:rsidRPr="00BE6424">
        <w:rPr>
          <w:sz w:val="22"/>
          <w:szCs w:val="22"/>
        </w:rPr>
        <w:t xml:space="preserve">research and consulting activities to Air </w:t>
      </w:r>
      <w:r w:rsidR="004026A2" w:rsidRPr="00BE6424">
        <w:rPr>
          <w:sz w:val="22"/>
          <w:szCs w:val="22"/>
        </w:rPr>
        <w:t>Force,</w:t>
      </w:r>
      <w:r w:rsidRPr="00BE6424">
        <w:rPr>
          <w:sz w:val="22"/>
          <w:szCs w:val="22"/>
        </w:rPr>
        <w:t xml:space="preserve"> DoD</w:t>
      </w:r>
      <w:r w:rsidR="004026A2" w:rsidRPr="00BE6424">
        <w:rPr>
          <w:sz w:val="22"/>
          <w:szCs w:val="22"/>
        </w:rPr>
        <w:t xml:space="preserve">, </w:t>
      </w:r>
      <w:r w:rsidR="00E63761" w:rsidRPr="00BE6424">
        <w:rPr>
          <w:sz w:val="22"/>
          <w:szCs w:val="22"/>
        </w:rPr>
        <w:t xml:space="preserve">or </w:t>
      </w:r>
      <w:r w:rsidR="004026A2" w:rsidRPr="00BE6424">
        <w:rPr>
          <w:sz w:val="22"/>
          <w:szCs w:val="22"/>
        </w:rPr>
        <w:t xml:space="preserve">governmental </w:t>
      </w:r>
      <w:r w:rsidRPr="00BE6424">
        <w:rPr>
          <w:sz w:val="22"/>
          <w:szCs w:val="22"/>
        </w:rPr>
        <w:t>problems.</w:t>
      </w:r>
    </w:p>
    <w:p w:rsidR="001F4558" w:rsidRPr="00BE6424" w:rsidRDefault="00387AD7" w:rsidP="001C2350">
      <w:pPr>
        <w:pStyle w:val="ListParagraph"/>
        <w:numPr>
          <w:ilvl w:val="0"/>
          <w:numId w:val="8"/>
        </w:numPr>
        <w:tabs>
          <w:tab w:val="left" w:pos="1440"/>
        </w:tabs>
        <w:ind w:right="-180"/>
        <w:jc w:val="both"/>
        <w:rPr>
          <w:sz w:val="22"/>
          <w:szCs w:val="22"/>
        </w:rPr>
      </w:pPr>
      <w:r w:rsidRPr="00BE6424">
        <w:rPr>
          <w:sz w:val="22"/>
          <w:szCs w:val="22"/>
        </w:rPr>
        <w:t>Continue to demonstrate the abilit</w:t>
      </w:r>
      <w:r w:rsidR="004026A2" w:rsidRPr="00BE6424">
        <w:rPr>
          <w:sz w:val="22"/>
          <w:szCs w:val="22"/>
        </w:rPr>
        <w:t>y to sustain a line of research</w:t>
      </w:r>
      <w:r w:rsidRPr="00BE6424">
        <w:rPr>
          <w:sz w:val="22"/>
          <w:szCs w:val="22"/>
        </w:rPr>
        <w:t xml:space="preserve"> by garnering sponsored resea</w:t>
      </w:r>
      <w:r w:rsidR="008D6906" w:rsidRPr="00BE6424">
        <w:rPr>
          <w:sz w:val="22"/>
          <w:szCs w:val="22"/>
        </w:rPr>
        <w:t>rch funds in accordance with</w:t>
      </w:r>
      <w:r w:rsidRPr="00BE6424">
        <w:rPr>
          <w:sz w:val="22"/>
          <w:szCs w:val="22"/>
        </w:rPr>
        <w:t xml:space="preserve"> research funding needs.</w:t>
      </w:r>
      <w:r w:rsidR="001F4558" w:rsidRPr="00BE6424">
        <w:rPr>
          <w:sz w:val="22"/>
          <w:szCs w:val="22"/>
        </w:rPr>
        <w:t xml:space="preserve">  </w:t>
      </w:r>
    </w:p>
    <w:p w:rsidR="00387AD7" w:rsidRPr="00BE6424" w:rsidRDefault="001C2350" w:rsidP="001C2350">
      <w:pPr>
        <w:pStyle w:val="ListParagraph"/>
        <w:numPr>
          <w:ilvl w:val="0"/>
          <w:numId w:val="8"/>
        </w:numPr>
        <w:tabs>
          <w:tab w:val="left" w:pos="1440"/>
        </w:tabs>
        <w:rPr>
          <w:sz w:val="22"/>
          <w:szCs w:val="22"/>
        </w:rPr>
      </w:pPr>
      <w:r w:rsidRPr="00BE6424">
        <w:rPr>
          <w:sz w:val="22"/>
          <w:szCs w:val="22"/>
        </w:rPr>
        <w:t>Evidence of demonstrated leadership in the profession.</w:t>
      </w:r>
    </w:p>
    <w:p w:rsidR="00387AD7" w:rsidRPr="00BE6424" w:rsidRDefault="00387AD7" w:rsidP="00387AD7">
      <w:pPr>
        <w:rPr>
          <w:sz w:val="22"/>
          <w:szCs w:val="22"/>
        </w:rPr>
      </w:pPr>
    </w:p>
    <w:p w:rsidR="00387AD7" w:rsidRPr="00BE6424" w:rsidRDefault="00387AD7" w:rsidP="00D9223D">
      <w:pPr>
        <w:rPr>
          <w:b/>
          <w:bCs/>
          <w:sz w:val="22"/>
          <w:szCs w:val="22"/>
        </w:rPr>
      </w:pPr>
    </w:p>
    <w:p w:rsidR="00CA554D" w:rsidRPr="00BE6424" w:rsidRDefault="00CA554D" w:rsidP="00CA554D">
      <w:pPr>
        <w:pStyle w:val="ListParagraph"/>
        <w:ind w:right="-180"/>
        <w:jc w:val="both"/>
        <w:rPr>
          <w:sz w:val="22"/>
          <w:szCs w:val="22"/>
        </w:rPr>
      </w:pPr>
    </w:p>
    <w:p w:rsidR="00CA554D" w:rsidRPr="00BE6424" w:rsidRDefault="00CA554D" w:rsidP="00CA554D">
      <w:pPr>
        <w:ind w:right="-180"/>
        <w:jc w:val="both"/>
        <w:rPr>
          <w:sz w:val="22"/>
          <w:szCs w:val="22"/>
        </w:rPr>
      </w:pPr>
    </w:p>
    <w:p w:rsidR="00D9223D" w:rsidRPr="00BE6424" w:rsidRDefault="00D9223D" w:rsidP="0021610E">
      <w:pPr>
        <w:ind w:firstLine="720"/>
        <w:rPr>
          <w:sz w:val="22"/>
          <w:szCs w:val="22"/>
        </w:rPr>
      </w:pPr>
    </w:p>
    <w:p w:rsidR="008D6906" w:rsidRPr="00BE6424" w:rsidRDefault="008D6906">
      <w:pPr>
        <w:rPr>
          <w:sz w:val="22"/>
          <w:szCs w:val="22"/>
        </w:rPr>
      </w:pPr>
      <w:r w:rsidRPr="00BE6424">
        <w:rPr>
          <w:sz w:val="22"/>
          <w:szCs w:val="22"/>
        </w:rPr>
        <w:br w:type="page"/>
      </w:r>
    </w:p>
    <w:p w:rsidR="00811649" w:rsidRPr="00BE6424" w:rsidRDefault="0008337B" w:rsidP="001C2350">
      <w:pPr>
        <w:jc w:val="center"/>
        <w:rPr>
          <w:b/>
          <w:sz w:val="22"/>
          <w:szCs w:val="22"/>
        </w:rPr>
      </w:pPr>
      <w:r w:rsidRPr="00BE6424">
        <w:rPr>
          <w:b/>
          <w:sz w:val="22"/>
          <w:szCs w:val="22"/>
        </w:rPr>
        <w:lastRenderedPageBreak/>
        <w:t xml:space="preserve">Faculty </w:t>
      </w:r>
      <w:r w:rsidR="001C2350" w:rsidRPr="00BE6424">
        <w:rPr>
          <w:b/>
          <w:sz w:val="22"/>
          <w:szCs w:val="22"/>
        </w:rPr>
        <w:t>Mentoring</w:t>
      </w:r>
    </w:p>
    <w:p w:rsidR="001C2350" w:rsidRPr="00BE6424" w:rsidRDefault="001C2350" w:rsidP="00D628D9">
      <w:pPr>
        <w:rPr>
          <w:sz w:val="22"/>
          <w:szCs w:val="22"/>
        </w:rPr>
      </w:pPr>
    </w:p>
    <w:p w:rsidR="00961834" w:rsidRPr="00BE6424" w:rsidRDefault="00A06F2E" w:rsidP="00E221CB">
      <w:pPr>
        <w:pStyle w:val="ListParagraph"/>
        <w:ind w:left="0"/>
        <w:rPr>
          <w:color w:val="000000"/>
          <w:sz w:val="22"/>
          <w:szCs w:val="22"/>
        </w:rPr>
      </w:pPr>
      <w:r w:rsidRPr="00BE6424">
        <w:rPr>
          <w:sz w:val="22"/>
          <w:szCs w:val="22"/>
        </w:rPr>
        <w:t xml:space="preserve">Mentoring </w:t>
      </w:r>
      <w:r w:rsidR="008752E2" w:rsidRPr="00BE6424">
        <w:rPr>
          <w:sz w:val="22"/>
          <w:szCs w:val="22"/>
        </w:rPr>
        <w:t xml:space="preserve">of faculty </w:t>
      </w:r>
      <w:r w:rsidRPr="00BE6424">
        <w:rPr>
          <w:sz w:val="22"/>
          <w:szCs w:val="22"/>
        </w:rPr>
        <w:t xml:space="preserve">by </w:t>
      </w:r>
      <w:r w:rsidR="008752E2" w:rsidRPr="00BE6424">
        <w:rPr>
          <w:sz w:val="22"/>
          <w:szCs w:val="22"/>
        </w:rPr>
        <w:t xml:space="preserve">senior </w:t>
      </w:r>
      <w:r w:rsidRPr="00BE6424">
        <w:rPr>
          <w:sz w:val="22"/>
          <w:szCs w:val="22"/>
        </w:rPr>
        <w:t xml:space="preserve">members of the Department </w:t>
      </w:r>
      <w:r w:rsidR="0008337B" w:rsidRPr="00BE6424">
        <w:rPr>
          <w:sz w:val="22"/>
          <w:szCs w:val="22"/>
        </w:rPr>
        <w:t xml:space="preserve">P&amp;T </w:t>
      </w:r>
      <w:r w:rsidRPr="00BE6424">
        <w:rPr>
          <w:sz w:val="22"/>
          <w:szCs w:val="22"/>
        </w:rPr>
        <w:t>Committee</w:t>
      </w:r>
      <w:r w:rsidR="008752E2" w:rsidRPr="00BE6424">
        <w:rPr>
          <w:sz w:val="22"/>
          <w:szCs w:val="22"/>
        </w:rPr>
        <w:t xml:space="preserve"> is essential to conveying the</w:t>
      </w:r>
      <w:r w:rsidRPr="00BE6424">
        <w:rPr>
          <w:sz w:val="22"/>
          <w:szCs w:val="22"/>
        </w:rPr>
        <w:t xml:space="preserve"> standards</w:t>
      </w:r>
      <w:r w:rsidR="008752E2" w:rsidRPr="00BE6424">
        <w:rPr>
          <w:sz w:val="22"/>
          <w:szCs w:val="22"/>
        </w:rPr>
        <w:t xml:space="preserve"> presented in the Graduate School’s </w:t>
      </w:r>
      <w:r w:rsidR="008752E2" w:rsidRPr="00BE6424">
        <w:rPr>
          <w:color w:val="000000"/>
          <w:sz w:val="22"/>
          <w:szCs w:val="22"/>
        </w:rPr>
        <w:t xml:space="preserve">Standing Rules for Promotion and Tenure and the Department’s promotion and tenure guidelines.  </w:t>
      </w:r>
      <w:r w:rsidR="00F83EBE" w:rsidRPr="00BE6424">
        <w:rPr>
          <w:color w:val="000000"/>
          <w:sz w:val="22"/>
          <w:szCs w:val="22"/>
        </w:rPr>
        <w:t xml:space="preserve">According to </w:t>
      </w:r>
      <w:r w:rsidR="00D84715" w:rsidRPr="00BE6424">
        <w:rPr>
          <w:rFonts w:cs="TimesNewRomanPS-BoldItalicMT"/>
          <w:bCs/>
          <w:iCs/>
          <w:sz w:val="22"/>
          <w:szCs w:val="22"/>
        </w:rPr>
        <w:t xml:space="preserve">Air Force Instruction 36-3401, </w:t>
      </w:r>
      <w:r w:rsidR="00F83EBE" w:rsidRPr="00BE6424">
        <w:rPr>
          <w:rFonts w:ascii="TimesNewRomanPSMT" w:hAnsi="TimesNewRomanPSMT" w:cs="TimesNewRomanPSMT"/>
          <w:sz w:val="22"/>
          <w:szCs w:val="22"/>
        </w:rPr>
        <w:t>a mentor is defined as “a trusted counselor or guide.” Mentoring, therefore, is a relationship in which a person with greater experience and wisdom guides another person to develop both personally and professionall</w:t>
      </w:r>
      <w:r w:rsidR="00F83EBE" w:rsidRPr="00BE6424">
        <w:rPr>
          <w:color w:val="000000"/>
          <w:sz w:val="22"/>
          <w:szCs w:val="22"/>
        </w:rPr>
        <w:t>y.”</w:t>
      </w:r>
      <w:r w:rsidR="00BD71B6" w:rsidRPr="00BE6424">
        <w:rPr>
          <w:color w:val="000000"/>
          <w:sz w:val="22"/>
          <w:szCs w:val="22"/>
        </w:rPr>
        <w:t xml:space="preserve">  Simply stated, mentoring is a</w:t>
      </w:r>
      <w:r w:rsidR="00E63761" w:rsidRPr="00BE6424">
        <w:rPr>
          <w:color w:val="000000"/>
          <w:sz w:val="22"/>
          <w:szCs w:val="22"/>
        </w:rPr>
        <w:t>n individualized</w:t>
      </w:r>
      <w:r w:rsidR="00BD71B6" w:rsidRPr="00BE6424">
        <w:rPr>
          <w:color w:val="000000"/>
          <w:sz w:val="22"/>
          <w:szCs w:val="22"/>
        </w:rPr>
        <w:t xml:space="preserve"> pro</w:t>
      </w:r>
      <w:r w:rsidR="00E63761" w:rsidRPr="00BE6424">
        <w:rPr>
          <w:color w:val="000000"/>
          <w:sz w:val="22"/>
          <w:szCs w:val="22"/>
        </w:rPr>
        <w:t>cess in which an experienced</w:t>
      </w:r>
      <w:r w:rsidR="00BD71B6" w:rsidRPr="00BE6424">
        <w:rPr>
          <w:color w:val="000000"/>
          <w:sz w:val="22"/>
          <w:szCs w:val="22"/>
        </w:rPr>
        <w:t xml:space="preserve"> person</w:t>
      </w:r>
      <w:r w:rsidR="00E63761" w:rsidRPr="00BE6424">
        <w:rPr>
          <w:color w:val="000000"/>
          <w:sz w:val="22"/>
          <w:szCs w:val="22"/>
        </w:rPr>
        <w:t>(s)</w:t>
      </w:r>
      <w:r w:rsidR="00BD71B6" w:rsidRPr="00BE6424">
        <w:rPr>
          <w:color w:val="000000"/>
          <w:sz w:val="22"/>
          <w:szCs w:val="22"/>
        </w:rPr>
        <w:t xml:space="preserve"> supports and aids a less experienced person in his/her professional or personal development.</w:t>
      </w:r>
      <w:r w:rsidR="0008337B" w:rsidRPr="00BE6424">
        <w:rPr>
          <w:color w:val="000000"/>
          <w:sz w:val="22"/>
          <w:szCs w:val="22"/>
        </w:rPr>
        <w:t xml:space="preserve"> </w:t>
      </w:r>
      <w:r w:rsidR="00BD71B6" w:rsidRPr="00BE6424">
        <w:rPr>
          <w:color w:val="000000"/>
          <w:sz w:val="22"/>
          <w:szCs w:val="22"/>
        </w:rPr>
        <w:t xml:space="preserve"> </w:t>
      </w:r>
    </w:p>
    <w:p w:rsidR="00961834" w:rsidRPr="00BE6424" w:rsidRDefault="00961834" w:rsidP="00961834">
      <w:pPr>
        <w:spacing w:before="100" w:beforeAutospacing="1" w:after="100" w:afterAutospacing="1"/>
        <w:contextualSpacing/>
        <w:rPr>
          <w:color w:val="000000"/>
          <w:sz w:val="22"/>
          <w:szCs w:val="22"/>
        </w:rPr>
      </w:pPr>
    </w:p>
    <w:p w:rsidR="00BD71B6" w:rsidRPr="00BE6424" w:rsidRDefault="00BD71B6" w:rsidP="00961834">
      <w:pPr>
        <w:spacing w:before="100" w:beforeAutospacing="1" w:after="100" w:afterAutospacing="1"/>
        <w:contextualSpacing/>
        <w:rPr>
          <w:color w:val="800000"/>
          <w:sz w:val="22"/>
          <w:szCs w:val="22"/>
        </w:rPr>
      </w:pPr>
      <w:r w:rsidRPr="00BE6424">
        <w:rPr>
          <w:color w:val="000000"/>
          <w:sz w:val="22"/>
          <w:szCs w:val="22"/>
        </w:rPr>
        <w:t xml:space="preserve">Mentoring relationships help new </w:t>
      </w:r>
      <w:r w:rsidR="00961834" w:rsidRPr="00BE6424">
        <w:rPr>
          <w:color w:val="000000"/>
          <w:sz w:val="22"/>
          <w:szCs w:val="22"/>
        </w:rPr>
        <w:t>faculty members</w:t>
      </w:r>
      <w:r w:rsidRPr="00BE6424">
        <w:rPr>
          <w:color w:val="000000"/>
          <w:sz w:val="22"/>
          <w:szCs w:val="22"/>
        </w:rPr>
        <w:t xml:space="preserve"> "learn the ropes" by pairing them with established</w:t>
      </w:r>
      <w:r w:rsidR="00961834" w:rsidRPr="00BE6424">
        <w:rPr>
          <w:color w:val="000000"/>
          <w:sz w:val="22"/>
          <w:szCs w:val="22"/>
        </w:rPr>
        <w:t>, tenured faculty members</w:t>
      </w:r>
      <w:r w:rsidRPr="00BE6424">
        <w:rPr>
          <w:color w:val="000000"/>
          <w:sz w:val="22"/>
          <w:szCs w:val="22"/>
        </w:rPr>
        <w:t xml:space="preserve">; </w:t>
      </w:r>
      <w:r w:rsidR="00961834" w:rsidRPr="00BE6424">
        <w:rPr>
          <w:color w:val="000000"/>
          <w:sz w:val="22"/>
          <w:szCs w:val="22"/>
        </w:rPr>
        <w:t>faculty</w:t>
      </w:r>
      <w:r w:rsidRPr="00BE6424">
        <w:rPr>
          <w:color w:val="000000"/>
          <w:sz w:val="22"/>
          <w:szCs w:val="22"/>
        </w:rPr>
        <w:t xml:space="preserve"> who guide </w:t>
      </w:r>
      <w:r w:rsidR="00961834" w:rsidRPr="00BE6424">
        <w:rPr>
          <w:color w:val="000000"/>
          <w:sz w:val="22"/>
          <w:szCs w:val="22"/>
        </w:rPr>
        <w:t xml:space="preserve">a new faculty member’s </w:t>
      </w:r>
      <w:r w:rsidRPr="00BE6424">
        <w:rPr>
          <w:color w:val="000000"/>
          <w:sz w:val="22"/>
          <w:szCs w:val="22"/>
        </w:rPr>
        <w:t xml:space="preserve">development, function as resource people, and anchor them in their new roles. </w:t>
      </w:r>
      <w:r w:rsidR="00961834" w:rsidRPr="00BE6424">
        <w:rPr>
          <w:color w:val="000000"/>
          <w:sz w:val="22"/>
          <w:szCs w:val="22"/>
        </w:rPr>
        <w:t xml:space="preserve"> Mentoring </w:t>
      </w:r>
      <w:r w:rsidRPr="00BE6424">
        <w:rPr>
          <w:color w:val="000000"/>
          <w:sz w:val="22"/>
          <w:szCs w:val="22"/>
        </w:rPr>
        <w:t>has been linked with increased productivity</w:t>
      </w:r>
      <w:r w:rsidR="00E63761" w:rsidRPr="00BE6424">
        <w:rPr>
          <w:color w:val="000000"/>
          <w:sz w:val="22"/>
          <w:szCs w:val="22"/>
        </w:rPr>
        <w:t xml:space="preserve"> </w:t>
      </w:r>
      <w:r w:rsidRPr="00BE6424">
        <w:rPr>
          <w:color w:val="000000"/>
          <w:sz w:val="22"/>
          <w:szCs w:val="22"/>
        </w:rPr>
        <w:t>(Stone, 1999). Mentoring relationships are about developing people, increasing capabilities, and empowering people.</w:t>
      </w:r>
      <w:r w:rsidRPr="00BE6424">
        <w:rPr>
          <w:color w:val="800000"/>
          <w:sz w:val="22"/>
          <w:szCs w:val="22"/>
        </w:rPr>
        <w:t xml:space="preserve"> </w:t>
      </w:r>
    </w:p>
    <w:p w:rsidR="00961834" w:rsidRPr="00BE6424" w:rsidRDefault="00961834" w:rsidP="00961834">
      <w:pPr>
        <w:spacing w:before="100" w:beforeAutospacing="1" w:after="100" w:afterAutospacing="1"/>
        <w:contextualSpacing/>
        <w:rPr>
          <w:color w:val="800000"/>
          <w:sz w:val="22"/>
          <w:szCs w:val="22"/>
        </w:rPr>
      </w:pPr>
    </w:p>
    <w:p w:rsidR="00BD71B6" w:rsidRPr="00BE6424" w:rsidRDefault="00BD71B6" w:rsidP="00BD71B6">
      <w:pPr>
        <w:numPr>
          <w:ilvl w:val="0"/>
          <w:numId w:val="19"/>
        </w:numPr>
        <w:spacing w:before="100" w:beforeAutospacing="1" w:after="100" w:afterAutospacing="1"/>
        <w:rPr>
          <w:color w:val="800000"/>
          <w:sz w:val="22"/>
          <w:szCs w:val="22"/>
        </w:rPr>
      </w:pPr>
      <w:r w:rsidRPr="00BE6424">
        <w:rPr>
          <w:color w:val="000000"/>
          <w:sz w:val="22"/>
          <w:szCs w:val="22"/>
        </w:rPr>
        <w:t>Mentoring has motivational value for the mentor and the mentee.</w:t>
      </w:r>
      <w:r w:rsidRPr="00BE6424">
        <w:rPr>
          <w:color w:val="800000"/>
          <w:sz w:val="22"/>
          <w:szCs w:val="22"/>
        </w:rPr>
        <w:t xml:space="preserve"> </w:t>
      </w:r>
    </w:p>
    <w:p w:rsidR="00BD71B6" w:rsidRPr="00BE6424" w:rsidRDefault="00BD71B6" w:rsidP="00BD71B6">
      <w:pPr>
        <w:numPr>
          <w:ilvl w:val="0"/>
          <w:numId w:val="19"/>
        </w:numPr>
        <w:spacing w:before="100" w:beforeAutospacing="1" w:after="100" w:afterAutospacing="1"/>
        <w:rPr>
          <w:color w:val="800000"/>
          <w:sz w:val="22"/>
          <w:szCs w:val="22"/>
        </w:rPr>
      </w:pPr>
      <w:r w:rsidRPr="00BE6424">
        <w:rPr>
          <w:color w:val="000000"/>
          <w:sz w:val="22"/>
          <w:szCs w:val="22"/>
        </w:rPr>
        <w:t>Mentoring involves going above and beyond</w:t>
      </w:r>
      <w:r w:rsidR="00E221CB" w:rsidRPr="00BE6424">
        <w:rPr>
          <w:color w:val="000000"/>
          <w:sz w:val="22"/>
          <w:szCs w:val="22"/>
        </w:rPr>
        <w:t xml:space="preserve"> typical professional interactions between faculty colleagues</w:t>
      </w:r>
      <w:r w:rsidRPr="00BE6424">
        <w:rPr>
          <w:color w:val="000000"/>
          <w:sz w:val="22"/>
          <w:szCs w:val="22"/>
        </w:rPr>
        <w:t>.</w:t>
      </w:r>
      <w:r w:rsidRPr="00BE6424">
        <w:rPr>
          <w:color w:val="800000"/>
          <w:sz w:val="22"/>
          <w:szCs w:val="22"/>
        </w:rPr>
        <w:t xml:space="preserve"> </w:t>
      </w:r>
    </w:p>
    <w:p w:rsidR="00BD71B6" w:rsidRPr="00BE6424" w:rsidRDefault="00BD71B6" w:rsidP="00BD71B6">
      <w:pPr>
        <w:autoSpaceDE w:val="0"/>
        <w:autoSpaceDN w:val="0"/>
        <w:adjustRightInd w:val="0"/>
        <w:rPr>
          <w:color w:val="000000"/>
          <w:sz w:val="22"/>
          <w:szCs w:val="22"/>
        </w:rPr>
      </w:pPr>
      <w:r w:rsidRPr="00BE6424">
        <w:rPr>
          <w:rFonts w:cs="Arial"/>
          <w:color w:val="000000"/>
          <w:sz w:val="22"/>
          <w:szCs w:val="22"/>
        </w:rPr>
        <w:t>Mentoring focuses on shared experiences and wisdom</w:t>
      </w:r>
      <w:r w:rsidR="00947626" w:rsidRPr="00BE6424">
        <w:rPr>
          <w:color w:val="000000"/>
          <w:sz w:val="22"/>
          <w:szCs w:val="22"/>
        </w:rPr>
        <w:t>; thus, mentoring includes not only advising and guiding a junior faculty member—it involves collaboration</w:t>
      </w:r>
      <w:r w:rsidR="00E221CB" w:rsidRPr="00BE6424">
        <w:rPr>
          <w:color w:val="000000"/>
          <w:sz w:val="22"/>
          <w:szCs w:val="22"/>
        </w:rPr>
        <w:t xml:space="preserve"> with that faculty member</w:t>
      </w:r>
      <w:r w:rsidR="00947626" w:rsidRPr="00BE6424">
        <w:rPr>
          <w:color w:val="000000"/>
          <w:sz w:val="22"/>
          <w:szCs w:val="22"/>
        </w:rPr>
        <w:t>.</w:t>
      </w:r>
    </w:p>
    <w:p w:rsidR="00F83EBE" w:rsidRPr="00BE6424" w:rsidRDefault="00F83EBE" w:rsidP="00F83EBE">
      <w:pPr>
        <w:autoSpaceDE w:val="0"/>
        <w:autoSpaceDN w:val="0"/>
        <w:adjustRightInd w:val="0"/>
        <w:rPr>
          <w:color w:val="000000"/>
          <w:sz w:val="22"/>
          <w:szCs w:val="22"/>
        </w:rPr>
      </w:pPr>
    </w:p>
    <w:p w:rsidR="004711C7" w:rsidRPr="00BE6424" w:rsidRDefault="00961834" w:rsidP="00961834">
      <w:pPr>
        <w:autoSpaceDE w:val="0"/>
        <w:autoSpaceDN w:val="0"/>
        <w:adjustRightInd w:val="0"/>
        <w:rPr>
          <w:color w:val="000000"/>
          <w:sz w:val="22"/>
          <w:szCs w:val="22"/>
        </w:rPr>
      </w:pPr>
      <w:r w:rsidRPr="00BE6424">
        <w:rPr>
          <w:color w:val="000000"/>
          <w:sz w:val="22"/>
          <w:szCs w:val="22"/>
        </w:rPr>
        <w:t>Faculty m</w:t>
      </w:r>
      <w:r w:rsidR="007E52EF" w:rsidRPr="00BE6424">
        <w:rPr>
          <w:color w:val="000000"/>
          <w:sz w:val="22"/>
          <w:szCs w:val="22"/>
        </w:rPr>
        <w:t>entoring</w:t>
      </w:r>
      <w:r w:rsidRPr="00BE6424">
        <w:rPr>
          <w:color w:val="000000"/>
          <w:sz w:val="22"/>
          <w:szCs w:val="22"/>
        </w:rPr>
        <w:t xml:space="preserve"> </w:t>
      </w:r>
      <w:r w:rsidR="00947626" w:rsidRPr="00BE6424">
        <w:rPr>
          <w:color w:val="000000"/>
          <w:sz w:val="22"/>
          <w:szCs w:val="22"/>
        </w:rPr>
        <w:t xml:space="preserve">and collaboration </w:t>
      </w:r>
      <w:r w:rsidRPr="00BE6424">
        <w:rPr>
          <w:color w:val="000000"/>
          <w:sz w:val="22"/>
          <w:szCs w:val="22"/>
        </w:rPr>
        <w:t xml:space="preserve">activities may include </w:t>
      </w:r>
      <w:r w:rsidR="00E221CB" w:rsidRPr="00BE6424">
        <w:rPr>
          <w:color w:val="000000"/>
          <w:sz w:val="22"/>
          <w:szCs w:val="22"/>
        </w:rPr>
        <w:t xml:space="preserve">sharing or providing </w:t>
      </w:r>
      <w:r w:rsidRPr="00BE6424">
        <w:rPr>
          <w:color w:val="000000"/>
          <w:sz w:val="22"/>
          <w:szCs w:val="22"/>
        </w:rPr>
        <w:t>f</w:t>
      </w:r>
      <w:r w:rsidR="007E52EF" w:rsidRPr="00BE6424">
        <w:rPr>
          <w:color w:val="000000"/>
          <w:sz w:val="22"/>
          <w:szCs w:val="22"/>
        </w:rPr>
        <w:t>unding sources</w:t>
      </w:r>
      <w:r w:rsidRPr="00BE6424">
        <w:rPr>
          <w:color w:val="000000"/>
          <w:sz w:val="22"/>
          <w:szCs w:val="22"/>
        </w:rPr>
        <w:t>,</w:t>
      </w:r>
      <w:r w:rsidR="007E52EF" w:rsidRPr="00BE6424">
        <w:rPr>
          <w:color w:val="000000"/>
          <w:sz w:val="22"/>
          <w:szCs w:val="22"/>
        </w:rPr>
        <w:t xml:space="preserve"> </w:t>
      </w:r>
      <w:r w:rsidRPr="00BE6424">
        <w:rPr>
          <w:color w:val="000000"/>
          <w:sz w:val="22"/>
          <w:szCs w:val="22"/>
        </w:rPr>
        <w:t>v</w:t>
      </w:r>
      <w:r w:rsidR="007E52EF" w:rsidRPr="00BE6424">
        <w:rPr>
          <w:color w:val="000000"/>
          <w:sz w:val="22"/>
          <w:szCs w:val="22"/>
        </w:rPr>
        <w:t xml:space="preserve">ectoring </w:t>
      </w:r>
      <w:r w:rsidRPr="00BE6424">
        <w:rPr>
          <w:color w:val="000000"/>
          <w:sz w:val="22"/>
          <w:szCs w:val="22"/>
        </w:rPr>
        <w:t>r</w:t>
      </w:r>
      <w:r w:rsidR="007E52EF" w:rsidRPr="00BE6424">
        <w:rPr>
          <w:color w:val="000000"/>
          <w:sz w:val="22"/>
          <w:szCs w:val="22"/>
        </w:rPr>
        <w:t>esearch</w:t>
      </w:r>
      <w:r w:rsidRPr="00BE6424">
        <w:rPr>
          <w:color w:val="000000"/>
          <w:sz w:val="22"/>
          <w:szCs w:val="22"/>
        </w:rPr>
        <w:t>,</w:t>
      </w:r>
      <w:r w:rsidR="007E52EF" w:rsidRPr="00BE6424">
        <w:rPr>
          <w:color w:val="000000"/>
          <w:sz w:val="22"/>
          <w:szCs w:val="22"/>
        </w:rPr>
        <w:t xml:space="preserve"> </w:t>
      </w:r>
      <w:r w:rsidR="00947626" w:rsidRPr="00BE6424">
        <w:rPr>
          <w:color w:val="000000"/>
          <w:sz w:val="22"/>
          <w:szCs w:val="22"/>
        </w:rPr>
        <w:t xml:space="preserve">co-advising research, </w:t>
      </w:r>
      <w:r w:rsidRPr="00BE6424">
        <w:rPr>
          <w:color w:val="000000"/>
          <w:sz w:val="22"/>
          <w:szCs w:val="22"/>
        </w:rPr>
        <w:t>p</w:t>
      </w:r>
      <w:r w:rsidR="007E52EF" w:rsidRPr="00BE6424">
        <w:rPr>
          <w:color w:val="000000"/>
          <w:sz w:val="22"/>
          <w:szCs w:val="22"/>
        </w:rPr>
        <w:t xml:space="preserve">aper </w:t>
      </w:r>
      <w:r w:rsidRPr="00BE6424">
        <w:rPr>
          <w:color w:val="000000"/>
          <w:sz w:val="22"/>
          <w:szCs w:val="22"/>
        </w:rPr>
        <w:t>r</w:t>
      </w:r>
      <w:r w:rsidR="007E52EF" w:rsidRPr="00BE6424">
        <w:rPr>
          <w:color w:val="000000"/>
          <w:sz w:val="22"/>
          <w:szCs w:val="22"/>
        </w:rPr>
        <w:t>eview</w:t>
      </w:r>
      <w:r w:rsidR="00E221CB" w:rsidRPr="00BE6424">
        <w:rPr>
          <w:color w:val="000000"/>
          <w:sz w:val="22"/>
          <w:szCs w:val="22"/>
        </w:rPr>
        <w:t xml:space="preserve"> and/or paper co-authoring</w:t>
      </w:r>
      <w:r w:rsidRPr="00BE6424">
        <w:rPr>
          <w:color w:val="000000"/>
          <w:sz w:val="22"/>
          <w:szCs w:val="22"/>
        </w:rPr>
        <w:t>, c</w:t>
      </w:r>
      <w:r w:rsidR="007E52EF" w:rsidRPr="00BE6424">
        <w:rPr>
          <w:color w:val="000000"/>
          <w:sz w:val="22"/>
          <w:szCs w:val="22"/>
        </w:rPr>
        <w:t>ivilian personnel issues</w:t>
      </w:r>
      <w:r w:rsidRPr="00BE6424">
        <w:rPr>
          <w:color w:val="000000"/>
          <w:sz w:val="22"/>
          <w:szCs w:val="22"/>
        </w:rPr>
        <w:t>,</w:t>
      </w:r>
      <w:r w:rsidR="007E52EF" w:rsidRPr="00BE6424">
        <w:rPr>
          <w:color w:val="000000"/>
          <w:sz w:val="22"/>
          <w:szCs w:val="22"/>
        </w:rPr>
        <w:t xml:space="preserve"> </w:t>
      </w:r>
      <w:r w:rsidRPr="00BE6424">
        <w:rPr>
          <w:color w:val="000000"/>
          <w:sz w:val="22"/>
          <w:szCs w:val="22"/>
        </w:rPr>
        <w:t>research p</w:t>
      </w:r>
      <w:r w:rsidR="00E221CB" w:rsidRPr="00BE6424">
        <w:rPr>
          <w:color w:val="000000"/>
          <w:sz w:val="22"/>
          <w:szCs w:val="22"/>
        </w:rPr>
        <w:t>roposals as well as</w:t>
      </w:r>
      <w:r w:rsidRPr="00BE6424">
        <w:rPr>
          <w:color w:val="000000"/>
          <w:sz w:val="22"/>
          <w:szCs w:val="22"/>
        </w:rPr>
        <w:t xml:space="preserve"> advice and guidance about the </w:t>
      </w:r>
      <w:r w:rsidR="007E52EF" w:rsidRPr="00BE6424">
        <w:rPr>
          <w:color w:val="000000"/>
          <w:sz w:val="22"/>
          <w:szCs w:val="22"/>
        </w:rPr>
        <w:t>P&amp;T</w:t>
      </w:r>
      <w:r w:rsidRPr="00BE6424">
        <w:rPr>
          <w:color w:val="000000"/>
          <w:sz w:val="22"/>
          <w:szCs w:val="22"/>
        </w:rPr>
        <w:t xml:space="preserve"> process.</w:t>
      </w:r>
    </w:p>
    <w:p w:rsidR="00F83EBE" w:rsidRPr="00BE6424" w:rsidRDefault="00F83EBE" w:rsidP="00F83EBE">
      <w:pPr>
        <w:autoSpaceDE w:val="0"/>
        <w:autoSpaceDN w:val="0"/>
        <w:adjustRightInd w:val="0"/>
        <w:rPr>
          <w:color w:val="000000"/>
          <w:sz w:val="22"/>
          <w:szCs w:val="22"/>
        </w:rPr>
      </w:pPr>
    </w:p>
    <w:p w:rsidR="00A06F2E" w:rsidRPr="00BE6424" w:rsidRDefault="00961834" w:rsidP="00D628D9">
      <w:pPr>
        <w:rPr>
          <w:sz w:val="22"/>
          <w:szCs w:val="22"/>
        </w:rPr>
      </w:pPr>
      <w:r w:rsidRPr="00BE6424">
        <w:rPr>
          <w:sz w:val="22"/>
          <w:szCs w:val="22"/>
        </w:rPr>
        <w:t>The P&amp;T Standing rules sta</w:t>
      </w:r>
      <w:r w:rsidR="004D42AC" w:rsidRPr="00BE6424">
        <w:rPr>
          <w:sz w:val="22"/>
          <w:szCs w:val="22"/>
        </w:rPr>
        <w:t>t</w:t>
      </w:r>
      <w:r w:rsidRPr="00BE6424">
        <w:rPr>
          <w:sz w:val="22"/>
          <w:szCs w:val="22"/>
        </w:rPr>
        <w:t>e:</w:t>
      </w:r>
    </w:p>
    <w:p w:rsidR="00961834" w:rsidRPr="00BE6424" w:rsidRDefault="00961834" w:rsidP="00D628D9">
      <w:pPr>
        <w:rPr>
          <w:sz w:val="22"/>
          <w:szCs w:val="22"/>
        </w:rPr>
      </w:pPr>
    </w:p>
    <w:p w:rsidR="00A06F2E" w:rsidRPr="00BE6424" w:rsidRDefault="00A06F2E" w:rsidP="00961834">
      <w:pPr>
        <w:ind w:left="720" w:right="1440"/>
        <w:rPr>
          <w:bCs/>
          <w:sz w:val="22"/>
          <w:szCs w:val="22"/>
        </w:rPr>
      </w:pPr>
      <w:r w:rsidRPr="00BE6424">
        <w:rPr>
          <w:bCs/>
          <w:sz w:val="22"/>
          <w:szCs w:val="22"/>
        </w:rPr>
        <w:t xml:space="preserve">Mentoring: </w:t>
      </w:r>
      <w:r w:rsidRPr="00BE6424">
        <w:rPr>
          <w:bCs/>
          <w:color w:val="FF0000"/>
          <w:sz w:val="22"/>
          <w:szCs w:val="22"/>
        </w:rPr>
        <w:t xml:space="preserve"> </w:t>
      </w:r>
      <w:r w:rsidRPr="00BE6424">
        <w:rPr>
          <w:bCs/>
          <w:color w:val="000000"/>
          <w:sz w:val="22"/>
          <w:szCs w:val="22"/>
        </w:rPr>
        <w:t xml:space="preserve"> All candidates will be assigned an official mentor at the time of initial appointment.</w:t>
      </w:r>
      <w:r w:rsidRPr="00BE6424">
        <w:rPr>
          <w:bCs/>
          <w:sz w:val="22"/>
          <w:szCs w:val="22"/>
        </w:rPr>
        <w:t xml:space="preserve"> The mentor will review the candidate’s vita yearly, assist the candidate in identifying opportunities for professional opportunities, and coordinate with the Department Head in advising the candidate.  The mentor is responsible for communicating performance expectations to the candidate and coordinating with the Department Committee on his or her behalf.</w:t>
      </w:r>
    </w:p>
    <w:p w:rsidR="00E221CB" w:rsidRPr="00BE6424" w:rsidRDefault="00E221CB" w:rsidP="00961834">
      <w:pPr>
        <w:ind w:left="720" w:right="1440"/>
        <w:rPr>
          <w:bCs/>
          <w:sz w:val="22"/>
          <w:szCs w:val="22"/>
        </w:rPr>
      </w:pPr>
    </w:p>
    <w:p w:rsidR="00E221CB" w:rsidRPr="00BE6424" w:rsidRDefault="00E221CB" w:rsidP="00E221CB">
      <w:pPr>
        <w:rPr>
          <w:bCs/>
          <w:sz w:val="22"/>
          <w:szCs w:val="22"/>
        </w:rPr>
      </w:pPr>
      <w:r w:rsidRPr="00BE6424">
        <w:rPr>
          <w:bCs/>
          <w:sz w:val="22"/>
          <w:szCs w:val="22"/>
        </w:rPr>
        <w:t xml:space="preserve">In the Department of Operational Sciences, the assignment of mentors is a collegial process involving mutual agreement between the mentee and mentor.  Mentorship arrangements are reviewed annually by the Department P&amp;T committee.  Changes to a formal mentorship arrangement can be initiated by the mentee or the mentor.  </w:t>
      </w:r>
    </w:p>
    <w:p w:rsidR="00A06F2E" w:rsidRPr="00BE6424" w:rsidRDefault="00A06F2E" w:rsidP="00D628D9">
      <w:pPr>
        <w:rPr>
          <w:bCs/>
          <w:sz w:val="22"/>
          <w:szCs w:val="22"/>
        </w:rPr>
      </w:pPr>
    </w:p>
    <w:p w:rsidR="00A06F2E" w:rsidRPr="00BE6424" w:rsidRDefault="00A06F2E" w:rsidP="00A06F2E">
      <w:pPr>
        <w:rPr>
          <w:sz w:val="22"/>
          <w:szCs w:val="22"/>
        </w:rPr>
      </w:pPr>
      <w:r w:rsidRPr="00BE6424">
        <w:rPr>
          <w:sz w:val="22"/>
          <w:szCs w:val="22"/>
        </w:rPr>
        <w:t>During mentoring, junior faculty should be made aware of what they will be expected to accomplish by the time they re</w:t>
      </w:r>
      <w:r w:rsidR="00961834" w:rsidRPr="00BE6424">
        <w:rPr>
          <w:sz w:val="22"/>
          <w:szCs w:val="22"/>
        </w:rPr>
        <w:t xml:space="preserve">ach their mandatory tenure year.  It is our vision to provide each new faculty member the mentoring they need to succeed. </w:t>
      </w:r>
    </w:p>
    <w:p w:rsidR="00A06F2E" w:rsidRPr="00BE6424" w:rsidRDefault="00A06F2E" w:rsidP="00A06F2E">
      <w:pPr>
        <w:rPr>
          <w:sz w:val="22"/>
          <w:szCs w:val="22"/>
        </w:rPr>
      </w:pPr>
    </w:p>
    <w:p w:rsidR="006F7BB7" w:rsidRPr="00BE6424" w:rsidRDefault="005F2228" w:rsidP="00E221CB">
      <w:pPr>
        <w:rPr>
          <w:sz w:val="22"/>
          <w:szCs w:val="22"/>
        </w:rPr>
      </w:pPr>
      <w:r w:rsidRPr="00BE6424">
        <w:rPr>
          <w:sz w:val="22"/>
          <w:szCs w:val="22"/>
        </w:rPr>
        <w:t xml:space="preserve"> </w:t>
      </w:r>
      <w:r w:rsidR="00BD71B6" w:rsidRPr="00BE6424">
        <w:rPr>
          <w:rFonts w:ascii="Arial" w:hAnsi="Arial" w:cs="Arial"/>
          <w:color w:val="000000"/>
          <w:sz w:val="22"/>
          <w:szCs w:val="22"/>
        </w:rPr>
        <w:t xml:space="preserve">         </w:t>
      </w:r>
    </w:p>
    <w:sectPr w:rsidR="006F7BB7" w:rsidRPr="00BE6424" w:rsidSect="001845CE">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F4C" w:rsidRDefault="00803F4C" w:rsidP="00094158">
      <w:r>
        <w:separator/>
      </w:r>
    </w:p>
  </w:endnote>
  <w:endnote w:type="continuationSeparator" w:id="0">
    <w:p w:rsidR="00803F4C" w:rsidRDefault="00803F4C" w:rsidP="00094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ItalicMT">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207360"/>
      <w:docPartObj>
        <w:docPartGallery w:val="Page Numbers (Bottom of Page)"/>
        <w:docPartUnique/>
      </w:docPartObj>
    </w:sdtPr>
    <w:sdtEndPr/>
    <w:sdtContent>
      <w:p w:rsidR="00094158" w:rsidRDefault="005316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94158" w:rsidRDefault="00094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F4C" w:rsidRDefault="00803F4C" w:rsidP="00094158">
      <w:r>
        <w:separator/>
      </w:r>
    </w:p>
  </w:footnote>
  <w:footnote w:type="continuationSeparator" w:id="0">
    <w:p w:rsidR="00803F4C" w:rsidRDefault="00803F4C" w:rsidP="000941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E7043"/>
    <w:multiLevelType w:val="multilevel"/>
    <w:tmpl w:val="E46EF2F2"/>
    <w:lvl w:ilvl="0">
      <w:start w:val="1"/>
      <w:numFmt w:val="bullet"/>
      <w:lvlText w:val=""/>
      <w:lvlJc w:val="left"/>
      <w:pPr>
        <w:tabs>
          <w:tab w:val="num" w:pos="360"/>
        </w:tabs>
        <w:ind w:left="360" w:hanging="360"/>
      </w:pPr>
      <w:rPr>
        <w:rFonts w:ascii="Symbol" w:hAnsi="Symbol" w:hint="default"/>
        <w:color w:val="000000" w:themeColor="text1"/>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18265C6"/>
    <w:multiLevelType w:val="hybridMultilevel"/>
    <w:tmpl w:val="4B8E0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31C45"/>
    <w:multiLevelType w:val="hybridMultilevel"/>
    <w:tmpl w:val="398E8E76"/>
    <w:lvl w:ilvl="0" w:tplc="04090001">
      <w:start w:val="1"/>
      <w:numFmt w:val="bullet"/>
      <w:lvlText w:val=""/>
      <w:lvlJc w:val="left"/>
      <w:pPr>
        <w:tabs>
          <w:tab w:val="num" w:pos="720"/>
        </w:tabs>
        <w:ind w:left="720" w:hanging="360"/>
      </w:pPr>
      <w:rPr>
        <w:rFonts w:ascii="Symbol" w:hAnsi="Symbol" w:hint="default"/>
      </w:rPr>
    </w:lvl>
    <w:lvl w:ilvl="1" w:tplc="AF54DDEA">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F43F3E"/>
    <w:multiLevelType w:val="hybridMultilevel"/>
    <w:tmpl w:val="BE08DD74"/>
    <w:lvl w:ilvl="0" w:tplc="609A6B68">
      <w:start w:val="1"/>
      <w:numFmt w:val="bullet"/>
      <w:lvlText w:val="•"/>
      <w:lvlJc w:val="left"/>
      <w:pPr>
        <w:tabs>
          <w:tab w:val="num" w:pos="720"/>
        </w:tabs>
        <w:ind w:left="720" w:hanging="360"/>
      </w:pPr>
      <w:rPr>
        <w:rFonts w:ascii="Times New Roman" w:hAnsi="Times New Roman" w:hint="default"/>
      </w:rPr>
    </w:lvl>
    <w:lvl w:ilvl="1" w:tplc="FEB02CA6">
      <w:start w:val="565"/>
      <w:numFmt w:val="bullet"/>
      <w:lvlText w:val="•"/>
      <w:lvlJc w:val="left"/>
      <w:pPr>
        <w:tabs>
          <w:tab w:val="num" w:pos="1440"/>
        </w:tabs>
        <w:ind w:left="1440" w:hanging="360"/>
      </w:pPr>
      <w:rPr>
        <w:rFonts w:ascii="Times New Roman" w:hAnsi="Times New Roman" w:hint="default"/>
      </w:rPr>
    </w:lvl>
    <w:lvl w:ilvl="2" w:tplc="46045AE4" w:tentative="1">
      <w:start w:val="1"/>
      <w:numFmt w:val="bullet"/>
      <w:lvlText w:val="•"/>
      <w:lvlJc w:val="left"/>
      <w:pPr>
        <w:tabs>
          <w:tab w:val="num" w:pos="2160"/>
        </w:tabs>
        <w:ind w:left="2160" w:hanging="360"/>
      </w:pPr>
      <w:rPr>
        <w:rFonts w:ascii="Times New Roman" w:hAnsi="Times New Roman" w:hint="default"/>
      </w:rPr>
    </w:lvl>
    <w:lvl w:ilvl="3" w:tplc="74F44486" w:tentative="1">
      <w:start w:val="1"/>
      <w:numFmt w:val="bullet"/>
      <w:lvlText w:val="•"/>
      <w:lvlJc w:val="left"/>
      <w:pPr>
        <w:tabs>
          <w:tab w:val="num" w:pos="2880"/>
        </w:tabs>
        <w:ind w:left="2880" w:hanging="360"/>
      </w:pPr>
      <w:rPr>
        <w:rFonts w:ascii="Times New Roman" w:hAnsi="Times New Roman" w:hint="default"/>
      </w:rPr>
    </w:lvl>
    <w:lvl w:ilvl="4" w:tplc="277037FC" w:tentative="1">
      <w:start w:val="1"/>
      <w:numFmt w:val="bullet"/>
      <w:lvlText w:val="•"/>
      <w:lvlJc w:val="left"/>
      <w:pPr>
        <w:tabs>
          <w:tab w:val="num" w:pos="3600"/>
        </w:tabs>
        <w:ind w:left="3600" w:hanging="360"/>
      </w:pPr>
      <w:rPr>
        <w:rFonts w:ascii="Times New Roman" w:hAnsi="Times New Roman" w:hint="default"/>
      </w:rPr>
    </w:lvl>
    <w:lvl w:ilvl="5" w:tplc="3E9691F6" w:tentative="1">
      <w:start w:val="1"/>
      <w:numFmt w:val="bullet"/>
      <w:lvlText w:val="•"/>
      <w:lvlJc w:val="left"/>
      <w:pPr>
        <w:tabs>
          <w:tab w:val="num" w:pos="4320"/>
        </w:tabs>
        <w:ind w:left="4320" w:hanging="360"/>
      </w:pPr>
      <w:rPr>
        <w:rFonts w:ascii="Times New Roman" w:hAnsi="Times New Roman" w:hint="default"/>
      </w:rPr>
    </w:lvl>
    <w:lvl w:ilvl="6" w:tplc="1F6CFBB0" w:tentative="1">
      <w:start w:val="1"/>
      <w:numFmt w:val="bullet"/>
      <w:lvlText w:val="•"/>
      <w:lvlJc w:val="left"/>
      <w:pPr>
        <w:tabs>
          <w:tab w:val="num" w:pos="5040"/>
        </w:tabs>
        <w:ind w:left="5040" w:hanging="360"/>
      </w:pPr>
      <w:rPr>
        <w:rFonts w:ascii="Times New Roman" w:hAnsi="Times New Roman" w:hint="default"/>
      </w:rPr>
    </w:lvl>
    <w:lvl w:ilvl="7" w:tplc="2438E458" w:tentative="1">
      <w:start w:val="1"/>
      <w:numFmt w:val="bullet"/>
      <w:lvlText w:val="•"/>
      <w:lvlJc w:val="left"/>
      <w:pPr>
        <w:tabs>
          <w:tab w:val="num" w:pos="5760"/>
        </w:tabs>
        <w:ind w:left="5760" w:hanging="360"/>
      </w:pPr>
      <w:rPr>
        <w:rFonts w:ascii="Times New Roman" w:hAnsi="Times New Roman" w:hint="default"/>
      </w:rPr>
    </w:lvl>
    <w:lvl w:ilvl="8" w:tplc="B4CA15F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F203F8B"/>
    <w:multiLevelType w:val="hybridMultilevel"/>
    <w:tmpl w:val="BE8225F8"/>
    <w:lvl w:ilvl="0" w:tplc="AE78D096">
      <w:start w:val="1"/>
      <w:numFmt w:val="decimal"/>
      <w:lvlText w:val="(%1)"/>
      <w:lvlJc w:val="left"/>
      <w:pPr>
        <w:ind w:left="645" w:hanging="375"/>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6716684"/>
    <w:multiLevelType w:val="hybridMultilevel"/>
    <w:tmpl w:val="37983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8270CB"/>
    <w:multiLevelType w:val="hybridMultilevel"/>
    <w:tmpl w:val="ECD419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3CA68BE"/>
    <w:multiLevelType w:val="hybridMultilevel"/>
    <w:tmpl w:val="152C97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5603375"/>
    <w:multiLevelType w:val="hybridMultilevel"/>
    <w:tmpl w:val="F23817E0"/>
    <w:lvl w:ilvl="0" w:tplc="AF54DDEA">
      <w:start w:val="1"/>
      <w:numFmt w:val="bullet"/>
      <w:lvlText w:val=""/>
      <w:lvlJc w:val="left"/>
      <w:pPr>
        <w:tabs>
          <w:tab w:val="num" w:pos="720"/>
        </w:tabs>
        <w:ind w:left="720" w:hanging="360"/>
      </w:pPr>
      <w:rPr>
        <w:rFonts w:ascii="Symbol" w:hAnsi="Symbol" w:hint="default"/>
      </w:rPr>
    </w:lvl>
    <w:lvl w:ilvl="1" w:tplc="AF54DDEA">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66D092C"/>
    <w:multiLevelType w:val="hybridMultilevel"/>
    <w:tmpl w:val="9BA80288"/>
    <w:lvl w:ilvl="0" w:tplc="0409000F">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867FFB"/>
    <w:multiLevelType w:val="hybridMultilevel"/>
    <w:tmpl w:val="4A8410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447A09"/>
    <w:multiLevelType w:val="hybridMultilevel"/>
    <w:tmpl w:val="F370A3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8D05ABD"/>
    <w:multiLevelType w:val="hybridMultilevel"/>
    <w:tmpl w:val="8856C8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A926F97"/>
    <w:multiLevelType w:val="hybridMultilevel"/>
    <w:tmpl w:val="8036FFB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4C062B9"/>
    <w:multiLevelType w:val="hybridMultilevel"/>
    <w:tmpl w:val="5BA8D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236821"/>
    <w:multiLevelType w:val="hybridMultilevel"/>
    <w:tmpl w:val="0890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727D42"/>
    <w:multiLevelType w:val="hybridMultilevel"/>
    <w:tmpl w:val="37ECC2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EEE3B0C"/>
    <w:multiLevelType w:val="hybridMultilevel"/>
    <w:tmpl w:val="FFECB2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8"/>
  </w:num>
  <w:num w:numId="9">
    <w:abstractNumId w:val="2"/>
  </w:num>
  <w:num w:numId="10">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5"/>
  </w:num>
  <w:num w:numId="13">
    <w:abstractNumId w:val="10"/>
  </w:num>
  <w:num w:numId="14">
    <w:abstractNumId w:val="7"/>
  </w:num>
  <w:num w:numId="15">
    <w:abstractNumId w:val="11"/>
  </w:num>
  <w:num w:numId="16">
    <w:abstractNumId w:val="12"/>
  </w:num>
  <w:num w:numId="17">
    <w:abstractNumId w:val="6"/>
  </w:num>
  <w:num w:numId="18">
    <w:abstractNumId w:val="3"/>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D9"/>
    <w:rsid w:val="000273BA"/>
    <w:rsid w:val="00035F0B"/>
    <w:rsid w:val="000458D6"/>
    <w:rsid w:val="00076EC2"/>
    <w:rsid w:val="0008337B"/>
    <w:rsid w:val="00094158"/>
    <w:rsid w:val="00095147"/>
    <w:rsid w:val="000C183F"/>
    <w:rsid w:val="00120376"/>
    <w:rsid w:val="001845CE"/>
    <w:rsid w:val="001933D1"/>
    <w:rsid w:val="001A41D9"/>
    <w:rsid w:val="001B5A98"/>
    <w:rsid w:val="001C2350"/>
    <w:rsid w:val="001F4558"/>
    <w:rsid w:val="0021610E"/>
    <w:rsid w:val="00240C2A"/>
    <w:rsid w:val="002C1B29"/>
    <w:rsid w:val="002C2433"/>
    <w:rsid w:val="00387AD7"/>
    <w:rsid w:val="004026A2"/>
    <w:rsid w:val="004711C7"/>
    <w:rsid w:val="00490497"/>
    <w:rsid w:val="004A73D6"/>
    <w:rsid w:val="004D3D3D"/>
    <w:rsid w:val="004D42AC"/>
    <w:rsid w:val="004D5855"/>
    <w:rsid w:val="00506A38"/>
    <w:rsid w:val="005316A3"/>
    <w:rsid w:val="005533B2"/>
    <w:rsid w:val="00581C05"/>
    <w:rsid w:val="005A21D3"/>
    <w:rsid w:val="005F2228"/>
    <w:rsid w:val="006043A1"/>
    <w:rsid w:val="006073AB"/>
    <w:rsid w:val="00643F6A"/>
    <w:rsid w:val="00681396"/>
    <w:rsid w:val="006B7508"/>
    <w:rsid w:val="006C28F4"/>
    <w:rsid w:val="006F7BB7"/>
    <w:rsid w:val="007477E0"/>
    <w:rsid w:val="007A1B85"/>
    <w:rsid w:val="007B23EE"/>
    <w:rsid w:val="007B7E09"/>
    <w:rsid w:val="007E52EF"/>
    <w:rsid w:val="00803F4C"/>
    <w:rsid w:val="00811649"/>
    <w:rsid w:val="00840EB9"/>
    <w:rsid w:val="008752E2"/>
    <w:rsid w:val="008C5C91"/>
    <w:rsid w:val="008D6906"/>
    <w:rsid w:val="008F1AB2"/>
    <w:rsid w:val="00932178"/>
    <w:rsid w:val="00947626"/>
    <w:rsid w:val="00961834"/>
    <w:rsid w:val="009C19DB"/>
    <w:rsid w:val="00A06F2E"/>
    <w:rsid w:val="00A3226D"/>
    <w:rsid w:val="00A440C1"/>
    <w:rsid w:val="00A5642A"/>
    <w:rsid w:val="00A607DD"/>
    <w:rsid w:val="00A70495"/>
    <w:rsid w:val="00A96BB8"/>
    <w:rsid w:val="00AC67D1"/>
    <w:rsid w:val="00B35B4A"/>
    <w:rsid w:val="00BB4B23"/>
    <w:rsid w:val="00BD71B6"/>
    <w:rsid w:val="00BE6424"/>
    <w:rsid w:val="00C42C98"/>
    <w:rsid w:val="00CA554D"/>
    <w:rsid w:val="00CC14B8"/>
    <w:rsid w:val="00CE4C02"/>
    <w:rsid w:val="00D44932"/>
    <w:rsid w:val="00D628D9"/>
    <w:rsid w:val="00D84715"/>
    <w:rsid w:val="00D87A61"/>
    <w:rsid w:val="00D9223D"/>
    <w:rsid w:val="00DE283F"/>
    <w:rsid w:val="00E10372"/>
    <w:rsid w:val="00E221CB"/>
    <w:rsid w:val="00E31760"/>
    <w:rsid w:val="00E63761"/>
    <w:rsid w:val="00E8268B"/>
    <w:rsid w:val="00E97701"/>
    <w:rsid w:val="00E97E7D"/>
    <w:rsid w:val="00ED4C1C"/>
    <w:rsid w:val="00F65900"/>
    <w:rsid w:val="00F83EBE"/>
    <w:rsid w:val="00FF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EE04987-6E64-46A1-987C-2CBAA919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45CE"/>
    <w:rPr>
      <w:sz w:val="24"/>
      <w:szCs w:val="24"/>
    </w:rPr>
  </w:style>
  <w:style w:type="paragraph" w:styleId="Heading2">
    <w:name w:val="heading 2"/>
    <w:basedOn w:val="Normal"/>
    <w:next w:val="Normal"/>
    <w:qFormat/>
    <w:rsid w:val="00D628D9"/>
    <w:pPr>
      <w:keepNext/>
      <w:ind w:left="360"/>
      <w:outlineLvl w:val="1"/>
    </w:pPr>
    <w:rPr>
      <w:szCs w:val="20"/>
    </w:rPr>
  </w:style>
  <w:style w:type="paragraph" w:styleId="Heading3">
    <w:name w:val="heading 3"/>
    <w:basedOn w:val="Normal"/>
    <w:next w:val="Normal"/>
    <w:qFormat/>
    <w:rsid w:val="00D628D9"/>
    <w:pPr>
      <w:keepNext/>
      <w:ind w:firstLine="360"/>
      <w:outlineLvl w:val="2"/>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628D9"/>
    <w:rPr>
      <w:szCs w:val="20"/>
    </w:rPr>
  </w:style>
  <w:style w:type="paragraph" w:customStyle="1" w:styleId="Default">
    <w:name w:val="Default"/>
    <w:rsid w:val="00C42C98"/>
    <w:pPr>
      <w:autoSpaceDE w:val="0"/>
      <w:autoSpaceDN w:val="0"/>
      <w:adjustRightInd w:val="0"/>
    </w:pPr>
    <w:rPr>
      <w:color w:val="000000"/>
      <w:sz w:val="24"/>
      <w:szCs w:val="24"/>
    </w:rPr>
  </w:style>
  <w:style w:type="paragraph" w:styleId="Header">
    <w:name w:val="header"/>
    <w:basedOn w:val="Normal"/>
    <w:link w:val="HeaderChar"/>
    <w:rsid w:val="00094158"/>
    <w:pPr>
      <w:tabs>
        <w:tab w:val="center" w:pos="4680"/>
        <w:tab w:val="right" w:pos="9360"/>
      </w:tabs>
    </w:pPr>
  </w:style>
  <w:style w:type="character" w:customStyle="1" w:styleId="HeaderChar">
    <w:name w:val="Header Char"/>
    <w:basedOn w:val="DefaultParagraphFont"/>
    <w:link w:val="Header"/>
    <w:rsid w:val="00094158"/>
    <w:rPr>
      <w:sz w:val="24"/>
      <w:szCs w:val="24"/>
    </w:rPr>
  </w:style>
  <w:style w:type="paragraph" w:styleId="Footer">
    <w:name w:val="footer"/>
    <w:basedOn w:val="Normal"/>
    <w:link w:val="FooterChar"/>
    <w:uiPriority w:val="99"/>
    <w:rsid w:val="00094158"/>
    <w:pPr>
      <w:tabs>
        <w:tab w:val="center" w:pos="4680"/>
        <w:tab w:val="right" w:pos="9360"/>
      </w:tabs>
    </w:pPr>
  </w:style>
  <w:style w:type="character" w:customStyle="1" w:styleId="FooterChar">
    <w:name w:val="Footer Char"/>
    <w:basedOn w:val="DefaultParagraphFont"/>
    <w:link w:val="Footer"/>
    <w:uiPriority w:val="99"/>
    <w:rsid w:val="00094158"/>
    <w:rPr>
      <w:sz w:val="24"/>
      <w:szCs w:val="24"/>
    </w:rPr>
  </w:style>
  <w:style w:type="paragraph" w:styleId="ListParagraph">
    <w:name w:val="List Paragraph"/>
    <w:basedOn w:val="Normal"/>
    <w:uiPriority w:val="34"/>
    <w:qFormat/>
    <w:rsid w:val="00DE283F"/>
    <w:pPr>
      <w:ind w:left="720"/>
      <w:contextualSpacing/>
    </w:pPr>
  </w:style>
  <w:style w:type="table" w:styleId="TableGrid">
    <w:name w:val="Table Grid"/>
    <w:basedOn w:val="TableNormal"/>
    <w:rsid w:val="00CE4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D71B6"/>
    <w:pPr>
      <w:spacing w:before="100" w:beforeAutospacing="1" w:after="100" w:afterAutospacing="1"/>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459108">
      <w:bodyDiv w:val="1"/>
      <w:marLeft w:val="0"/>
      <w:marRight w:val="0"/>
      <w:marTop w:val="0"/>
      <w:marBottom w:val="0"/>
      <w:divBdr>
        <w:top w:val="none" w:sz="0" w:space="0" w:color="auto"/>
        <w:left w:val="none" w:sz="0" w:space="0" w:color="auto"/>
        <w:bottom w:val="none" w:sz="0" w:space="0" w:color="auto"/>
        <w:right w:val="none" w:sz="0" w:space="0" w:color="auto"/>
      </w:divBdr>
      <w:divsChild>
        <w:div w:id="165288073">
          <w:marLeft w:val="720"/>
          <w:marRight w:val="0"/>
          <w:marTop w:val="0"/>
          <w:marBottom w:val="0"/>
          <w:divBdr>
            <w:top w:val="none" w:sz="0" w:space="0" w:color="auto"/>
            <w:left w:val="none" w:sz="0" w:space="0" w:color="auto"/>
            <w:bottom w:val="none" w:sz="0" w:space="0" w:color="auto"/>
            <w:right w:val="none" w:sz="0" w:space="0" w:color="auto"/>
          </w:divBdr>
        </w:div>
        <w:div w:id="1100637534">
          <w:marLeft w:val="720"/>
          <w:marRight w:val="0"/>
          <w:marTop w:val="0"/>
          <w:marBottom w:val="0"/>
          <w:divBdr>
            <w:top w:val="none" w:sz="0" w:space="0" w:color="auto"/>
            <w:left w:val="none" w:sz="0" w:space="0" w:color="auto"/>
            <w:bottom w:val="none" w:sz="0" w:space="0" w:color="auto"/>
            <w:right w:val="none" w:sz="0" w:space="0" w:color="auto"/>
          </w:divBdr>
        </w:div>
        <w:div w:id="1565214573">
          <w:marLeft w:val="720"/>
          <w:marRight w:val="0"/>
          <w:marTop w:val="0"/>
          <w:marBottom w:val="0"/>
          <w:divBdr>
            <w:top w:val="none" w:sz="0" w:space="0" w:color="auto"/>
            <w:left w:val="none" w:sz="0" w:space="0" w:color="auto"/>
            <w:bottom w:val="none" w:sz="0" w:space="0" w:color="auto"/>
            <w:right w:val="none" w:sz="0" w:space="0" w:color="auto"/>
          </w:divBdr>
        </w:div>
        <w:div w:id="918709293">
          <w:marLeft w:val="720"/>
          <w:marRight w:val="0"/>
          <w:marTop w:val="0"/>
          <w:marBottom w:val="0"/>
          <w:divBdr>
            <w:top w:val="none" w:sz="0" w:space="0" w:color="auto"/>
            <w:left w:val="none" w:sz="0" w:space="0" w:color="auto"/>
            <w:bottom w:val="none" w:sz="0" w:space="0" w:color="auto"/>
            <w:right w:val="none" w:sz="0" w:space="0" w:color="auto"/>
          </w:divBdr>
        </w:div>
        <w:div w:id="970790278">
          <w:marLeft w:val="720"/>
          <w:marRight w:val="0"/>
          <w:marTop w:val="0"/>
          <w:marBottom w:val="0"/>
          <w:divBdr>
            <w:top w:val="none" w:sz="0" w:space="0" w:color="auto"/>
            <w:left w:val="none" w:sz="0" w:space="0" w:color="auto"/>
            <w:bottom w:val="none" w:sz="0" w:space="0" w:color="auto"/>
            <w:right w:val="none" w:sz="0" w:space="0" w:color="auto"/>
          </w:divBdr>
        </w:div>
        <w:div w:id="124094787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1526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P&amp;T Written Guidance</vt:lpstr>
    </vt:vector>
  </TitlesOfParts>
  <Company>AFIT</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P&amp;T Written Guidance</dc:title>
  <dc:creator>jtmoore</dc:creator>
  <cp:lastModifiedBy>kenneth schultz</cp:lastModifiedBy>
  <cp:revision>2</cp:revision>
  <dcterms:created xsi:type="dcterms:W3CDTF">2019-05-24T21:18:00Z</dcterms:created>
  <dcterms:modified xsi:type="dcterms:W3CDTF">2019-05-24T21:18:00Z</dcterms:modified>
</cp:coreProperties>
</file>