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Data buffering Task Performed by three Different Approaches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Zhaoxu Sui</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09/15/2021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Project Repository: https://github.com/KennethSui/GIS5571/tree/main/lab0</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Google Drive Link: https://drive.google.com/drive/folders/163esbfFNMoJqotkkuDmNppeBJRrW6b8h?usp=sharing</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color w:val="d0cece"/>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5 hours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Performing buffering on a network dataset via three tools, Jupyter Notebooks in ArcPro, Jupyter Notebooks in ArcOnline, and ArcPro.</w:t>
      </w:r>
    </w:p>
    <w:p w:rsidR="00000000" w:rsidDel="00000000" w:rsidP="00000000" w:rsidRDefault="00000000" w:rsidRPr="00000000" w14:paraId="0000000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sz w:val="20"/>
          <w:szCs w:val="20"/>
          <w:rtl w:val="0"/>
        </w:rPr>
        <w:t xml:space="preserve">The Esri ecosystem has many different ways that you can access the same underlying functionality. My objective is to compare and contrast performing the same simple activity - buffer a network dataset - using one dataset, MN Metropolitan Counties Road Centerlines, and three different tools: ArcPro, Jupyter Notebooks in ArcPro, Jupyter Notebooks in ArcOnline.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color w:val="d0cece"/>
          <w:sz w:val="20"/>
          <w:szCs w:val="20"/>
        </w:rPr>
      </w:pPr>
      <w:r w:rsidDel="00000000" w:rsidR="00000000" w:rsidRPr="00000000">
        <w:rPr>
          <w:rtl w:val="0"/>
        </w:rPr>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Buffering</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MN Geospatial Commons</w:t>
            </w:r>
          </w:p>
        </w:tc>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geometry</w:t>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u w:val="single"/>
                  <w:rtl w:val="0"/>
                </w:rPr>
                <w:t xml:space="preserve">Mn GeoSpatial Commons</w:t>
              </w:r>
            </w:hyperlink>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up ArcGIS Pro and ArcOnline</w:t>
            </w:r>
          </w:p>
        </w:tc>
      </w:tr>
    </w:tbl>
    <w:p w:rsidR="00000000" w:rsidDel="00000000" w:rsidP="00000000" w:rsidRDefault="00000000" w:rsidRPr="00000000" w14:paraId="00000023">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Input Data</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2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2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2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2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MN Metropolitan Counties </w:t>
            </w:r>
            <w:r w:rsidDel="00000000" w:rsidR="00000000" w:rsidRPr="00000000">
              <w:rPr>
                <w:rFonts w:ascii="Times New Roman" w:cs="Times New Roman" w:eastAsia="Times New Roman" w:hAnsi="Times New Roman"/>
                <w:sz w:val="20"/>
                <w:szCs w:val="20"/>
                <w:rtl w:val="0"/>
              </w:rPr>
              <w:t xml:space="preserve">Road Centerlines</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for routing analysis from MNDOT</w:t>
            </w:r>
          </w:p>
        </w:tc>
        <w:tc>
          <w:tcPr/>
          <w:p w:rsidR="00000000" w:rsidDel="00000000" w:rsidP="00000000" w:rsidRDefault="00000000" w:rsidRPr="00000000" w14:paraId="0000002E">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u w:val="single"/>
                  <w:rtl w:val="0"/>
                </w:rPr>
                <w:t xml:space="preserve">Mn GeoSpatial Commons</w:t>
              </w:r>
            </w:hyperlink>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3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 1: Using ArcGIS Pro to perform a buffering task, which is, to be specific, the first one on the default geoprocessing tool, performing 500m buffering, and generating results.</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pictures of method running is in the google drive and the github repository.</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comparing all three outputs, the result is verified as correct.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Discussion and Conclusion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learned the basic set up as well as the necessary procedures to perform these three different tasks, such as how to access, how to save, and how to run the code. In the end, all the results remain the same if the code and the procedures are followed correctly.</w:t>
      </w:r>
    </w:p>
    <w:p w:rsidR="00000000" w:rsidDel="00000000" w:rsidP="00000000" w:rsidRDefault="00000000" w:rsidRPr="00000000" w14:paraId="00000042">
      <w:pPr>
        <w:pStyle w:val="Heading4"/>
        <w:rPr>
          <w:rFonts w:ascii="Times New Roman" w:cs="Times New Roman" w:eastAsia="Times New Roman" w:hAnsi="Times New Roman"/>
          <w:sz w:val="22"/>
          <w:szCs w:val="22"/>
        </w:rPr>
      </w:pPr>
      <w:bookmarkStart w:colFirst="0" w:colLast="0" w:name="_heading=h.3lgvfsdo3lgr" w:id="1"/>
      <w:bookmarkEnd w:id="1"/>
      <w:r w:rsidDel="00000000" w:rsidR="00000000" w:rsidRPr="00000000">
        <w:rPr>
          <w:rFonts w:ascii="Times New Roman" w:cs="Times New Roman" w:eastAsia="Times New Roman" w:hAnsi="Times New Roman"/>
          <w:sz w:val="22"/>
          <w:szCs w:val="22"/>
          <w:rtl w:val="0"/>
        </w:rPr>
        <w:t xml:space="preserve">GitHub</w:t>
      </w:r>
    </w:p>
    <w:p w:rsidR="00000000" w:rsidDel="00000000" w:rsidP="00000000" w:rsidRDefault="00000000" w:rsidRPr="00000000" w14:paraId="0000004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sz w:val="20"/>
          <w:szCs w:val="20"/>
          <w:rtl w:val="0"/>
        </w:rPr>
        <w:t xml:space="preserve">I have already set up GitHub once in my laptop last semester, but it is still a tricky part that you have to push it to the domain once I make any changes in my local repository. I believe that sometimes I will forget to do it, so I will check twice.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Started with Notebooks. Esri. </w:t>
      </w:r>
      <w:hyperlink r:id="rId10">
        <w:r w:rsidDel="00000000" w:rsidR="00000000" w:rsidRPr="00000000">
          <w:rPr>
            <w:rFonts w:ascii="Times New Roman" w:cs="Times New Roman" w:eastAsia="Times New Roman" w:hAnsi="Times New Roman"/>
            <w:color w:val="1155cc"/>
            <w:sz w:val="20"/>
            <w:szCs w:val="20"/>
            <w:u w:val="single"/>
            <w:rtl w:val="0"/>
          </w:rPr>
          <w:t xml:space="preserve">https://doc.arcgis.com/en/arcgis-online/get-started/components-of-the-notebook-editor.htm</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Notebooks in ArcGIS Pro. Esri</w:t>
      </w:r>
    </w:p>
    <w:p w:rsidR="00000000" w:rsidDel="00000000" w:rsidP="00000000" w:rsidRDefault="00000000" w:rsidRPr="00000000" w14:paraId="0000004A">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https://pro.arcgis.com/en/pro-app/latest/arcpy/get-started/pro-notebooks.htm</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57">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bl>
    <w:p w:rsidR="00000000" w:rsidDel="00000000" w:rsidP="00000000" w:rsidRDefault="00000000" w:rsidRPr="00000000" w14:paraId="0000006A">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arcgis.com/en/pro-app/latest/arcpy/get-started/pro-notebooks.htm" TargetMode="External"/><Relationship Id="rId10" Type="http://schemas.openxmlformats.org/officeDocument/2006/relationships/hyperlink" Target="https://doc.arcgis.com/en/arcgis-online/get-started/components-of-the-notebook-editor.html"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data.mn.gov/dataset/trans-roads-mndot-tis" TargetMode="External"/><Relationship Id="rId8"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lnLhiEE05dAz+Levav696u6Rg==">AMUW2mWSVX8YjTaMFbl7xjCfk2k4UQ3THBluFGS8ylyFrbUxL8o2t85EpLPViW7yGtL6yNWFqR+RCGNDi+QiW+d6UoFRDfnzDUdMoer2XTGV2NaPvCKmBZvgsyUwwxWLxcKu4pnQqkGNDSQhpLoJumkBLEBF0USAjg==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