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Briefing de negocio y toma de requerimientos</w:t>
      </w:r>
    </w:p>
    <w:p>
      <w:r>
        <w:t>CastleWalk Tickets  |  F1-01  |  Versión 1.0  |  17 de octubre de 2026</w:t>
      </w:r>
    </w:p>
    <w:p>
      <w:r>
        <w:t>Estado: Para revisión y aprobación. Responsable de revisión: Patrocinador y dueño del proceso.</w:t>
      </w:r>
    </w:p>
    <w:p>
      <w:r>
        <w:t>CastleWalk Tickets centraliza solicitudes internas entre áreas. Este briefing propone una base de decisión para validar el problema, el valor esperado y el alcance con el patrocinador. La aplicación existente permite registrar, asignar, seguir y comentar tickets; los objetivos de negocio siguientes requieren línea base y aprobación.</w:t>
      </w:r>
    </w:p>
    <w:p>
      <w:pPr>
        <w:pStyle w:val="Heading1"/>
      </w:pPr>
      <w:r>
        <w:t>Contexto y problema por validar</w:t>
      </w:r>
    </w:p>
    <w:p>
      <w:r>
        <w:t>El repositorio representa un sistema interno de atención entre áreas organizacionales, con solicitantes, responsables, líderes y administración global. La hipótesis de negocio es que una cola compartida y una bitácora reducen solicitudes perdidas y el esfuerzo de seguimiento. No se ha acreditado mediante entrevistas qué canales usa hoy la organización, cuántas solicitudes recibe ni cuánto cuesta atenderlas.</w:t>
      </w:r>
    </w:p>
    <w:p>
      <w:pPr>
        <w:pStyle w:val="Heading1"/>
      </w:pPr>
      <w:r>
        <w:t>Visión del servicio</w:t>
      </w:r>
    </w:p>
    <w:p>
      <w:r>
        <w:t>Un colaborador registra una necesidad para un área, conserva un número de seguimiento y consulta comentarios y estado. El área distribuye el trabajo según sus permisos; las personas autorizadas cierran o cancelan. El patrocinador obtiene indicadores con definiciones explícitas y responsables que puedan responder por el servicio.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Objetivo candidato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Medición y línea base pendiente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Centralizar solicitudes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Porcentaje de solicitudes del piloto registradas; meta propuesta 90 por ciento al final del piloto. Medir total por canales durante dos semanas.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Dueño del proceso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Mejorar trazabilidad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Porcentaje de tickets muestreados con área, estado y responsable o justificación; meta propuesta 95 por ciento.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Líderes de área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Reducir seguimiento manual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Minutos de seguimiento por solicitud antes y después; reducción propuesta 20 por ciento, sin resultado actual.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Operación</w:t>
            </w:r>
          </w:p>
        </w:tc>
      </w:tr>
    </w:tbl>
    <w:p>
      <w:pPr>
        <w:spacing w:after="20"/>
      </w:pPr>
    </w:p>
    <w:p>
      <w:pPr>
        <w:pStyle w:val="Heading1"/>
      </w:pPr>
      <w:r>
        <w:t>Participantes y constancia de la sesión</w:t>
      </w:r>
    </w:p>
    <w:p>
      <w:r>
        <w:t>Reunión de descubrimiento: [fecha y canal]. Cliente y patrocinador: [completar]. Facilitador: [completar]. Participantes y roles: [completar]. Esta versión consolida una propuesta documental; no acredita una reunión realizada ni declaraciones de personas identificadas.</w:t>
      </w:r>
    </w:p>
    <w:p>
      <w:r>
        <w:br w:type="page"/>
      </w:r>
    </w:p>
    <w:p>
      <w:pPr>
        <w:pStyle w:val="Heading1"/>
      </w:pPr>
      <w:r>
        <w:t>Necesidades y límites iniciales</w:t>
      </w:r>
    </w:p>
    <w:p>
      <w:pPr>
        <w:pStyle w:val="ListBullet"/>
      </w:pPr>
      <w:r>
        <w:t>Registrar tickets con prioridad, área y número único; filtrar y consultar detalle con acceso por relación.</w:t>
      </w:r>
    </w:p>
    <w:p>
      <w:pPr>
        <w:pStyle w:val="ListBullet"/>
      </w:pPr>
      <w:r>
        <w:t>Asignar, comentar y cambiar estado con permisos diferenciados; conservar eventos y notificaciones internas.</w:t>
      </w:r>
    </w:p>
    <w:p>
      <w:pPr>
        <w:pStyle w:val="ListBullet"/>
      </w:pPr>
      <w:r>
        <w:t>Representar áreas, líderes y membresías; gestionar usuarios activos desde administración.</w:t>
      </w:r>
    </w:p>
    <w:p>
      <w:pPr>
        <w:pStyle w:val="ListBullet"/>
      </w:pPr>
      <w:r>
        <w:t>Definir antes de operar la política de cierre, visibilidad, datos, soporte y seguridad.</w:t>
      </w:r>
    </w:p>
    <w:p>
      <w:pPr>
        <w:pStyle w:val="Heading1"/>
      </w:pPr>
      <w:r>
        <w:t>Alcance inicial y exclusiones</w:t>
      </w:r>
    </w:p>
    <w:p>
      <w:r>
        <w:t>La base corresponde a FR-01 a FR-14 del SRS F3-01. FR-15 a FR-18 y NFR-01 a NFR-08 son propuestas de mejora o aceptación, sujetas a decisión. Quedan fuera de esta base portal externo, SSO, correo, adjuntos, exportación y automatización de SLA. La documentación de las fases 1 a 5 no incluye despliegue productivo ni acta de cierre final.</w:t>
      </w:r>
    </w:p>
    <w:p>
      <w:pPr>
        <w:pStyle w:val="Heading1"/>
      </w:pPr>
      <w:r>
        <w:t>Preguntas para validar con negocio</w:t>
      </w:r>
    </w:p>
    <w:p>
      <w:pPr>
        <w:pStyle w:val="ListBullet"/>
      </w:pPr>
      <w:r>
        <w:t>Qué tipos de solicitud entran y cuáles deben permanecer en otro proceso; identificar áreas piloto y dueño del catálogo.</w:t>
      </w:r>
    </w:p>
    <w:p>
      <w:pPr>
        <w:pStyle w:val="ListBullet"/>
      </w:pPr>
      <w:r>
        <w:t>Quién puede leer información entre áreas y qué datos nunca deben incluirse en un ticket.</w:t>
      </w:r>
    </w:p>
    <w:p>
      <w:pPr>
        <w:pStyle w:val="ListBullet"/>
      </w:pPr>
      <w:r>
        <w:t>Qué significa resolver, cerrar, cancelar y reabrir; quién confirma la resolución y en cuánto tiempo.</w:t>
      </w:r>
    </w:p>
    <w:p>
      <w:pPr>
        <w:pStyle w:val="ListBullet"/>
      </w:pPr>
      <w:r>
        <w:t>Volumen, horarios, estacionalidad, dispositivos, idiomas y necesidad real de vencimientos.</w:t>
      </w:r>
    </w:p>
    <w:p>
      <w:pPr>
        <w:pStyle w:val="ListBullet"/>
      </w:pPr>
      <w:r>
        <w:t>Presupuesto máximo, retorno esperado, responsable de soporte y criterio de éxito del piloto.</w:t>
      </w:r>
    </w:p>
    <w:p>
      <w:pPr>
        <w:pStyle w:val="Heading1"/>
      </w:pPr>
      <w:r>
        <w:t>Decisiones y próximos acuerdos</w:t>
      </w:r>
    </w:p>
    <w:p>
      <w:r>
        <w:t>D-01 Patrocinador y alcance del piloto: [pendiente]. D-02 Semántica de estados y vencimientos: [pendiente]. D-03 Criterios de seguridad y operación: [pendiente]. D-04 Presupuesto y disponibilidad de usuarios clave: [pendiente]. Cada decisión debe registrar fecha, responsable y documento afectado; las decisiones comerciales se formalizan en F2-02 y F2-04.</w:t>
      </w:r>
    </w:p>
    <w:p>
      <w:pPr>
        <w:pStyle w:val="Heading1"/>
      </w:pPr>
      <w:r>
        <w:t>Revisión y aprobación</w:t>
      </w:r>
    </w:p>
    <w:p>
      <w:r>
        <w:t>Revisores: Patrocinador y responsable del documento. Decisión: [pendiente]. Observaciones y condiciones: [completar]. Nombre, cargo, firma y fecha de cada aprobador: [completar]. No hay aprobación ni firma registrada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F1-01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de negocio y toma de requerimientos</dc:title>
  <dc:subject>F1-01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