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Estudio de factibilidad técnica económica y operativa</w:t>
      </w:r>
    </w:p>
    <w:p>
      <w:r>
        <w:t>CastleWalk Tickets  |  F1-03  |  Versión 1.0  |  17 de octubre de 2026</w:t>
      </w:r>
    </w:p>
    <w:p>
      <w:r>
        <w:t>Estado: Para revisión y aprobación. Responsable de revisión: Patrocinador y liderazgo técnico.</w:t>
      </w:r>
    </w:p>
    <w:p>
      <w:r>
        <w:t>La recomendación es continuar con un piloto interno condicionado a validar seguridad, recuperación, reglas de negocio y capacidad. La implementación ofrece una base funcional; no hay evidencia suficiente para afirmar preparación productiva, rentabilidad medida o capacidad operativa contratada.</w:t>
      </w:r>
    </w:p>
    <w:p>
      <w:pPr>
        <w:pStyle w:val="Heading1"/>
      </w:pPr>
      <w:r>
        <w:t>Factibilidad técnica</w:t>
      </w:r>
    </w:p>
    <w:p>
      <w:r>
        <w:t>El monorepo separa web Next.js y API NestJS con Prisma y libSQL de modelo SQLite. Es una arquitectura modular adecuada como base de evaluación para solicitudes internas. No se identifican microservicios ni integraciones externas obligatorias. La factibilidad depende de medir el volumen objetivo y de elegir un despliegue con TLS, secretos, monitoreo y respaldo administrados.</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165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Factor</w:t>
            </w:r>
          </w:p>
        </w:tc>
        <w:tc>
          <w:tcPr>
            <w:tcW w:type="dxa" w:w="42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Evidencia</w:t>
            </w:r>
          </w:p>
        </w:tc>
        <w:tc>
          <w:tcPr>
            <w:tcW w:type="dxa" w:w="432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Condición de viabilidad</w:t>
            </w:r>
          </w:p>
        </w:tc>
      </w:tr>
      <w:tr>
        <w:trPr>
          <w:cantSplit/>
        </w:trPr>
        <w:tc>
          <w:tcPr>
            <w:tcW w:type="dxa" w:w="165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Funcionalidad</w:t>
            </w:r>
          </w:p>
        </w:tc>
        <w:tc>
          <w:tcPr>
            <w:tcW w:type="dxa" w:w="42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Alta, filtros, detalle, permisos y organización implementados.</w:t>
            </w:r>
          </w:p>
        </w:tc>
        <w:tc>
          <w:tcPr>
            <w:tcW w:type="dxa" w:w="432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Aprobar diferencias entre web y API y reglas FR-15 a FR-18.</w:t>
            </w:r>
          </w:p>
        </w:tc>
      </w:tr>
      <w:tr>
        <w:trPr>
          <w:cantSplit/>
        </w:trPr>
        <w:tc>
          <w:tcPr>
            <w:tcW w:type="dxa" w:w="165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Persistencia</w:t>
            </w:r>
          </w:p>
        </w:tc>
        <w:tc>
          <w:tcPr>
            <w:tcW w:type="dxa" w:w="42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Contador y ticket se crean en una transacción.</w:t>
            </w:r>
          </w:p>
        </w:tc>
        <w:tc>
          <w:tcPr>
            <w:tcW w:type="dxa" w:w="432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Probar concurrencia y fallos parciales de eventos y avisos.</w:t>
            </w:r>
          </w:p>
        </w:tc>
      </w:tr>
      <w:tr>
        <w:trPr>
          <w:cantSplit/>
        </w:trPr>
        <w:tc>
          <w:tcPr>
            <w:tcW w:type="dxa" w:w="165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Operación</w:t>
            </w:r>
          </w:p>
        </w:tc>
        <w:tc>
          <w:tcPr>
            <w:tcW w:type="dxa" w:w="42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Compose inicia libSQL local con volumen.</w:t>
            </w:r>
          </w:p>
        </w:tc>
        <w:tc>
          <w:tcPr>
            <w:tcW w:type="dxa" w:w="432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Definir despliegue completo y restauración; no equiparar volumen con respaldo.</w:t>
            </w:r>
          </w:p>
        </w:tc>
      </w:tr>
      <w:tr>
        <w:trPr>
          <w:cantSplit/>
        </w:trPr>
        <w:tc>
          <w:tcPr>
            <w:tcW w:type="dxa" w:w="165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Calidad</w:t>
            </w:r>
          </w:p>
        </w:tc>
        <w:tc>
          <w:tcPr>
            <w:tcW w:type="dxa" w:w="424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Pruebas observadas de salud; sin cobertura amplia de negocio.</w:t>
            </w:r>
          </w:p>
        </w:tc>
        <w:tc>
          <w:tcPr>
            <w:tcW w:type="dxa" w:w="432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Construir y ejecutar plan F5-01 antes de aceptación productiva.</w:t>
            </w:r>
          </w:p>
        </w:tc>
      </w:tr>
    </w:tbl>
    <w:p>
      <w:pPr>
        <w:spacing w:after="20"/>
      </w:pPr>
    </w:p>
    <w:p>
      <w:pPr>
        <w:pStyle w:val="Heading1"/>
      </w:pPr>
      <w:r>
        <w:t>Alternativas de decisión</w:t>
      </w:r>
    </w:p>
    <w:p>
      <w:r>
        <w:t>A Mantener la base y ejecutar piloto acotado: menor cambio inicial, con controles y medición pendientes. B Extender controles y automatizar pruebas antes del piloto: mayor esfuerzo inicial y menor incertidumbre de acceso. C Comparar una herramienta comercial de tickets: requiere evaluar costos, privacidad, exportación, permisos por área y dependencia del proveedor. No se dispone de cotizaciones ni prueba comparativa para adjudicar una alternativa.</w:t>
      </w:r>
    </w:p>
    <w:p>
      <w:r>
        <w:br w:type="page"/>
      </w:r>
    </w:p>
    <w:p>
      <w:pPr>
        <w:pStyle w:val="Heading1"/>
      </w:pPr>
      <w:r>
        <w:t>Factibilidad económica</w:t>
      </w:r>
    </w:p>
    <w:p>
      <w:r>
        <w:t>Escenario puramente ilustrativo en USD, sin impuestos ni tarifas de proveedor: 320 horas de construcción a 30 USD por hora producen 9600 USD; reserva del 15 por ciento equivale a 1440 USD; inversión inicial estimada 11040 USD. Infraestructura supuesta 80 USD al mes más 8 horas de soporte a 30 USD producen 320 USD mensuales, o 3840 USD al año.</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Supuesto de beneficio anual</w:t>
            </w:r>
          </w:p>
        </w:tc>
        <w:tc>
          <w:tcPr>
            <w:tcW w:type="dxa" w:w="525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Cálculo ilustrativo</w:t>
            </w:r>
          </w:p>
        </w:tc>
        <w:tc>
          <w:tcPr>
            <w:tcW w:type="dxa" w:w="208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Resultado</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Ahorro de seguimiento</w:t>
            </w:r>
          </w:p>
        </w:tc>
        <w:tc>
          <w:tcPr>
            <w:tcW w:type="dxa" w:w="525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40 personas × 10 minutos por semana × 48 semanas ÷ 60 × 15 USD por hora</w:t>
            </w:r>
          </w:p>
        </w:tc>
        <w:tc>
          <w:tcPr>
            <w:tcW w:type="dxa" w:w="208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4800 USD al año</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Costo total año uno</w:t>
            </w:r>
          </w:p>
        </w:tc>
        <w:tc>
          <w:tcPr>
            <w:tcW w:type="dxa" w:w="525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11040 USD iniciales + 3840 USD recurrentes</w:t>
            </w:r>
          </w:p>
        </w:tc>
        <w:tc>
          <w:tcPr>
            <w:tcW w:type="dxa" w:w="208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14880 USD</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Beneficio neto año uno</w:t>
            </w:r>
          </w:p>
        </w:tc>
        <w:tc>
          <w:tcPr>
            <w:tcW w:type="dxa" w:w="525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4800 menos 14880</w:t>
            </w:r>
          </w:p>
        </w:tc>
        <w:tc>
          <w:tcPr>
            <w:tcW w:type="dxa" w:w="208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Menos 10080 USD</w:t>
            </w:r>
          </w:p>
        </w:tc>
      </w:tr>
      <w:tr>
        <w:trPr>
          <w:cantSplit/>
        </w:trPr>
        <w:tc>
          <w:tcPr>
            <w:tcW w:type="dxa" w:w="2880"/>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ROI año uno</w:t>
            </w:r>
          </w:p>
        </w:tc>
        <w:tc>
          <w:tcPr>
            <w:tcW w:type="dxa" w:w="525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Beneficio neto ÷ costo total × 100</w:t>
            </w:r>
          </w:p>
        </w:tc>
        <w:tc>
          <w:tcPr>
            <w:tcW w:type="dxa" w:w="2088"/>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Menos 67,7 por ciento</w:t>
            </w:r>
          </w:p>
        </w:tc>
      </w:tr>
    </w:tbl>
    <w:p>
      <w:pPr>
        <w:spacing w:after="20"/>
      </w:pPr>
    </w:p>
    <w:p>
      <w:r>
        <w:t>El escenario conservador no justifica la inversión solo por ahorro de seguimiento. Si el tiempo ahorrado fuese 30 minutos por semana, el beneficio sería 14400 USD al año y el neto del primer año menos 480 USD. Con costo recurrente anual 3840 USD, el retorno simple posterior al inicio sería 11040 ÷ (14400 menos 3840) = 1,05 años. Estas cifras son sensibilidad, no promesa de retorno. Medir pérdidas evitadas y productividad sin doble conteo.</w:t>
      </w:r>
    </w:p>
    <w:p>
      <w:pPr>
        <w:pStyle w:val="Heading1"/>
      </w:pPr>
      <w:r>
        <w:t>Factibilidad operativa y decisión de paso</w:t>
      </w:r>
    </w:p>
    <w:p>
      <w:r>
        <w:t>Se requiere patrocinador con autoridad de alcance, dueño del proceso, referentes de áreas, administración y responsable técnico de soporte y recuperación. Confirmar capacidad semanal y suplencias. La decisión de continuar debe adjuntar línea base, presupuesto máximo, áreas del piloto y responsables; si no se confirman, limitar el trabajo a validación y no comprometer una fecha de producción.</w:t>
      </w:r>
    </w:p>
    <w:p>
      <w:pPr>
        <w:pStyle w:val="Heading1"/>
      </w:pPr>
      <w:r>
        <w:t>Revisión y aprobación</w:t>
      </w:r>
    </w:p>
    <w:p>
      <w:r>
        <w:t>Revisores: Patrocinador y responsable del documento. Decisión: [pendiente]. Observaciones y condiciones: [completar]. Nombre, cargo, firma y fecha de cada aprobador: [completar]. No hay aprobación ni firma registrada en este documento.</w:t>
      </w:r>
    </w:p>
    <w:p>
      <w:pPr>
        <w:pStyle w:val="Heading1"/>
      </w:pPr>
      <w:r>
        <w:t>Referencias del proyecto</w:t>
      </w:r>
    </w:p>
    <w:p>
      <w:r>
        <w:t>package.json; apps/api/package.json; apps/web/package.json; docker-compose.yml; apps/api/prisma/schema.prisma.</w:t>
      </w:r>
    </w:p>
    <w:p>
      <w:r>
        <w:t>O identifica comportamiento observado en código al 17 de octubre de 2026. P identifica propuesta sujeta a aprobación. Los procedimientos descritos no equivalen a pruebas ejecutadas.</w:t>
      </w:r>
    </w:p>
    <w:sectPr w:rsidR="00FC693F" w:rsidRPr="0006063C" w:rsidSect="00034616">
      <w:headerReference w:type="default" r:id="rId9"/>
      <w:footerReference w:type="default" r:id="rId10"/>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CastleWalk Tickets    F1-03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factibilidad técnica económica y operativa</dc:title>
  <dc:subject>F1-03</dc:subject>
  <dc:creator>Equipo del proyecto CastleWalk Tickets</dc:creator>
  <cp:keywords/>
  <dc:description>generated by python-docx</dc:description>
  <cp:lastModifiedBy/>
  <cp:revision>1</cp:revision>
  <dcterms:created xsi:type="dcterms:W3CDTF">2013-12-23T23:15:00Z</dcterms:created>
  <dcterms:modified xsi:type="dcterms:W3CDTF">2013-12-23T23:15:00Z</dcterms:modified>
  <cp:category/>
</cp:coreProperties>
</file>