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económica y cotización del servicio</w:t>
      </w:r>
    </w:p>
    <w:p>
      <w:r>
        <w:t>CastleWalk Tickets  |  F2-04  |  Versión 1.0  |  17 de octubre de 2026</w:t>
      </w:r>
    </w:p>
    <w:p>
      <w:r>
        <w:t>Estado: Borrador comercial con supuestos ilustrativos. Responsable de revisión: Patrocinador compras y proveedor.</w:t>
      </w:r>
    </w:p>
    <w:p>
      <w:r>
        <w:t>La siguiente cotización parametrizada permite negociar esfuerzo, infraestructura y soporte de CastleWalk Tickets. Todos los importes son un escenario ilustrativo en USD, no precios vigentes de terceros ni una oferta aceptada. El valor contractual se completa y firma después de acordar alcance y tarifas.</w:t>
      </w:r>
    </w:p>
    <w:p>
      <w:pPr>
        <w:pStyle w:val="Heading1"/>
      </w:pPr>
      <w:r>
        <w:t>Identificación y condiciones por completar</w:t>
      </w:r>
    </w:p>
    <w:p>
      <w:r>
        <w:t>Cotización [número]. Cliente [razón social e identificación]. Proveedor [razón social e identificación]. Moneda final [completar]. Fecha de emisión comercial [completar]. Validez [días desde emisión]. Impuestos, retenciones y gastos reembolsables [completar]. Referencia SOW F2-02 versión [completar]. No hay anticipo, facturación ni obligación de pago generados por esta versión.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Trabajo supuesto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Horas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Tarifa USD por hora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Subtotal USD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Descubrimiento y documentación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1440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Especificación y diseño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72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2160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Implementación de mejoras autorizadas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120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3600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QA y UAT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56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1680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Gestión y coordinación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720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Total base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320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9600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Reserva negociable 15 por ciento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No son horas comprometidas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9600 × 0,15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1440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Total inicial del escenario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11040</w:t>
            </w:r>
          </w:p>
        </w:tc>
      </w:tr>
    </w:tbl>
    <w:p>
      <w:pPr>
        <w:spacing w:after="20"/>
      </w:pPr>
    </w:p>
    <w:p>
      <w:r>
        <w:t>Fórmula escalable: costo base = suma de horas aprobadas por perfil multiplicadas por su tarifa; total = base más reserva autorizada más impuestos aplicables. La reserva no autoriza cambios ni se consume automáticamente. No se estima el desarrollo ya existente como trabajo nuevo facturable; las horas deben validarse contra el alcance que efectivamente se contrate.</w:t>
      </w:r>
    </w:p>
    <w:p>
      <w:r>
        <w:br w:type="page"/>
      </w:r>
    </w:p>
    <w:p>
      <w:pPr>
        <w:pStyle w:val="Heading1"/>
      </w:pPr>
      <w:r>
        <w:t>Pagos recurrentes y ajustes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Hito propuesto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Porcentaje del total ilustrativo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Importe USD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Inicio contractual aprobado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20 por ciento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2208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Diseño y alcance aceptados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30 por ciento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3312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Construcción contratada verificada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30 por ciento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3312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UAT y hito de aceptación firmados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20 por ciento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2208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Total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100 por ciento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11040</w:t>
            </w:r>
          </w:p>
        </w:tc>
      </w:tr>
    </w:tbl>
    <w:p>
      <w:pPr>
        <w:spacing w:after="20"/>
      </w:pPr>
    </w:p>
    <w:p>
      <w:r>
        <w:t>El esquema solo aplica si se contrata construcción y sus hitos. Si se compra únicamente documentación, sustituirlo por entregables documentales y precio acordado. Facturar después de aceptación escrita del hito conforme al MSA; plazo de pago [días], medio [completar], cuenta comunicada por canal verificado. Disputas de factura: [procedimiento y plazo].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Costo mensual supuesto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USD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Infraestructura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 = 80 USD supuesto; sin cotización de proveedor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Soporte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8 horas × 30 USD por hora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240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Licencias de terceros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 = costo real aprobado; supuesto inicial 0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Total mensual ilustrativo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I + horas de soporte × tarifa + L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320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Recurrente anual</w:t>
            </w:r>
          </w:p>
        </w:tc>
        <w:tc>
          <w:tcPr>
            <w:tcW w:type="dxa" w:w="59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320 × 12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3840</w:t>
            </w:r>
          </w:p>
        </w:tc>
      </w:tr>
    </w:tbl>
    <w:p>
      <w:pPr>
        <w:spacing w:after="20"/>
      </w:pPr>
    </w:p>
    <w:p>
      <w:pPr>
        <w:pStyle w:val="Heading1"/>
      </w:pPr>
      <w:r>
        <w:t>Alcance económico y cambios</w:t>
      </w:r>
    </w:p>
    <w:p>
      <w:r>
        <w:t>No incluye impuestos, consumo adicional, auditorías externas, servicios 24 por 7, migraciones ni integraciones excluidas del SOW. Horas excedentes requieren autorización escrita con tarifa y límite. El mantenimiento correctivo cubierto por garantía no debe facturarse de nuevo; mejoras y operación se definen aparte. Fórmula de sensibilidad: cada 40 horas extra a 30 USD suma 1200 USD antes de reserva e impuestos.</w:t>
      </w:r>
    </w:p>
    <w:p>
      <w:pPr>
        <w:pStyle w:val="Heading1"/>
      </w:pPr>
      <w:r>
        <w:t>Aceptación comercial pendiente</w:t>
      </w:r>
    </w:p>
    <w:p>
      <w:r>
        <w:t>Importe final [completar]. Modalidad precio fijo o tiempo y materiales [seleccionar]. Tope de gasto [completar]. Cliente y proveedor: nombre, cargo, firma y fecha [pendientes]. Las tarifas, fechas e infraestructura requieren negociación; no se consultaron precios actuales de vendedores ni se asumió un país fiscal.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F2-04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económica y cotización del servicio</dc:title>
  <dc:subject>F2-04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