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marco de prestación de servicios</w:t>
      </w:r>
    </w:p>
    <w:p>
      <w:r>
        <w:t>CastleWalk Tickets  |  F2-05  |  Versión 1.0  |  17 de octubre de 2026</w:t>
      </w:r>
    </w:p>
    <w:p>
      <w:r>
        <w:t>Estado: Borrador contractual para negociación. Responsable de revisión: Asesoría legal y representantes de las partes.</w:t>
      </w:r>
    </w:p>
    <w:p>
      <w:r>
        <w:t>Este contrato marco propone reglas para los servicios de CastleWalk Tickets. Se convierte en un instrumento listo para firma solo al completar partes, jurisdicción, anexos y condiciones negociadas y obtener revisión legal. Los espacios vacíos no crean compromisos ni aceptación.</w:t>
      </w:r>
    </w:p>
    <w:p>
      <w:pPr>
        <w:pStyle w:val="Heading1"/>
      </w:pPr>
      <w:r>
        <w:t>Partes objeto y prelación</w:t>
      </w:r>
    </w:p>
    <w:p>
      <w:r>
        <w:t>Cliente [razón social, identificación, domicilio y representante] y proveedor [razón social, identificación, domicilio y representante] acuerdan prestar los servicios definidos en cada SOW firmado. Fecha efectiva [completar]. En caso de contradicción prevalecen las normas imperativas, las modificaciones firmadas y luego el orden documental acordado [MSA, SOW, SLA, cotización y anexos]. Ningún correo informal amplía alcance salvo que las partes lo designen como mecanismo válido de cambio.</w:t>
      </w:r>
    </w:p>
    <w:p>
      <w:pPr>
        <w:pStyle w:val="Heading1"/>
      </w:pPr>
      <w:r>
        <w:t>Obligaciones y gobierno</w:t>
      </w:r>
    </w:p>
    <w:p>
      <w:r>
        <w:t>El proveedor ejecutará el trabajo con diligencia profesional, personal competente y medidas de protección acordadas; identificará versiones y entregará evidencia según los criterios. El cliente facilitará decisiones, participantes y datos lícitos dentro del plazo pactado. Cada parte nombrará responsable y suplente. La subcontratación con acceso a información requerirá las condiciones y autorizaciones [completar], conservando el proveedor su responsabilidad por el servicio comprometido.</w:t>
      </w:r>
    </w:p>
    <w:p>
      <w:pPr>
        <w:pStyle w:val="Heading1"/>
      </w:pPr>
      <w:r>
        <w:t>Alcance precio y cambios</w:t>
      </w:r>
    </w:p>
    <w:p>
      <w:r>
        <w:t>Los servicios incluidos, exclusiones, hitos y dependencias se fijan en F2-02. Tarifas, moneda, impuestos, pagos y tope constan en F2-04 aceptada. Ningún gasto reembolsable o exceso se cobra sin autorización previa. Un cambio requiere descripción, efectos técnicos, costo, calendario y aprobación de los representantes designados. Las demoras de decisión o acceso se documentan y replanifican; no justifican cargos automáticos no pactados.</w:t>
      </w:r>
    </w:p>
    <w:p>
      <w:pPr>
        <w:pStyle w:val="Heading1"/>
      </w:pPr>
      <w:r>
        <w:t>Entrega y aceptación</w:t>
      </w:r>
    </w:p>
    <w:p>
      <w:r>
        <w:t>El proveedor notificará una entrega identificada y su evidencia. El cliente dispondrá de [días hábiles] para aceptar por escrito o rechazar indicando criterio incumplido y evidencia. Las partes acordarán una corrección proporcional y nueva revisión. No hay aceptación por silencio propuesta. El uso de un piloto no implica aceptación productiva ni renuncia a defectos. Los hitos se documentan en formularios F5-04 firmados.</w:t>
      </w:r>
    </w:p>
    <w:p>
      <w:r>
        <w:br w:type="page"/>
      </w:r>
    </w:p>
    <w:p>
      <w:pPr>
        <w:pStyle w:val="Heading1"/>
      </w:pPr>
      <w:r>
        <w:t>Derechos protección y garantías</w:t>
      </w:r>
    </w:p>
    <w:p>
      <w:pPr>
        <w:pStyle w:val="Heading1"/>
      </w:pPr>
      <w:r>
        <w:t>Propiedad intelectual y terceros</w:t>
      </w:r>
    </w:p>
    <w:p>
      <w:r>
        <w:t>Cada parte conserva sus materiales y derechos preexistentes. El régimen de entregables nuevos será [cesión o licencia, alcance, territorio, duración y momento de efecto], condicionado a [pago u otra condición acordada]. El proveedor identificará componentes propios, de terceros y de código abierto, sus licencias y restricciones; no podrá ceder derechos que no posee. El cliente conserva sus datos. La entrega del código y derechos de modificación y uso se especificarán en el SOW, sin presumir exclusividad.</w:t>
      </w:r>
    </w:p>
    <w:p>
      <w:pPr>
        <w:pStyle w:val="Heading1"/>
      </w:pPr>
      <w:r>
        <w:t>Confidencialidad y protección de datos</w:t>
      </w:r>
    </w:p>
    <w:p>
      <w:r>
        <w:t>Se incorpora el NDA F2-01 vigente. Las partes acuerdan roles y finalidades de tratamiento, categorías de datos, ubicación, retención, controles y supresión en un anexo [identificador]. No se utilizarán datos ni código para fines no autorizados. Accesos remotos, transferencias y subencargados requieren autorización expresa. Los incidentes se notificarán al contacto y dentro del plazo negociado, sin impedir obligaciones legales de notificación que correspondan.</w:t>
      </w:r>
    </w:p>
    <w:p>
      <w:pPr>
        <w:pStyle w:val="Heading1"/>
      </w:pPr>
      <w:r>
        <w:t>Garantía y soporte</w:t>
      </w:r>
    </w:p>
    <w:p>
      <w:r>
        <w:t>Durante [plazo] desde aceptación, el proveedor corregirá incumplimientos reproducibles de los criterios acordados atribuibles a su trabajo, sin cargo adicional. Deben excluirse de la garantía únicamente supuestos definidos y demostrables, como modificaciones no autorizadas o uso contrario a instrucciones; cada exclusión se revisa sin anular derechos imperativos. Nuevas funcionalidades y soporte recurrente se contratan aparte. El SLA F2-06 define horario, severidades y medición, sin prometer operación no contratada.</w:t>
      </w:r>
    </w:p>
    <w:p>
      <w:pPr>
        <w:pStyle w:val="Heading1"/>
      </w:pPr>
      <w:r>
        <w:t>Responsabilidad e indemnidad</w:t>
      </w:r>
    </w:p>
    <w:p>
      <w:r>
        <w:t>Las partes negociarán un límite de responsabilidad [importe o base de cálculo] y sus excepciones [confidencialidad, datos, propiedad intelectual, dolo u otras según ley]. La distribución de daños directos e indirectos e indemnidades se somete a revisión legal y a normas no renunciables. Ante una reclamación de terceros, la parte notificada avisará oportunamente y las partes acordarán defensa, cooperación y aprobación de acuerdos. No se declara un límite ejecutable mientras estos campos estén vacíos.</w:t>
      </w:r>
    </w:p>
    <w:p>
      <w:r>
        <w:br w:type="page"/>
      </w:r>
    </w:p>
    <w:p>
      <w:pPr>
        <w:pStyle w:val="Heading1"/>
      </w:pPr>
      <w:r>
        <w:t>Vigencia terminación y solución de controversias</w:t>
      </w:r>
    </w:p>
    <w:p>
      <w:pPr>
        <w:pStyle w:val="Heading1"/>
      </w:pPr>
      <w:r>
        <w:t>Vigencia y causales de terminación</w:t>
      </w:r>
    </w:p>
    <w:p>
      <w:r>
        <w:t>Duración inicial [completar] y renovación [expresa o modalidad acordada]. Una parte podrá terminar por incumplimiento material no subsanado tras aviso y plazo de cura de [días], o por las causales adicionales lícitas [completar]. La terminación por conveniencia, su preaviso y compensación requieren acuerdo expreso. La suspensión por impago o riesgo de seguridad exige notificación y medidas proporcionales, salvo urgencia debidamente documentada y conforme a ley.</w:t>
      </w:r>
    </w:p>
    <w:p>
      <w:pPr>
        <w:pStyle w:val="Heading1"/>
      </w:pPr>
      <w:r>
        <w:t>Efectos de terminación y transición</w:t>
      </w:r>
    </w:p>
    <w:p>
      <w:r>
        <w:t>Las partes liquidarán únicamente servicios aceptados y obligaciones válidamente devengadas. El proveedor entregará materiales y datos a los que el cliente tenga derecho en formato y plazo [completar], revocará accesos y devolverá o eliminará información según NDA y anexo de datos. La asistencia de transición, su tarifa y límite [completar] no se presume gratuita ni ilimitada. Sobreviven las obligaciones de confidencialidad, propiedad y pagos que por su naturaleza correspondan.</w:t>
      </w:r>
    </w:p>
    <w:p>
      <w:pPr>
        <w:pStyle w:val="Heading1"/>
      </w:pPr>
      <w:r>
        <w:t>Fuerza mayor y continuidad</w:t>
      </w:r>
    </w:p>
    <w:p>
      <w:r>
        <w:t>La parte afectada por un evento fuera de su control razonable notificará hechos, impacto y medidas de mitigación. Las partes replanificarán obligaciones afectadas y acordarán un umbral de terminación si el evento persiste [plazo]. Fallas previsibles de gestión, respaldo o capacidad no se clasifican automáticamente como fuerza mayor. El plan de continuidad debe mantener contactos y acceso a datos dentro del alcance contratado.</w:t>
      </w:r>
    </w:p>
    <w:p>
      <w:pPr>
        <w:pStyle w:val="Heading1"/>
      </w:pPr>
      <w:r>
        <w:t>Ley avisos y controversias</w:t>
      </w:r>
    </w:p>
    <w:p>
      <w:r>
        <w:t>Ley aplicable [país y jurisdicción]. Representantes intentarán negociación por [días]; de persistir, acudirán a [mediación, arbitraje o tribunales] en [sede], bajo [reglas]. Idioma contractual [completar]. Avisos a [domicilios y correos autorizados]. Modificaciones por escrito; cesión y relación independiente según condiciones [completar]. Las partes revisarán validez y divisibilidad de cláusulas conforme a la ley elegida.</w:t>
      </w:r>
    </w:p>
    <w:p>
      <w:pPr>
        <w:pStyle w:val="Heading1"/>
      </w:pPr>
      <w:r>
        <w:t>Anexos y firmas pendientes</w:t>
      </w:r>
    </w:p>
    <w:p>
      <w:r>
        <w:t>Anexos incorporados y versiones: NDA [ ], SOW [ ], cotización [ ], SLA [ ], tratamiento de datos [ ]. Cliente: nombre, cargo, facultades, firma y fecha [pendientes]. Proveedor: nombre, cargo, facultades, firma y fecha [pendientes]. Revisión legal de cada parte [pendiente]. No se asigna jurisdicción a partir de la zona horaria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F2-05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marco de prestación de servicios</dc:title>
  <dc:subject>F2-05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