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arquitectura de software</w:t>
      </w:r>
    </w:p>
    <w:p>
      <w:r>
        <w:t>CastleWalk Tickets  |  F3-03  |  Versión 1.0  |  17 de octubre de 2026</w:t>
      </w:r>
    </w:p>
    <w:p>
      <w:r>
        <w:t>Estado: Para revisión y aprobación. Responsable de revisión: Liderazgo técnico y operación.</w:t>
      </w:r>
    </w:p>
    <w:p>
      <w:r>
        <w:t>CastleWalk Tickets utiliza una interfaz web y una API modular con persistencia relacional. Este SAD describe componentes y fronteras observados para orientar mantenimiento y validación; las condiciones de producción se identifican como decisiones pendientes. No se presenta una arquitectura de microservicios.</w:t>
      </w:r>
    </w:p>
    <w:p>
      <w:r>
        <w:drawing>
          <wp:inline xmlns:a="http://schemas.openxmlformats.org/drawingml/2006/main" xmlns:pic="http://schemas.openxmlformats.org/drawingml/2006/picture">
            <wp:extent cx="6263640" cy="4676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Vista de componentes con puertos de desarrollo. Los bloques de operación pendiente son propuestas NFR y no infraestructura desplegada.</w:t>
      </w:r>
    </w:p>
    <w:p>
      <w:r>
        <w:br w:type="page"/>
      </w:r>
    </w:p>
    <w:p>
      <w:pPr>
        <w:pStyle w:val="Heading1"/>
      </w:pPr>
      <w:r>
        <w:t>Componentes responsabilidades y flujos</w:t>
      </w:r>
    </w:p>
    <w:p>
      <w:pPr>
        <w:pStyle w:val="Heading1"/>
      </w:pPr>
      <w:r>
        <w:t>Interfaz web</w:t>
      </w:r>
    </w:p>
    <w:p>
      <w:r>
        <w:t>Next.js sirve las rutas de acceso y aplicación; React compone formularios y vistas. TanStack Query administra consultas y actualizaciones; el tablero Kanban usa actualización optimista y revierte al recibir error. La interfaz no es autoridad de autorización: cada operación debe validarse en API. La selección de asignados muestra usuarios que pueden no pertenecer al área; FR-15 plantea una mejora, no una garantía actual.</w:t>
      </w:r>
    </w:p>
    <w:p>
      <w:pPr>
        <w:pStyle w:val="Heading1"/>
      </w:pPr>
      <w:r>
        <w:t>API y seguridad de dominio</w:t>
      </w:r>
    </w:p>
    <w:p>
      <w:r>
        <w:t>NestJS agrupa autenticación, usuarios, organización, tickets y notificaciones. El guard global verifica sesión y usuario activo. AccessService concentra relaciones y permisos. Un líder se reconoce mediante Area.leadUserId; no se heredan permisos del área padre. Contraseñas se almacenan como hash Argon2; JWT y cookie HttpOnly sostienen la sesión. La cookie observada usa SameSite Lax, duración de siete días y secure false; existe valor alternativo de secreto para desarrollo. NFR-01 exige decisiones y controles antes de producción.</w:t>
      </w:r>
    </w:p>
    <w:p>
      <w:pPr>
        <w:pStyle w:val="Heading1"/>
      </w:pPr>
      <w:r>
        <w:t>Flujo de creación y consistencia</w:t>
      </w:r>
    </w:p>
    <w:p>
      <w:r>
        <w:t>El usuario envía título, cuerpo, área y prioridad opcional. La API valida esquema y área; la asignación inicial exige permiso. Una transacción incrementa TicketCounter y crea Ticket con número único. Luego se registran eventos y notificaciones. Si un paso posterior falla, no se presume reversión de la creación; TC-24 debe caracterizar la respuesta y recuperación. No introducir promesa de entrega de avisos exactamente una vez sin diseño adicional.</w:t>
      </w:r>
    </w:p>
    <w:p>
      <w:pPr>
        <w:pStyle w:val="Heading1"/>
      </w:pPr>
      <w:r>
        <w:t>Consulta eventos y avisos</w:t>
      </w:r>
    </w:p>
    <w:p>
      <w:r>
        <w:t>Las consultas combinan visibilidad y filtros. La API devuelve las últimas 40 notificaciones; web consulta cada 15 segundos, sin WebSocket. Eventos documentan actor y tipo, pero no equivalen por sí solos a auditoría inmutable ni a registro de seguridad completo. La lista de tickets sin paginación puede crecer; medir antes de definir índices, paginación o cambio de almacenamiento.</w:t>
      </w:r>
    </w:p>
    <w:p>
      <w:r>
        <w:br w:type="page"/>
      </w:r>
    </w:p>
    <w:p>
      <w:pPr>
        <w:pStyle w:val="Heading1"/>
      </w:pPr>
      <w:r>
        <w:t>Decisiones técnicas y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Decisión o restricción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Razón y efecto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Web y API separadas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Permite separar presentación y reglas; requiere coordinar contratos y configuración.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Observada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Modelo SQLite y libSQL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Persistencia accesible mediante Prisma y adaptador; capacidad no medida.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Observada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Contador transaccional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Protege numeración con restricción unique; prueba concurrente pendiente.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Observada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Consulta periódica de avisos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Menor complejidad que entrega en tiempo real; demora esperada de consulta.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Observada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Migraciones versionadas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setup detecta User existente y omite inicialización; no sustituye historial de migraciones.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Pendiente evaluar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TLS secretos y sesión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Eliminar configuración insegura de desarrollo en entorno objetivo.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Propuesta NFR-01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Respaldo y monitoreo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Probar recuperación y definir alertas, retención y responsables.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Propuesta NFR-05 y NFR-08</w:t>
            </w:r>
          </w:p>
        </w:tc>
      </w:tr>
    </w:tbl>
    <w:p>
      <w:pPr>
        <w:spacing w:after="20"/>
      </w:pPr>
    </w:p>
    <w:p>
      <w:pPr>
        <w:pStyle w:val="Heading1"/>
      </w:pPr>
      <w:r>
        <w:t>Contrato de integración y errores</w:t>
      </w:r>
    </w:p>
    <w:p>
      <w:r>
        <w:t>API HTTP JSON con prefijo /api. Agrupa recursos de autenticación, usuarios, organización, tickets y notificaciones; consultar controladores antes de automatizar consumidores. La sesión viaja en cookie y las mutaciones deben comprobar permiso y validación. Documentar por operación payload, respuesta, error de validación, falta de sesión, acceso denegado y recurso ausente. No asumir códigos exactos ni estabilidad contractual sin capturarlos en el entorno de prueba.</w:t>
      </w:r>
    </w:p>
    <w:p>
      <w:pPr>
        <w:pStyle w:val="Heading1"/>
      </w:pPr>
      <w:r>
        <w:t>Despliegue y recuperación pendientes</w:t>
      </w:r>
    </w:p>
    <w:p>
      <w:r>
        <w:t>La composición observada inicia solo libSQL local con volumen y etiqueta latest. Fijar versión o imagen verificable, estrategia de actualización, migración y reversión; elegir alojamiento de web y API; configurar dominios, TLS, secretos, orígenes permitidos y registros seguros. No se observó CI ni Dockerfiles de toda la aplicación. No se ha ejecutado carga ni restauración. El responsable de operación debe aceptar NFR y SLA mediante evidencia, no por este diagrama.</w:t>
      </w:r>
    </w:p>
    <w:p>
      <w:pPr>
        <w:pStyle w:val="Heading1"/>
      </w:pPr>
      <w:r>
        <w:t>Referencias del proyecto</w:t>
      </w:r>
    </w:p>
    <w:p>
      <w:r>
        <w:t>apps/api/src/auth/access.service.ts; apps/api/src/auth/auth.service.ts; apps/api/src/tickets/tickets.service.ts; apps/api/prisma/setup.ts; apps/web/components/TicketKanban.tsx; docker-compose.yml.</w:t>
      </w:r>
    </w:p>
    <w:p>
      <w:r>
        <w:t>O identifica comportamiento observado en código al 17 de octubre de 2026. P identifica propuesta sujeta a aprobación. Los procedimientos descritos no equivalen a pruebas ejecutadas.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F3-03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de software</dc:title>
  <dc:subject>F3-03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