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y aseguramiento de calidad</w:t>
      </w:r>
    </w:p>
    <w:p>
      <w:r>
        <w:t>CastleWalk Tickets  |  F5-01  |  Versión 1.0  |  17 de octubre de 2026</w:t>
      </w:r>
    </w:p>
    <w:p>
      <w:r>
        <w:t>Estado: Para revisión y aprobación. Responsable de revisión: QA y liderazgo técnico.</w:t>
      </w:r>
    </w:p>
    <w:p>
      <w:r>
        <w:t>El plan define cómo obtener evidencia de que CastleWalk Tickets cumple los requisitos acordados. Es un plan de ejecución futura; no presenta resultados de pruebas. La inspección documental del repositorio no sustituye la verificación funcional de un candidato identificado.</w:t>
      </w:r>
    </w:p>
    <w:p>
      <w:pPr>
        <w:pStyle w:val="Heading1"/>
      </w:pPr>
      <w:r>
        <w:t>Alcance y base</w:t>
      </w:r>
    </w:p>
    <w:p>
      <w:r>
        <w:t>Cubrir FR-01 a FR-18 y NFR-01 a NFR-08 según estado O o P de F3-01. Para reglas propuestas, probar primero la caracterización de base y después la aceptación de la corrección autorizada. No marcar como defecto una diferencia deliberadamente descrita como base sin una expectativa aprobada. F5-02 incluye TC-01 a TC-30 y la RTM; F5-03 define UAT-01 a UAT-12.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Ejemplos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Unidad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Aislar reglas y validadores.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Permisos, estados, dashboard, entradas y elegibilidad aprobada.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Integración API datos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Verificar guard, persistencia y relaciones.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Numeración, FK, filtros, asignación y fallos parciales.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Extremo a extremo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Completar tareas por UI y API real.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Alta, detalle, comentario y cambios con cada persona.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Seguridad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Comprobar controles acordados en entorno autorizado.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Sesión, actividad, acceso horizontal y exposición de datos.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Carga y recuperación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Medir NFR con condiciones reproducibles.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50 altas, 10000 tickets, 50 usuarios y restauración aislada.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Validar utilidad y política con negocio.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Escenarios representativos y decisión del cliente.</w:t>
            </w:r>
          </w:p>
        </w:tc>
      </w:tr>
    </w:tbl>
    <w:p>
      <w:pPr>
        <w:spacing w:after="20"/>
      </w:pPr>
    </w:p>
    <w:p>
      <w:pPr>
        <w:pStyle w:val="Heading1"/>
      </w:pPr>
      <w:r>
        <w:t>Excepción y cobertura existente</w:t>
      </w:r>
    </w:p>
    <w:p>
      <w:r>
        <w:t>Se observaron pruebas de salud en apps/api/src/app.controller.spec.ts y apps/api/test/app.e2e-spec.ts. No acreditan pruebas de permisos ni flujos de negocio; no se observaron pruebas web. No se ejecutaron comandos del producto para elaborar esta documentación. No hay RED o GREEN declarados. Para futuras correcciones deterministas con runner disponible, observar fallo antes de construir y volver a ejecutar después.</w:t>
      </w:r>
    </w:p>
    <w:p>
      <w:r>
        <w:br w:type="page"/>
      </w:r>
    </w:p>
    <w:p>
      <w:pPr>
        <w:pStyle w:val="Heading1"/>
      </w:pPr>
      <w:r>
        <w:t>Entorno datos y ejecución</w:t>
      </w:r>
    </w:p>
    <w:p>
      <w:pPr>
        <w:pStyle w:val="Heading1"/>
      </w:pPr>
      <w:r>
        <w:t>Preparación controlada</w:t>
      </w:r>
    </w:p>
    <w:p>
      <w:pPr>
        <w:pStyle w:val="ListBullet"/>
      </w:pPr>
      <w:r>
        <w:t>Identificar commit o versión exacta, configuración no secreta, motor, navegador, zona horaria y responsable.</w:t>
      </w:r>
    </w:p>
    <w:p>
      <w:pPr>
        <w:pStyle w:val="ListBullet"/>
      </w:pPr>
      <w:r>
        <w:t>Preparar staging aislado con autorización de acceso; nunca usar la única base ni credenciales de producción.</w:t>
      </w:r>
    </w:p>
    <w:p>
      <w:pPr>
        <w:pStyle w:val="ListBullet"/>
      </w:pPr>
      <w:r>
        <w:t>Fixtures: ADMIN, solicitante, asignado, líder, miembro, canAssign, canClose, ajeno e inactivo; áreas padre, hija y ajena.</w:t>
      </w:r>
    </w:p>
    <w:p>
      <w:pPr>
        <w:pStyle w:val="ListBullet"/>
      </w:pPr>
      <w:r>
        <w:t>Cubrir cada estado, prioridad, vencimiento nulo y pasado, y asignado inactivo o ajeno. No reutilizar credenciales del seed.</w:t>
      </w:r>
    </w:p>
    <w:p>
      <w:pPr>
        <w:pStyle w:val="ListBullet"/>
      </w:pPr>
      <w:r>
        <w:t>Restaurar fixtures entre pruebas mutantes y conservar evidencia sin contraseñas, cookies ni tokens.</w:t>
      </w:r>
    </w:p>
    <w:p>
      <w:pPr>
        <w:pStyle w:val="Heading1"/>
      </w:pPr>
      <w:r>
        <w:t>Comandos candidatos existentes</w:t>
      </w:r>
    </w:p>
    <w:p>
      <w:r>
        <w:t>En raíz: bun run build, bun run lint y bun run check-types. En apps/api: bun run test, bun run test:e2e, bun run test:cov, bun run build y bun run lint. En apps/web: bun run build, bun run lint y bun run check-types. Confirmar scripts y alcance antes de ejecutar; lint puede modificar archivos según configuración, por lo que debe preceder al candidato final. No son comandos ejecutados en este trabajo documental.</w:t>
      </w:r>
    </w:p>
    <w:p>
      <w:pPr>
        <w:pStyle w:val="Heading1"/>
      </w:pPr>
      <w:r>
        <w:t>Orden y evidencia</w:t>
      </w:r>
    </w:p>
    <w:p>
      <w:r>
        <w:t>Primero permisos y autenticación, después creación y estados, luego filtros y dashboard y finalmente no funcionales. Congelar candidato tras normalizadores que muten fuentes; guardar resultados de cada comando y entorno. Un caso tiene estado no ejecutado, aprobado, fallido, bloqueado o no aplica con justificación; aprobado exige evidencia observada. Un fallo de entorno no se registra como aprobado ni como defecto del producto sin análisis.</w:t>
      </w:r>
    </w:p>
    <w:p>
      <w:r>
        <w:br w:type="page"/>
      </w:r>
    </w:p>
    <w:p>
      <w:pPr>
        <w:pStyle w:val="Heading1"/>
      </w:pPr>
      <w:r>
        <w:t>Criterios defectos y cierre</w:t>
      </w:r>
    </w:p>
    <w:p>
      <w:pPr>
        <w:pStyle w:val="Heading1"/>
      </w:pPr>
      <w:r>
        <w:t>Entrada y salida propuestas</w:t>
      </w:r>
    </w:p>
    <w:p>
      <w:r>
        <w:t>Entrada: SRS y política de estados aprobados para alcance a aceptar, entorno disponible, datos seguros y candidato identificado. Salida: casos críticos de acceso, actividad y numeración ejecutados; cero defectos críticos o altos sin una decisión explícita de riesgo; cobertura de todos los requisitos en alcance; UAT con resultados y firmas; operación demuestra respaldo y monitoreo si se pretende operar. Metas de rendimiento y SLA solo se exigen si se aprobaron.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Crítica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Lectura de ticket ajeno, pérdida de datos confirmados o caída total.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Detener aceptación afectada; contener, corregir y repetir pruebas relacionadas.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No se puede crear o cerrar con permiso; contador duplicado.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Priorizar corrección y regresión antes de aceptar flujo.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Media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Filtro incorrecto o mensaje que permite alternativa.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Plan y decisión de aceptación condicionada con plazo.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Baja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Detalle visual sin bloqueo ni riesgo de datos.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Registrar, priorizar y acordar resolución.</w:t>
            </w:r>
          </w:p>
        </w:tc>
      </w:tr>
    </w:tbl>
    <w:p>
      <w:pPr>
        <w:spacing w:after="20"/>
      </w:pPr>
    </w:p>
    <w:p>
      <w:pPr>
        <w:pStyle w:val="Heading1"/>
      </w:pPr>
      <w:r>
        <w:t>Defecto y regresión</w:t>
      </w:r>
    </w:p>
    <w:p>
      <w:r>
        <w:t>Registro mínimo: ID, TC, FR, versión, entorno, datos ficticios, pasos, esperado, observado, evidencia, severidad, causa conocida o incierta, responsable y estado. Separar preexistente de regresión del candidato. Tras corregir, repetir caso y regresión de permisos, estados y conteos afectados. Un resultado de modelo o una inspección estática no sustituye la ejecución requerida.</w:t>
      </w:r>
    </w:p>
    <w:p>
      <w:pPr>
        <w:pStyle w:val="Heading1"/>
      </w:pPr>
      <w:r>
        <w:t>Responsables y reporte</w:t>
      </w:r>
    </w:p>
    <w:p>
      <w:r>
        <w:t>QA prepara datos y consolida resultados; equipo técnico investiga y verifica correcciones; PO decide aceptación funcional; OP y seguridad revisan NFR; patrocinador acepta impacto comercial. Reportar casos por estado, requisitos sin evidencia y riesgos residuales, sin afirmar porcentaje de calidad como equivalente a casos ejecutados. Todos los resultados iniciales permanecen no ejecutados.</w:t>
      </w:r>
    </w:p>
    <w:p>
      <w:pPr>
        <w:pStyle w:val="Heading1"/>
      </w:pPr>
      <w:r>
        <w:t>Revisión y aprobación</w:t>
      </w:r>
    </w:p>
    <w:p>
      <w:r>
        <w:t>Revisores: QA, dueño del proceso, líder técnico y operación.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F5-01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aseguramiento de calidad</dc:title>
  <dc:subject>F5-01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