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Casos de prueba y matriz de trazabilidad</w:t>
      </w:r>
    </w:p>
    <w:p>
      <w:r>
        <w:t>CastleWalk Tickets  |  F5-02  |  Versión 1.0  |  17 de octubre de 2026</w:t>
      </w:r>
    </w:p>
    <w:p>
      <w:r>
        <w:t>Estado: Para revisión y aprobación. Responsable de revisión: QA y dueño del proceso.</w:t>
      </w:r>
    </w:p>
    <w:p>
      <w:r>
        <w:t>Este catálogo vincula requisitos, historias, pruebas y UAT de CastleWalk Tickets. Contiene procedimientos y resultados esperados; todos los casos están no ejecutados. Las propuestas FR-15 a FR-18 y NFR requieren acuerdo previo para usarse como criterio contractual.</w:t>
      </w:r>
    </w:p>
    <w:p>
      <w:pPr>
        <w:pStyle w:val="Heading1"/>
      </w:pPr>
      <w:r>
        <w:t>Convenciones y registro de ejecución</w:t>
      </w:r>
    </w:p>
    <w:p>
      <w:r>
        <w:t>Para cada TC completar candidato, entorno, ejecutor, fecha, datos, resultado observado, evidencia y defecto. Estado inicial común: NO EJECUTADO. Un requisito puede necesitar varios casos; un caso no demuestra por sí solo todas las variantes. O y P se resuelven en SRS F3-01. La prueba de interfaz debe complementarse con solicitud API directa para controles de autorización.</w:t>
      </w:r>
    </w:p>
    <w:p>
      <w:pPr>
        <w:pStyle w:val="Heading1"/>
      </w:pPr>
      <w:r>
        <w:t>Acceso usuarios y creación</w:t>
      </w:r>
    </w:p>
    <w:p>
      <w:pPr>
        <w:pStyle w:val="Heading2"/>
      </w:pPr>
      <w:r>
        <w:t>TC-01 Acceso válido e inválido</w:t>
      </w:r>
    </w:p>
    <w:p>
      <w:r>
        <w:t>Trazabilidad: FR-01; HU-01. Preparación: Usuario activo e inactivo de prueba; sesión ausente.</w:t>
      </w:r>
    </w:p>
    <w:p>
      <w:r>
        <w:t>Pasos: Autenticar cada variante y consultar un recurso protegido. Esperado: Activo válido obtiene sesión; credencial incorrecta, inactivo y sin sesión son rechazados sin datos.</w:t>
      </w:r>
    </w:p>
    <w:p>
      <w:r>
        <w:t>Estado no ejecutado. Observado y evidencia [pendientes].</w:t>
      </w:r>
    </w:p>
    <w:p>
      <w:pPr>
        <w:pStyle w:val="Heading2"/>
      </w:pPr>
      <w:r>
        <w:t>TC-02 Administrar cuentas</w:t>
      </w:r>
    </w:p>
    <w:p>
      <w:r>
        <w:t>Trazabilidad: FR-02; HU-02. Preparación: ADMIN y EMPLOYEE activos.</w:t>
      </w:r>
    </w:p>
    <w:p>
      <w:r>
        <w:t>Pasos: Crear y modificar usuario como ADMIN; repetir como EMPLOYEE. Esperado: ADMIN autorizado; EMPLOYEE no puede mutar. Lectura autenticada sigue permitida.</w:t>
      </w:r>
    </w:p>
    <w:p>
      <w:r>
        <w:t>Estado no ejecutado. Observado y evidencia [pendientes].</w:t>
      </w:r>
    </w:p>
    <w:p>
      <w:pPr>
        <w:pStyle w:val="Heading2"/>
      </w:pPr>
      <w:r>
        <w:t>TC-03 Áreas y gestión de membresías</w:t>
      </w:r>
    </w:p>
    <w:p>
      <w:r>
        <w:t>Trazabilidad: FR-03; HU-03. Preparación: ADMIN, líder del área sin membresía propia y miembro ordinario; área vacía, área con hija y área con ticket.</w:t>
      </w:r>
    </w:p>
    <w:p>
      <w:r>
        <w:t>Pasos: Intentar crear, editar y borrar áreas; gestionar miembros y permisos con cada actor; probar padre propio y borrado con dependencias. Esperado: CRUD de áreas solo para ADMIN. ADMIN y líder del área, incluso sin membresía propia, gestionan membresías y permisos; miembro ordinario denegado. ADMIN elimina área vacía; se rechaza padre propio y borrar área con tickets o hijas.</w:t>
      </w:r>
    </w:p>
    <w:p>
      <w:r>
        <w:t>Estado no ejecutado. Observado y evidencia [pendientes].</w:t>
      </w:r>
    </w:p>
    <w:p>
      <w:pPr>
        <w:pStyle w:val="Heading2"/>
      </w:pPr>
      <w:r>
        <w:t>TC-04 Alta y validación</w:t>
      </w:r>
    </w:p>
    <w:p>
      <w:r>
        <w:t>Trazabilidad: FR-04; HU-04. Preparación: Usuario activo y área existente.</w:t>
      </w:r>
    </w:p>
    <w:p>
      <w:r>
        <w:t>Pasos: Enviar alta válida, título vacío y área inexistente. Esperado: Alta válida genera número único y datos; entradas inválidas se rechazan sin ticket parcial.</w:t>
      </w:r>
    </w:p>
    <w:p>
      <w:r>
        <w:t>Estado no ejecutado. Observado y evidencia [pendientes].</w:t>
      </w:r>
    </w:p>
    <w:p>
      <w:r>
        <w:br w:type="page"/>
      </w:r>
    </w:p>
    <w:p>
      <w:pPr>
        <w:pStyle w:val="Heading1"/>
      </w:pPr>
      <w:r>
        <w:t>Visibilidad edición y estados</w:t>
      </w:r>
    </w:p>
    <w:p>
      <w:pPr>
        <w:pStyle w:val="Heading2"/>
      </w:pPr>
      <w:r>
        <w:t>TC-05 Visibilidad positiva</w:t>
      </w:r>
    </w:p>
    <w:p>
      <w:r>
        <w:t>Trazabilidad: FR-05; HU-05. Preparación: Un ticket y usuarios ADMIN, solicitante, asignado, líder y miembro.</w:t>
      </w:r>
    </w:p>
    <w:p>
      <w:r>
        <w:t>Pasos: Consultar lista y detalle con cada relación. Esperado: Cada relación autorizada ve el ticket; lista y detalle coinciden.</w:t>
      </w:r>
    </w:p>
    <w:p>
      <w:r>
        <w:t>Estado no ejecutado. Observado y evidencia [pendientes].</w:t>
      </w:r>
    </w:p>
    <w:p>
      <w:pPr>
        <w:pStyle w:val="Heading2"/>
      </w:pPr>
      <w:r>
        <w:t>TC-06 Visibilidad negativa y jerarquía</w:t>
      </w:r>
    </w:p>
    <w:p>
      <w:r>
        <w:t>Trazabilidad: FR-05; HU-05. Preparación: Usuario ajeno y miembro solo del área padre.</w:t>
      </w:r>
    </w:p>
    <w:p>
      <w:r>
        <w:t>Pasos: Solicitar lista, detalle y comentar ticket de subárea. Esperado: No reciben contenido ni pueden comentar; no hay herencia de permisos.</w:t>
      </w:r>
    </w:p>
    <w:p>
      <w:r>
        <w:t>Estado no ejecutado. Observado y evidencia [pendientes].</w:t>
      </w:r>
    </w:p>
    <w:p>
      <w:pPr>
        <w:pStyle w:val="Heading2"/>
      </w:pPr>
      <w:r>
        <w:t>TC-07 Filtros combinados</w:t>
      </w:r>
    </w:p>
    <w:p>
      <w:r>
        <w:t>Trazabilidad: FR-06; HU-06. Preparación: Tickets de dos áreas, estados y responsables.</w:t>
      </w:r>
    </w:p>
    <w:p>
      <w:r>
        <w:t>Pasos: Aplicar texto, estado, área, asignado y mine de manera individual y conjunta. Esperado: Conjunto resultante respeta filtros y visibilidad; mine incluye solicitudes o asignaciones.</w:t>
      </w:r>
    </w:p>
    <w:p>
      <w:r>
        <w:t>Estado no ejecutado. Observado y evidencia [pendientes].</w:t>
      </w:r>
    </w:p>
    <w:p>
      <w:pPr>
        <w:pStyle w:val="Heading2"/>
      </w:pPr>
      <w:r>
        <w:t>TC-08 Edición autorizada y denegada</w:t>
      </w:r>
    </w:p>
    <w:p>
      <w:r>
        <w:t>Trazabilidad: FR-07; HU-07. Preparación: ADMIN, solicitante, asignado, líder y miembro ordinario.</w:t>
      </w:r>
    </w:p>
    <w:p>
      <w:r>
        <w:t>Pasos: Editar campos por API con cada rol. Esperado: Los cuatro primeros están autorizados; el miembro sin otra relación no modifica.</w:t>
      </w:r>
    </w:p>
    <w:p>
      <w:r>
        <w:t>Estado no ejecutado. Observado y evidencia [pendientes].</w:t>
      </w:r>
    </w:p>
    <w:p>
      <w:pPr>
        <w:pStyle w:val="Heading2"/>
      </w:pPr>
      <w:r>
        <w:t>TC-09 Asignar con y sin permiso</w:t>
      </w:r>
    </w:p>
    <w:p>
      <w:r>
        <w:t>Trazabilidad: FR-08; HU-08. Preparación: Líder, canAssign y miembro sin permiso.</w:t>
      </w:r>
    </w:p>
    <w:p>
      <w:r>
        <w:t>Pasos: Asignar y desasignar ticket con cada actor. Esperado: Líder y canAssign autorizados; miembro ordinario denegado. Registrar evento esperado.</w:t>
      </w:r>
    </w:p>
    <w:p>
      <w:r>
        <w:t>Estado no ejecutado. Observado y evidencia [pendientes].</w:t>
      </w:r>
    </w:p>
    <w:p>
      <w:pPr>
        <w:pStyle w:val="Heading2"/>
      </w:pPr>
      <w:r>
        <w:t>TC-10 Avanzar estado sin cerrar</w:t>
      </w:r>
    </w:p>
    <w:p>
      <w:r>
        <w:t>Trazabilidad: FR-09; HU-09. Preparación: Actores distintos: ADMIN, líder del área sin membresía propia, asignado, delegado canAssign y solicitante sin permisos adicionales.</w:t>
      </w:r>
    </w:p>
    <w:p>
      <w:r>
        <w:t>Pasos: Cambiar a OPEN, IN_PROGRESS, WAITING y RESOLVED con cada actor. Esperado: ADMIN, líder del área incluso sin membresía propia, asignado y canAssign autorizados. Solicitante sin otro permiso denegado. Esto no habilita CLOSED ni CANCELLED: el cierre se verifica por separado en TC-11.</w:t>
      </w:r>
    </w:p>
    <w:p>
      <w:r>
        <w:t>Estado no ejecutado. Observado y evidencia [pendientes].</w:t>
      </w:r>
    </w:p>
    <w:p>
      <w:r>
        <w:br w:type="page"/>
      </w:r>
    </w:p>
    <w:p>
      <w:pPr>
        <w:pStyle w:val="Heading1"/>
      </w:pPr>
      <w:r>
        <w:t>Cierre comentarios y métricas</w:t>
      </w:r>
    </w:p>
    <w:p>
      <w:pPr>
        <w:pStyle w:val="Heading2"/>
      </w:pPr>
      <w:r>
        <w:t>TC-11 Cierre y cancelación</w:t>
      </w:r>
    </w:p>
    <w:p>
      <w:r>
        <w:t>Trazabilidad: FR-09; HU-09. Preparación: ADMIN, líder, canClose, asignado sin canClose.</w:t>
      </w:r>
    </w:p>
    <w:p>
      <w:r>
        <w:t>Pasos: Enviar CLOSED y CANCELLED con cada actor. Esperado: ADMIN, líder y canClose autorizados; asignado sin canClose rechazado.</w:t>
      </w:r>
    </w:p>
    <w:p>
      <w:r>
        <w:t>Estado no ejecutado. Observado y evidencia [pendientes].</w:t>
      </w:r>
    </w:p>
    <w:p>
      <w:pPr>
        <w:pStyle w:val="Heading2"/>
      </w:pPr>
      <w:r>
        <w:t>TC-12 Reapertura caracterizada</w:t>
      </w:r>
    </w:p>
    <w:p>
      <w:r>
        <w:t>Trazabilidad: FR-09; HU-09. Preparación: Ticket cerrado y actor autorizado para otros estados.</w:t>
      </w:r>
    </w:p>
    <w:p>
      <w:r>
        <w:t>Pasos: Intentar CLOSED a OPEN; capturar estado y permisos. Esperado: Caracterizar permiso actual sin asumir un grafo restrictivo; comparar futura política FR-17 por separado.</w:t>
      </w:r>
    </w:p>
    <w:p>
      <w:r>
        <w:t>Estado no ejecutado. Observado y evidencia [pendientes].</w:t>
      </w:r>
    </w:p>
    <w:p>
      <w:pPr>
        <w:pStyle w:val="Heading2"/>
      </w:pPr>
      <w:r>
        <w:t>TC-13 Comentarios y eventos</w:t>
      </w:r>
    </w:p>
    <w:p>
      <w:r>
        <w:t>Trazabilidad: FR-10; HU-10. Preparación: Usuario visible y usuario ajeno.</w:t>
      </w:r>
    </w:p>
    <w:p>
      <w:r>
        <w:t>Pasos: Comentar; cambiar prioridad, estado y asignado; consultar eventos. Esperado: Visible comenta; ajeno denegado; bitácora conserva tipo, actor y fecha de cada operación.</w:t>
      </w:r>
    </w:p>
    <w:p>
      <w:r>
        <w:t>Estado no ejecutado. Observado y evidencia [pendientes].</w:t>
      </w:r>
    </w:p>
    <w:p>
      <w:pPr>
        <w:pStyle w:val="Heading2"/>
      </w:pPr>
      <w:r>
        <w:t>TC-14 Destinatarios y lectura</w:t>
      </w:r>
    </w:p>
    <w:p>
      <w:r>
        <w:t>Trazabilidad: FR-11; HU-11. Preparación: Dos participantes y más de 40 avisos preparados.</w:t>
      </w:r>
    </w:p>
    <w:p>
      <w:r>
        <w:t>Pasos: Provocar novedad; esperar consulta; marcar uno y todos leídos. Esperado: Sin aviso al propio actor; solo últimos 40; lectura se persiste. Polling previsto de 15 segundos, sin prometer entrega instantánea.</w:t>
      </w:r>
    </w:p>
    <w:p>
      <w:r>
        <w:t>Estado no ejecutado. Observado y evidencia [pendientes].</w:t>
      </w:r>
    </w:p>
    <w:p>
      <w:pPr>
        <w:pStyle w:val="Heading2"/>
      </w:pPr>
      <w:r>
        <w:t>TC-15 Semántica del dashboard</w:t>
      </w:r>
    </w:p>
    <w:p>
      <w:r>
        <w:t>Trazabilidad: FR-12; HU-12. Preparación: Tickets OPEN, RESOLVED, CLOSED, CANCELLED con fechas pasadas y futuras.</w:t>
      </w:r>
    </w:p>
    <w:p>
      <w:r>
        <w:t>Pasos: Calcular conteos manuales y comparar dashboard. Esperado: Abiertos y vencidos excluyen CLOSED y CANCELLED; RESOLVED cuenta abierto. Mine considera todos los estados.</w:t>
      </w:r>
    </w:p>
    <w:p>
      <w:r>
        <w:t>Estado no ejecutado. Observado y evidencia [pendientes].</w:t>
      </w:r>
    </w:p>
    <w:p>
      <w:r>
        <w:br w:type="page"/>
      </w:r>
    </w:p>
    <w:p>
      <w:pPr>
        <w:pStyle w:val="Heading1"/>
      </w:pPr>
      <w:r>
        <w:t>Interfaz y propuestas de reglas</w:t>
      </w:r>
    </w:p>
    <w:p>
      <w:pPr>
        <w:pStyle w:val="Heading2"/>
      </w:pPr>
      <w:r>
        <w:t>TC-16 Prioridad y fecha por API</w:t>
      </w:r>
    </w:p>
    <w:p>
      <w:r>
        <w:t>Trazabilidad: FR-13; HU-13. Preparación: Reloj y zona documentados; alta sin prioridad y alta con fecha.</w:t>
      </w:r>
    </w:p>
    <w:p>
      <w:r>
        <w:t>Pasos: Crear sin prioridad y con cada prioridad válida; dueAt válido e inválido. Esperado: API aplica MEDIUM si se omite; conserva valor válido y rechaza inválido. Documentar zona y serialización.</w:t>
      </w:r>
    </w:p>
    <w:p>
      <w:r>
        <w:t>Estado no ejecutado. Observado y evidencia [pendientes].</w:t>
      </w:r>
    </w:p>
    <w:p>
      <w:pPr>
        <w:pStyle w:val="Heading2"/>
      </w:pPr>
      <w:r>
        <w:t>TC-17 Navegación e idioma</w:t>
      </w:r>
    </w:p>
    <w:p>
      <w:r>
        <w:t>Trazabilidad: FR-14, NFR-06; HU-14. Preparación: Escritorio y móvil; perfil sin privilegios.</w:t>
      </w:r>
    </w:p>
    <w:p>
      <w:r>
        <w:t>Pasos: Recorrer rutas, alternar ES y EN, usar teclado y revisar errores. Esperado: Registrar literales y barreras observadas; no asumir conformidad de accesibilidad sin medición.</w:t>
      </w:r>
    </w:p>
    <w:p>
      <w:r>
        <w:t>Estado no ejecutado. Observado y evidencia [pendientes].</w:t>
      </w:r>
    </w:p>
    <w:p>
      <w:pPr>
        <w:pStyle w:val="Heading2"/>
      </w:pPr>
      <w:r>
        <w:t>TC-18 Asignado inactivo o no miembro</w:t>
      </w:r>
    </w:p>
    <w:p>
      <w:r>
        <w:t>Trazabilidad: FR-15; HU-15. Preparación: Destino inactivo y destino ajeno al área.</w:t>
      </w:r>
    </w:p>
    <w:p>
      <w:r>
        <w:t>Pasos: Intentar asignar por UI y API. Esperado: Propuesta: rechazar ambos con mensaje claro. El código actual no impone esta regla; caso pendiente de aprobación e implementación.</w:t>
      </w:r>
    </w:p>
    <w:p>
      <w:r>
        <w:t>Estado no ejecutado. Observado y evidencia [pendientes].</w:t>
      </w:r>
    </w:p>
    <w:p>
      <w:pPr>
        <w:pStyle w:val="Heading2"/>
      </w:pPr>
      <w:r>
        <w:t>TC-19 Ciclo indirecto</w:t>
      </w:r>
    </w:p>
    <w:p>
      <w:r>
        <w:t>Trazabilidad: FR-16; HU-16. Preparación: Áreas A padre de B y B padre de C.</w:t>
      </w:r>
    </w:p>
    <w:p>
      <w:r>
        <w:t>Pasos: Cambiar padre de A a C. Esperado: Propuesta: rechazar y preservar árbol. Restricción indirecta no implementada actualmente.</w:t>
      </w:r>
    </w:p>
    <w:p>
      <w:r>
        <w:t>Estado no ejecutado. Observado y evidencia [pendientes].</w:t>
      </w:r>
    </w:p>
    <w:p>
      <w:pPr>
        <w:pStyle w:val="Heading2"/>
      </w:pPr>
      <w:r>
        <w:t>TC-20 Transiciones acordadas</w:t>
      </w:r>
    </w:p>
    <w:p>
      <w:r>
        <w:t>Trazabilidad: FR-17; HU-17. Preparación: Matriz aprobada y motivo de cancelación o reapertura.</w:t>
      </w:r>
    </w:p>
    <w:p>
      <w:r>
        <w:t>Pasos: Ejecutar cada transición permitida y una prohibida por cada origen. Esperado: Se cumple matriz aprobada; bloqueado hasta decidir flujo y construir controles.</w:t>
      </w:r>
    </w:p>
    <w:p>
      <w:r>
        <w:t>Estado no ejecutado. Observado y evidencia [pendientes].</w:t>
      </w:r>
    </w:p>
    <w:p>
      <w:pPr>
        <w:pStyle w:val="Heading2"/>
      </w:pPr>
      <w:r>
        <w:t>TC-21 Paridad de creación web</w:t>
      </w:r>
    </w:p>
    <w:p>
      <w:r>
        <w:t>Trazabilidad: FR-18; HU-18. Preparación: Área raíz y subárea; prioridad y vencimiento decididos.</w:t>
      </w:r>
    </w:p>
    <w:p>
      <w:r>
        <w:t>Pasos: Comparar formulario, solicitud API y ticket persistido. Esperado: Propuesta: misma política para áreas, prioridad y dueAt. Hoy web excluye raíz, omite dueAt y parte de LOW.</w:t>
      </w:r>
    </w:p>
    <w:p>
      <w:r>
        <w:t>Estado no ejecutado. Observado y evidencia [pendientes].</w:t>
      </w:r>
    </w:p>
    <w:p>
      <w:r>
        <w:br w:type="page"/>
      </w:r>
    </w:p>
    <w:p>
      <w:pPr>
        <w:pStyle w:val="Heading1"/>
      </w:pPr>
      <w:r>
        <w:t>Seguridad integridad y carga</w:t>
      </w:r>
    </w:p>
    <w:p>
      <w:pPr>
        <w:pStyle w:val="Heading2"/>
      </w:pPr>
      <w:r>
        <w:t>TC-22 Sesión en entorno objetivo</w:t>
      </w:r>
    </w:p>
    <w:p>
      <w:r>
        <w:t>Trazabilidad: NFR-01; HU-19. Preparación: Entorno aislado con TLS y configuración de producción.</w:t>
      </w:r>
    </w:p>
    <w:p>
      <w:r>
        <w:t>Pasos: Revisar flags de cookie, secreto, expiración, CSRF y respuesta a intentos repetidos. Esperado: Cumplir política aprobada; registrar brechas. Cookie secure false y secreto alternativo de desarrollo son observaciones actuales.</w:t>
      </w:r>
    </w:p>
    <w:p>
      <w:r>
        <w:t>Estado no ejecutado. Observado y evidencia [pendientes].</w:t>
      </w:r>
    </w:p>
    <w:p>
      <w:pPr>
        <w:pStyle w:val="Heading2"/>
      </w:pPr>
      <w:r>
        <w:t>TC-23 Numeración concurrente</w:t>
      </w:r>
    </w:p>
    <w:p>
      <w:r>
        <w:t>Trazabilidad: NFR-02; HU-20. Preparación: 50 solicitudes paralelas y contador inicial registrado.</w:t>
      </w:r>
    </w:p>
    <w:p>
      <w:r>
        <w:t>Pasos: Crear 50 tickets; reconciliar respuestas, filas y números. Esperado: 50 altas confirmadas, números únicos, sin pérdida; registrar fallos sin exigir ausencia de huecos no acordada.</w:t>
      </w:r>
    </w:p>
    <w:p>
      <w:r>
        <w:t>Estado no ejecutado. Observado y evidencia [pendientes].</w:t>
      </w:r>
    </w:p>
    <w:p>
      <w:pPr>
        <w:pStyle w:val="Heading2"/>
      </w:pPr>
      <w:r>
        <w:t>TC-24 Fallos parciales de publicación</w:t>
      </w:r>
    </w:p>
    <w:p>
      <w:r>
        <w:t>Trazabilidad: NFR-02; HU-20. Preparación: Inyección controlada en servicio de eventos o avisos.</w:t>
      </w:r>
    </w:p>
    <w:p>
      <w:r>
        <w:t>Pasos: Crear o cambiar ticket al fallar una notificación; reintentar de forma controlada. Esperado: Documentar consistencia y duplicados; decidir recuperación. Eventos y avisos no comparten la transacción de creación.</w:t>
      </w:r>
    </w:p>
    <w:p>
      <w:r>
        <w:t>Estado no ejecutado. Observado y evidencia [pendientes].</w:t>
      </w:r>
    </w:p>
    <w:p>
      <w:pPr>
        <w:pStyle w:val="Heading2"/>
      </w:pPr>
      <w:r>
        <w:t>TC-25 Carga de consulta</w:t>
      </w:r>
    </w:p>
    <w:p>
      <w:r>
        <w:t>Trazabilidad: NFR-03; HU-20. Preparación: 10000 tickets y 50 usuarios; entorno y mezcla definidos.</w:t>
      </w:r>
    </w:p>
    <w:p>
      <w:r>
        <w:t>Pasos: Medir p95, errores, CPU y tamaño de respuesta durante 15 minutos. Esperado: Objetivo candidato p95 hasta 2 segundos; no se declara capacidad sin medición.</w:t>
      </w:r>
    </w:p>
    <w:p>
      <w:r>
        <w:t>Estado no ejecutado. Observado y evidencia [pendientes].</w:t>
      </w:r>
    </w:p>
    <w:p>
      <w:pPr>
        <w:pStyle w:val="Heading2"/>
      </w:pPr>
      <w:r>
        <w:t>TC-26 Disponibilidad medible</w:t>
      </w:r>
    </w:p>
    <w:p>
      <w:r>
        <w:t>Trazabilidad: NFR-04; HU-19. Preparación: Ventana, monitor y exclusiones acordados.</w:t>
      </w:r>
    </w:p>
    <w:p>
      <w:r>
        <w:t>Pasos: Simular caída; registrar inicio, fin y alertas; calcular minutos. Esperado: Cálculo reproducible contra objetivo mensual propuesto 99,5 por ciento; sin datos no hay resultado.</w:t>
      </w:r>
    </w:p>
    <w:p>
      <w:r>
        <w:t>Estado no ejecutado. Observado y evidencia [pendientes].</w:t>
      </w:r>
    </w:p>
    <w:p>
      <w:r>
        <w:br w:type="page"/>
      </w:r>
    </w:p>
    <w:p>
      <w:pPr>
        <w:pStyle w:val="Heading1"/>
      </w:pPr>
      <w:r>
        <w:t>Recuperación calidad y accesibilidad</w:t>
      </w:r>
    </w:p>
    <w:p>
      <w:pPr>
        <w:pStyle w:val="Heading2"/>
      </w:pPr>
      <w:r>
        <w:t>TC-27 Restauración de respaldo</w:t>
      </w:r>
    </w:p>
    <w:p>
      <w:r>
        <w:t>Trazabilidad: NFR-05; HU-19. Preparación: Copia aislada con ticket y comentarios identificables.</w:t>
      </w:r>
    </w:p>
    <w:p>
      <w:r>
        <w:t>Pasos: Restaurar en entorno separado y comprobar relaciones y acceso. Esperado: Recuperación íntegra; medir RPO y RTO contra 24 y 8 horas propuestos; proteger datos de prueba.</w:t>
      </w:r>
    </w:p>
    <w:p>
      <w:r>
        <w:t>Estado no ejecutado. Observado y evidencia [pendientes].</w:t>
      </w:r>
    </w:p>
    <w:p>
      <w:pPr>
        <w:pStyle w:val="Heading2"/>
      </w:pPr>
      <w:r>
        <w:t>TC-28 Calidad repetible</w:t>
      </w:r>
    </w:p>
    <w:p>
      <w:r>
        <w:t>Trazabilidad: NFR-07; HU-20. Preparación: Dependencias y versiones fijadas; candidato identificado.</w:t>
      </w:r>
    </w:p>
    <w:p>
      <w:r>
        <w:t>Pasos: Ejecutar comandos de tipos, build y pruebas aplicables; guardar salidas. Esperado: Resultados reales anexados. Pruebas existentes de salud no demuestran cobertura del negocio.</w:t>
      </w:r>
    </w:p>
    <w:p>
      <w:r>
        <w:t>Estado no ejecutado. Observado y evidencia [pendientes].</w:t>
      </w:r>
    </w:p>
    <w:p>
      <w:pPr>
        <w:pStyle w:val="Heading2"/>
      </w:pPr>
      <w:r>
        <w:t>TC-29 Registros y privacidad</w:t>
      </w:r>
    </w:p>
    <w:p>
      <w:r>
        <w:t>Trazabilidad: NFR-08; HU-19. Preparación: Incidente simulado sin datos reales.</w:t>
      </w:r>
    </w:p>
    <w:p>
      <w:r>
        <w:t>Pasos: Revisar salud, errores, alertas, retención y accesos a logs. Esperado: Sin contraseñas ni tokens en registros; responsable y retención aprobados; monitoreo verificable.</w:t>
      </w:r>
    </w:p>
    <w:p>
      <w:r>
        <w:t>Estado no ejecutado. Observado y evidencia [pendientes].</w:t>
      </w:r>
    </w:p>
    <w:p>
      <w:pPr>
        <w:pStyle w:val="Heading2"/>
      </w:pPr>
      <w:r>
        <w:t>TC-30 Accesibilidad de tarea crítica</w:t>
      </w:r>
    </w:p>
    <w:p>
      <w:r>
        <w:t>Trazabilidad: NFR-06; HU-14. Preparación: Teclado, lector asistido y verificador de contraste.</w:t>
      </w:r>
    </w:p>
    <w:p>
      <w:r>
        <w:t>Pasos: Crear ticket y comentar sin ratón; revisar foco, etiquetas y contraste. Esperado: Sin bloqueo en la tarea; defectos documentados y umbral de aprobación acordado.</w:t>
      </w:r>
    </w:p>
    <w:p>
      <w:r>
        <w:t>Estado no ejecutado. Observado y evidencia [pendientes].</w:t>
      </w:r>
    </w:p>
    <w:p>
      <w:r>
        <w:br w:type="page"/>
      </w:r>
    </w:p>
    <w:p>
      <w:pPr>
        <w:pStyle w:val="Heading1"/>
      </w:pPr>
      <w:r>
        <w:t>Matriz de trazabilidad de requisitos funcionales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cantSplit/>
          <w:tblHeader/>
        </w:trPr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0C1044"/>
          </w:tcPr>
          <w:p>
            <w:pPr>
              <w:spacing w:after="20" w:before="20" w:line="247" w:lineRule="auto"/>
            </w:pPr>
            <w:r>
              <w:rPr>
                <w:b/>
                <w:color w:val="FFFFFF"/>
                <w:sz w:val="19"/>
              </w:rPr>
              <w:t>Requisito y estado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0C1044"/>
          </w:tcPr>
          <w:p>
            <w:pPr>
              <w:spacing w:after="20" w:before="20" w:line="247" w:lineRule="auto"/>
            </w:pPr>
            <w:r>
              <w:rPr>
                <w:b/>
                <w:color w:val="FFFFFF"/>
                <w:sz w:val="19"/>
              </w:rPr>
              <w:t>Historia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0C1044"/>
          </w:tcPr>
          <w:p>
            <w:pPr>
              <w:spacing w:after="20" w:before="20" w:line="247" w:lineRule="auto"/>
            </w:pPr>
            <w:r>
              <w:rPr>
                <w:b/>
                <w:color w:val="FFFFFF"/>
                <w:sz w:val="19"/>
              </w:rPr>
              <w:t>Casos de prueba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0C1044"/>
          </w:tcPr>
          <w:p>
            <w:pPr>
              <w:spacing w:after="20" w:before="20" w:line="247" w:lineRule="auto"/>
            </w:pPr>
            <w:r>
              <w:rPr>
                <w:b/>
                <w:color w:val="FFFFFF"/>
                <w:sz w:val="19"/>
              </w:rPr>
              <w:t>UAT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3F4F6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FR-01 O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3F4F6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HU-01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3F4F6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TC-01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3F4F6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UAT-01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FR-02 O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HU-02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TC-02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UAT-01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3F4F6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FR-03 O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3F4F6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HU-03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3F4F6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TC-03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3F4F6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UAT-02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FR-04 O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HU-04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TC-04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UAT-03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3F4F6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FR-05 O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3F4F6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HU-05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3F4F6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TC-05, TC-06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3F4F6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UAT-04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FR-06 O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HU-06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TC-07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UAT-05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3F4F6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FR-07 O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3F4F6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HU-07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3F4F6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TC-08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3F4F6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UAT-06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FR-08 O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HU-08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TC-09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UAT-06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3F4F6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FR-09 O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3F4F6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HU-09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3F4F6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TC-10, TC-11, TC-12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3F4F6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UAT-07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FR-10 O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HU-10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TC-13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UAT-08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3F4F6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FR-11 O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3F4F6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HU-11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3F4F6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TC-14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3F4F6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UAT-08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FR-12 O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HU-12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TC-15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UAT-05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3F4F6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FR-13 O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3F4F6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HU-13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3F4F6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TC-16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3F4F6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UAT-03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FR-14 O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HU-14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TC-17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UAT-09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3F4F6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FR-15 P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3F4F6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HU-15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3F4F6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TC-18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3F4F6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UAT-06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FR-16 P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HU-16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TC-19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UAT-02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3F4F6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FR-17 P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3F4F6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HU-17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3F4F6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TC-20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3F4F6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UAT-07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FR-18 P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HU-18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TC-21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UAT-03</w:t>
            </w:r>
          </w:p>
        </w:tc>
      </w:tr>
    </w:tbl>
    <w:p>
      <w:pPr>
        <w:spacing w:after="20"/>
      </w:pPr>
    </w:p>
    <w:p>
      <w:r>
        <w:t>O: observado en código; P: propuesto. Cobertura significa vínculo diseñado, no prueba aprobada. Los requisitos P pueden quedar bloqueados hasta aprobación y construcción; conservar su trazabilidad sin contar aprobación anticipada.</w:t>
      </w:r>
    </w:p>
    <w:p>
      <w:r>
        <w:br w:type="page"/>
      </w:r>
    </w:p>
    <w:p>
      <w:pPr>
        <w:pStyle w:val="Heading1"/>
      </w:pPr>
      <w:r>
        <w:t>Matriz no funcional y control de cobertura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cantSplit/>
          <w:tblHeader/>
        </w:trPr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0C1044"/>
          </w:tcPr>
          <w:p>
            <w:pPr>
              <w:spacing w:after="20" w:before="20" w:line="247" w:lineRule="auto"/>
            </w:pPr>
            <w:r>
              <w:rPr>
                <w:b/>
                <w:color w:val="FFFFFF"/>
                <w:sz w:val="19"/>
              </w:rPr>
              <w:t>Requisito y estado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0C1044"/>
          </w:tcPr>
          <w:p>
            <w:pPr>
              <w:spacing w:after="20" w:before="20" w:line="247" w:lineRule="auto"/>
            </w:pPr>
            <w:r>
              <w:rPr>
                <w:b/>
                <w:color w:val="FFFFFF"/>
                <w:sz w:val="19"/>
              </w:rPr>
              <w:t>Historia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0C1044"/>
          </w:tcPr>
          <w:p>
            <w:pPr>
              <w:spacing w:after="20" w:before="20" w:line="247" w:lineRule="auto"/>
            </w:pPr>
            <w:r>
              <w:rPr>
                <w:b/>
                <w:color w:val="FFFFFF"/>
                <w:sz w:val="19"/>
              </w:rPr>
              <w:t>Casos de prueba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0C1044"/>
          </w:tcPr>
          <w:p>
            <w:pPr>
              <w:spacing w:after="20" w:before="20" w:line="247" w:lineRule="auto"/>
            </w:pPr>
            <w:r>
              <w:rPr>
                <w:b/>
                <w:color w:val="FFFFFF"/>
                <w:sz w:val="19"/>
              </w:rPr>
              <w:t>UAT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3F4F6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NFR-01 P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3F4F6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HU-19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3F4F6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TC-22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3F4F6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UAT-10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NFR-02 P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HU-20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TC-23, TC-24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UAT-11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3F4F6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NFR-03 P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3F4F6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HU-20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3F4F6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TC-25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3F4F6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UAT-11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NFR-04 P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HU-19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TC-26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UAT-12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3F4F6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NFR-05 P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3F4F6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HU-19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3F4F6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TC-27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3F4F6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UAT-10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NFR-06 P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HU-14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TC-17, TC-30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UAT-09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3F4F6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NFR-07 P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3F4F6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HU-20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3F4F6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TC-28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3F4F6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UAT-11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NFR-08 P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HU-19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TC-29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UAT-10</w:t>
            </w:r>
          </w:p>
        </w:tc>
      </w:tr>
    </w:tbl>
    <w:p>
      <w:pPr>
        <w:spacing w:after="20"/>
      </w:pPr>
    </w:p>
    <w:p>
      <w:pPr>
        <w:pStyle w:val="Heading1"/>
      </w:pPr>
      <w:r>
        <w:t>Cobertura inicial y actualización</w:t>
      </w:r>
    </w:p>
    <w:p>
      <w:r>
        <w:t>18 FR y 8 NFR con al menos una historia, un TC y un UAT relacionados. 20 HU, 30 TC y 12 UAT únicos. El catálogo contempla autorización positiva y negativa, cierres y cancelación, actividad de cuentas, contador concurrente, semántica de dashboard, notificaciones, ciclos, asignación inactiva y diferencia dueAt entre UI y API. No hay caso aprobado por existir este vínculo.</w:t>
      </w:r>
    </w:p>
    <w:p>
      <w:pPr>
        <w:pStyle w:val="Heading1"/>
      </w:pPr>
      <w:r>
        <w:t>Reglas de mantenimiento</w:t>
      </w:r>
    </w:p>
    <w:p>
      <w:r>
        <w:t>No renumerar IDs ya usados en evidencia. Al cambiar un requisito, registrar versión y revisar historias, casos, datos y UAT; eliminar un vínculo solo con justificación. Una prueba nueva conserva preparación y esperado reproducibles. Cuando una propuesta se difiera, su estado es fuera del candidato o bloqueado, según contrato, no aprobado ni no aplica por conveniencia.</w:t>
      </w:r>
    </w:p>
    <w:p>
      <w:pPr>
        <w:pStyle w:val="Heading1"/>
      </w:pPr>
      <w:r>
        <w:t>Resumen de ejecución por completar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  <w:tblHeader/>
        </w:trPr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0C1044"/>
          </w:tcPr>
          <w:p>
            <w:pPr>
              <w:spacing w:after="20" w:before="20" w:line="247" w:lineRule="auto"/>
            </w:pPr>
            <w:r>
              <w:rPr>
                <w:b/>
                <w:color w:val="FFFFFF"/>
                <w:sz w:val="19"/>
              </w:rPr>
              <w:t>Métrica</w:t>
            </w:r>
          </w:p>
        </w:tc>
        <w:tc>
          <w:tcPr>
            <w:tcW w:type="dxa" w:w="59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0C1044"/>
          </w:tcPr>
          <w:p>
            <w:pPr>
              <w:spacing w:after="20" w:before="20" w:line="247" w:lineRule="auto"/>
            </w:pPr>
            <w:r>
              <w:rPr>
                <w:b/>
                <w:color w:val="FFFFFF"/>
                <w:sz w:val="19"/>
              </w:rPr>
              <w:t>Valor inicial o campo</w:t>
            </w:r>
          </w:p>
        </w:tc>
      </w:tr>
      <w:tr>
        <w:trPr>
          <w:cantSplit/>
        </w:trPr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3F4F6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Casos diseñados</w:t>
            </w:r>
          </w:p>
        </w:tc>
        <w:tc>
          <w:tcPr>
            <w:tcW w:type="dxa" w:w="59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3F4F6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30</w:t>
            </w:r>
          </w:p>
        </w:tc>
      </w:tr>
      <w:tr>
        <w:trPr>
          <w:cantSplit/>
        </w:trPr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Casos ejecutados</w:t>
            </w:r>
          </w:p>
        </w:tc>
        <w:tc>
          <w:tcPr>
            <w:tcW w:type="dxa" w:w="59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0 en este documento</w:t>
            </w:r>
          </w:p>
        </w:tc>
      </w:tr>
      <w:tr>
        <w:trPr>
          <w:cantSplit/>
        </w:trPr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3F4F6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Aprobados fallidos y bloqueados</w:t>
            </w:r>
          </w:p>
        </w:tc>
        <w:tc>
          <w:tcPr>
            <w:tcW w:type="dxa" w:w="59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3F4F6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[completar tras ejecución]</w:t>
            </w:r>
          </w:p>
        </w:tc>
      </w:tr>
      <w:tr>
        <w:trPr>
          <w:cantSplit/>
        </w:trPr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Requisitos sin evidencia ejecutada</w:t>
            </w:r>
          </w:p>
        </w:tc>
        <w:tc>
          <w:tcPr>
            <w:tcW w:type="dxa" w:w="59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Todos hasta ejecutar y registrar resultados</w:t>
            </w:r>
          </w:p>
        </w:tc>
      </w:tr>
      <w:tr>
        <w:trPr>
          <w:cantSplit/>
        </w:trPr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3F4F6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Versión y decisión del candidato</w:t>
            </w:r>
          </w:p>
        </w:tc>
        <w:tc>
          <w:tcPr>
            <w:tcW w:type="dxa" w:w="59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3F4F6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[pendiente]</w:t>
            </w:r>
          </w:p>
        </w:tc>
      </w:tr>
    </w:tbl>
    <w:p>
      <w:pPr>
        <w:spacing w:after="20"/>
      </w:pPr>
    </w:p>
    <w:p>
      <w:pPr>
        <w:pStyle w:val="Heading1"/>
      </w:pPr>
      <w:r>
        <w:t>Revisión y aprobación</w:t>
      </w:r>
    </w:p>
    <w:p>
      <w:r>
        <w:t>Revisores: QA, líder técnico y dueño del proceso. Decisión: [pendiente]. Observaciones y condiciones: [completar]. Nombre, cargo, firma y fecha de cada aprobador: [completar]. No hay aprobación ni firma registrada en este documento.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Página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color w:val="000000"/>
        <w:sz w:val="16"/>
      </w:rPr>
      <w:t>CastleWalk Tickets    F5-02   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7" w:lineRule="auto"/>
    </w:pPr>
    <w:rPr>
      <w:rFonts w:ascii="Arial" w:hAnsi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 w:before="180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Casos de prueba y matriz de trazabilidad</dc:title>
  <dc:subject>F5-02</dc:subject>
  <dc:creator>Equipo del proyecto CastleWalk Tickets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