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Matriz de interesados del proyecto</w:t>
      </w:r>
    </w:p>
    <w:p>
      <w:r>
        <w:t>CastleWalk Tickets  |  F1-04  |  Versión 1.0  |  17 de octubre de 2026</w:t>
      </w:r>
    </w:p>
    <w:p>
      <w:r>
        <w:t>Estado: Para revisión y aprobación. Responsable de revisión: Patrocinador y dirección del proyecto.</w:t>
      </w:r>
    </w:p>
    <w:p>
      <w:r>
        <w:t>Esta matriz identifica roles necesarios para aprobar y adoptar CastleWalk Tickets. Los nombres se completan durante la iniciación; no se atribuye participación a personas no identificadas. La influencia y el interés son valoraciones iniciales propuestas para acordar el involucramiento.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cantSplit/>
          <w:tblHeader/>
        </w:trPr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0C1044"/>
          </w:tcPr>
          <w:p>
            <w:pPr>
              <w:spacing w:after="20" w:before="20" w:line="247" w:lineRule="auto"/>
            </w:pPr>
            <w:r>
              <w:rPr>
                <w:b/>
                <w:color w:val="FFFFFF"/>
                <w:sz w:val="19"/>
              </w:rPr>
              <w:t>Rol por confirmar</w:t>
            </w:r>
          </w:p>
        </w:tc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0C1044"/>
          </w:tcPr>
          <w:p>
            <w:pPr>
              <w:spacing w:after="20" w:before="20" w:line="247" w:lineRule="auto"/>
            </w:pPr>
            <w:r>
              <w:rPr>
                <w:b/>
                <w:color w:val="FFFFFF"/>
                <w:sz w:val="19"/>
              </w:rPr>
              <w:t>Influencia e interés</w:t>
            </w:r>
          </w:p>
        </w:tc>
        <w:tc>
          <w:tcPr>
            <w:tcW w:type="dxa" w:w="59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0C1044"/>
          </w:tcPr>
          <w:p>
            <w:pPr>
              <w:spacing w:after="20" w:before="20" w:line="247" w:lineRule="auto"/>
            </w:pPr>
            <w:r>
              <w:rPr>
                <w:b/>
                <w:color w:val="FFFFFF"/>
                <w:sz w:val="19"/>
              </w:rPr>
              <w:t>Necesidad y participación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3F4F6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Patrocinador [nombre]</w:t>
            </w:r>
          </w:p>
        </w:tc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3F4F6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Alta y alta</w:t>
            </w:r>
          </w:p>
        </w:tc>
        <w:tc>
          <w:tcPr>
            <w:tcW w:type="dxa" w:w="59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3F4F6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Aprueba objetivos, inversión y cambios de alcance; revisa hitos.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Dueño del proceso [nombre]</w:t>
            </w:r>
          </w:p>
        </w:tc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Alta y alta</w:t>
            </w:r>
          </w:p>
        </w:tc>
        <w:tc>
          <w:tcPr>
            <w:tcW w:type="dxa" w:w="59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Define estados, prioridades, indicadores y aceptación funcional.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3F4F6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Dirección del proyecto [nombre]</w:t>
            </w:r>
          </w:p>
        </w:tc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3F4F6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Alta y alta</w:t>
            </w:r>
          </w:p>
        </w:tc>
        <w:tc>
          <w:tcPr>
            <w:tcW w:type="dxa" w:w="59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3F4F6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Coordina dependencias, cronograma, riesgos y decisiones.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Líder técnico [nombre]</w:t>
            </w:r>
          </w:p>
        </w:tc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Alta y alta</w:t>
            </w:r>
          </w:p>
        </w:tc>
        <w:tc>
          <w:tcPr>
            <w:tcW w:type="dxa" w:w="59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Responde por arquitectura, seguridad y evidencia técnica.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3F4F6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Líder de área piloto [nombre]</w:t>
            </w:r>
          </w:p>
        </w:tc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3F4F6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Media y alta</w:t>
            </w:r>
          </w:p>
        </w:tc>
        <w:tc>
          <w:tcPr>
            <w:tcW w:type="dxa" w:w="59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3F4F6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Valida distribución, cierre, visibilidad y adopción por área.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Solicitante piloto [nombre]</w:t>
            </w:r>
          </w:p>
        </w:tc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Media y alta</w:t>
            </w:r>
          </w:p>
        </w:tc>
        <w:tc>
          <w:tcPr>
            <w:tcW w:type="dxa" w:w="59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Valida registro, consulta, comentarios e idioma.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3F4F6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Asignado o delegado [nombre]</w:t>
            </w:r>
          </w:p>
        </w:tc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3F4F6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Media y alta</w:t>
            </w:r>
          </w:p>
        </w:tc>
        <w:tc>
          <w:tcPr>
            <w:tcW w:type="dxa" w:w="59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3F4F6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Valida carga, canAssign, canClose y operación diaria.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Administrador [nombre]</w:t>
            </w:r>
          </w:p>
        </w:tc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Alta y alta</w:t>
            </w:r>
          </w:p>
        </w:tc>
        <w:tc>
          <w:tcPr>
            <w:tcW w:type="dxa" w:w="59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Configura cuentas, áreas, líderes y membresías.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3F4F6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QA [nombre]</w:t>
            </w:r>
          </w:p>
        </w:tc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3F4F6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Media y alta</w:t>
            </w:r>
          </w:p>
        </w:tc>
        <w:tc>
          <w:tcPr>
            <w:tcW w:type="dxa" w:w="59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3F4F6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Diseña y conserva pruebas; informa defectos y cobertura.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Operación y seguridad [nombre]</w:t>
            </w:r>
          </w:p>
        </w:tc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Alta y media</w:t>
            </w:r>
          </w:p>
        </w:tc>
        <w:tc>
          <w:tcPr>
            <w:tcW w:type="dxa" w:w="59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Valida despliegue, accesos, monitoreo, respaldo y respuesta.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3F4F6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Legal y compras [nombre]</w:t>
            </w:r>
          </w:p>
        </w:tc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3F4F6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Alta y media</w:t>
            </w:r>
          </w:p>
        </w:tc>
        <w:tc>
          <w:tcPr>
            <w:tcW w:type="dxa" w:w="59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3F4F6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Revisa NDA, contrato, jurisdicción, costos y condiciones.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Estrategia de involucramiento</w:t>
      </w:r>
    </w:p>
    <w:p>
      <w:pPr>
        <w:pStyle w:val="Heading1"/>
      </w:pPr>
      <w:r>
        <w:t>Gestión según influencia e interés</w:t>
      </w:r>
    </w:p>
    <w:p>
      <w:r>
        <w:t>Trabajar de cerca con patrocinador, dueño del proceso y liderazgo técnico: revisión semanal y decisiones documentadas. Consultar referentes, solicitantes y asignados en demostraciones quincenales y UAT. Mantener informados a interesados indirectos sobre cambios de proceso y acceso. Solicitar revisión especializada a legal, compras, seguridad y operación antes de compromisos de su competencia.</w:t>
      </w:r>
    </w:p>
    <w:p>
      <w:pPr>
        <w:pStyle w:val="Heading1"/>
      </w:pPr>
      <w:r>
        <w:t>Mapa de decisiones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cantSplit/>
          <w:tblHeader/>
        </w:trPr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0C1044"/>
          </w:tcPr>
          <w:p>
            <w:pPr>
              <w:spacing w:after="20" w:before="20" w:line="247" w:lineRule="auto"/>
            </w:pPr>
            <w:r>
              <w:rPr>
                <w:b/>
                <w:color w:val="FFFFFF"/>
                <w:sz w:val="19"/>
              </w:rPr>
              <w:t>Decisión</w:t>
            </w:r>
          </w:p>
        </w:tc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0C1044"/>
          </w:tcPr>
          <w:p>
            <w:pPr>
              <w:spacing w:after="20" w:before="20" w:line="247" w:lineRule="auto"/>
            </w:pPr>
            <w:r>
              <w:rPr>
                <w:b/>
                <w:color w:val="FFFFFF"/>
                <w:sz w:val="19"/>
              </w:rPr>
              <w:t>Aprueba</w:t>
            </w:r>
          </w:p>
        </w:tc>
        <w:tc>
          <w:tcPr>
            <w:tcW w:type="dxa" w:w="45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0C1044"/>
          </w:tcPr>
          <w:p>
            <w:pPr>
              <w:spacing w:after="20" w:before="20" w:line="247" w:lineRule="auto"/>
            </w:pPr>
            <w:r>
              <w:rPr>
                <w:b/>
                <w:color w:val="FFFFFF"/>
                <w:sz w:val="19"/>
              </w:rPr>
              <w:t>Consulta obligatoria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3F4F6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Alcance y costo</w:t>
            </w:r>
          </w:p>
        </w:tc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3F4F6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Patrocinador</w:t>
            </w:r>
          </w:p>
        </w:tc>
        <w:tc>
          <w:tcPr>
            <w:tcW w:type="dxa" w:w="45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3F4F6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Dueño del proceso, dirección y compras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Reglas FR-15 a FR-18</w:t>
            </w:r>
          </w:p>
        </w:tc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Dueño del proceso</w:t>
            </w:r>
          </w:p>
        </w:tc>
        <w:tc>
          <w:tcPr>
            <w:tcW w:type="dxa" w:w="45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Líderes de área, QA y líder técnico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3F4F6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Seguridad y recuperación</w:t>
            </w:r>
          </w:p>
        </w:tc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3F4F6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Responsable de operación</w:t>
            </w:r>
          </w:p>
        </w:tc>
        <w:tc>
          <w:tcPr>
            <w:tcW w:type="dxa" w:w="45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3F4F6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Seguridad y líder técnico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Aceptación funcional</w:t>
            </w:r>
          </w:p>
        </w:tc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Dueño del proceso</w:t>
            </w:r>
          </w:p>
        </w:tc>
        <w:tc>
          <w:tcPr>
            <w:tcW w:type="dxa" w:w="45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Usuarios piloto y QA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3F4F6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Contrato y soporte</w:t>
            </w:r>
          </w:p>
        </w:tc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3F4F6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Representantes de las partes</w:t>
            </w:r>
          </w:p>
        </w:tc>
        <w:tc>
          <w:tcPr>
            <w:tcW w:type="dxa" w:w="45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3F4F6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Legal, compras y operación</w:t>
            </w:r>
          </w:p>
        </w:tc>
      </w:tr>
    </w:tbl>
    <w:p>
      <w:pPr>
        <w:spacing w:after="20"/>
      </w:pPr>
    </w:p>
    <w:p>
      <w:pPr>
        <w:pStyle w:val="Heading1"/>
      </w:pPr>
      <w:r>
        <w:t>Registro de contactos y restricciones</w:t>
      </w:r>
    </w:p>
    <w:p>
      <w:r>
        <w:t>Para cada rol completar nombre, cargo, correo corporativo autorizado, suplente, canal y horario de contacto. Guardar contactos personales en el directorio restringido acordado, no en tickets de ejemplo ni en el prototipo. Registrar restricciones de disponibilidad y delegación de firma. Una persona puede cubrir varios roles; los conflictos de aprobación se deben resolver antes de UAT.</w:t>
      </w:r>
    </w:p>
    <w:p>
      <w:pPr>
        <w:pStyle w:val="Heading1"/>
      </w:pPr>
      <w:r>
        <w:t>Conflictos y escalamiento</w:t>
      </w:r>
    </w:p>
    <w:p>
      <w:r>
        <w:t>El líder de área presenta la necesidad al dueño del proceso. Las discrepancias de alcance, costo o calendario escalan a la dirección y al patrocinador con impacto y alternativas. Seguridad u operación puede solicitar una decisión de liberación condicionada con evidencia; el sistema de tickets no reemplaza esa autoridad. F4-03 define cadencia, canales y RACI para ejecutar esta estrategia.</w:t>
      </w:r>
    </w:p>
    <w:p>
      <w:pPr>
        <w:pStyle w:val="Heading1"/>
      </w:pPr>
      <w:r>
        <w:t>Revisión y aprobación</w:t>
      </w:r>
    </w:p>
    <w:p>
      <w:r>
        <w:t>Revisores: Patrocinador y responsable del documento. Decisión: [pendiente]. Observaciones y condiciones: [completar]. Nombre, cargo, firma y fecha de cada aprobador: [completar]. No hay aprobación ni firma registrada en este documento.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Página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color w:val="000000"/>
        <w:sz w:val="16"/>
      </w:rPr>
      <w:t>CastleWalk Tickets    F1-04   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7" w:lineRule="auto"/>
    </w:pPr>
    <w:rPr>
      <w:rFonts w:ascii="Arial" w:hAnsi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 w:before="180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Matriz de interesados del proyecto</dc:title>
  <dc:subject>F1-04</dc:subject>
  <dc:creator>Equipo del proyecto CastleWalk Tickets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