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Acuerdo bilateral de confidencialidad</w:t>
      </w:r>
    </w:p>
    <w:p>
      <w:r>
        <w:t>CastleWalk Tickets  |  F2-01  |  Versión 1.0  |  17 de octubre de 2026</w:t>
      </w:r>
    </w:p>
    <w:p>
      <w:r>
        <w:t>Estado: Borrador contractual para negociación. Responsable de revisión: Representantes legales de las partes.</w:t>
      </w:r>
    </w:p>
    <w:p>
      <w:r>
        <w:t>Las partes proponen proteger la información compartida para evaluar, construir y validar CastleWalk Tickets. Este acuerdo requiere completar datos, revisar su adecuación jurídica y obtener las firmas de representantes con facultades antes de hacerlo efectivo.</w:t>
      </w:r>
    </w:p>
    <w:p>
      <w:pPr>
        <w:pStyle w:val="Heading1"/>
      </w:pPr>
      <w:r>
        <w:t>Partes finalidad y vigencia</w:t>
      </w:r>
    </w:p>
    <w:p>
      <w:r>
        <w:t>Parte A: [razón social, identificación, domicilio y representante]. Parte B: [razón social, identificación, domicilio y representante]. Cada una puede actuar como divulgadora o receptora. Finalidad permitida: evaluación, contratación, desarrollo y validación del proyecto CastleWalk Tickets según el alcance firmado. Fecha efectiva: [completar]. Vigencia de intercambio: [plazo]. Supervivencia de la confidencialidad: [plazo a negociar]; secretos empresariales, durante el plazo permitido por la ley elegida.</w:t>
      </w:r>
    </w:p>
    <w:p>
      <w:pPr>
        <w:pStyle w:val="Heading1"/>
      </w:pPr>
      <w:r>
        <w:t>Información protegida</w:t>
      </w:r>
    </w:p>
    <w:p>
      <w:r>
        <w:t>Es confidencial la información no pública divulgada por cualquier medio e identificada como tal o cuyo carácter reservado resulte razonable por su naturaleza: código, diseños, credenciales, arquitectura, datos de usuarios, solicitudes internas, precios y planes. La información oral se confirmará por escrito dentro de [días]. No se presume autorización para entregar datos personales reales ni credenciales productivas; cada transferencia requiere finalidad y controles acordados.</w:t>
      </w:r>
    </w:p>
    <w:p>
      <w:pPr>
        <w:pStyle w:val="Heading1"/>
      </w:pPr>
      <w:r>
        <w:t>Obligaciones de la parte receptora</w:t>
      </w:r>
    </w:p>
    <w:p>
      <w:r>
        <w:t>La receptora usará la información solo para la finalidad permitida, la protegerá con un grado de cuidado no inferior al razonable y limitará el acceso a personal y asesores que la necesiten y estén sujetos a obligaciones equivalentes. No publicará, venderá ni compartirá la información con terceros sin autorización escrita. Mantendrá control de accesos y evitará incluir secretos en documentación, repositorios abiertos o demostraciones.</w:t>
      </w:r>
    </w:p>
    <w:p>
      <w:pPr>
        <w:pStyle w:val="Heading1"/>
      </w:pPr>
      <w:r>
        <w:t>Exclusiones de confidencialidad</w:t>
      </w:r>
    </w:p>
    <w:p>
      <w:r>
        <w:t>La obligación no comprende información que la receptora demuestre que era pública sin incumplimiento, ya conocía legítimamente, obtuvo de un tercero facultado sin deber de reserva o desarrolló independientemente sin usar la información protegida. La carga y forma de acreditar la exclusión se ajustarán a la ley aplicable. Una combinación no pierde protección solo porque sus elementos aislados sean públicos.</w:t>
      </w:r>
    </w:p>
    <w:p>
      <w:r>
        <w:br w:type="page"/>
      </w:r>
    </w:p>
    <w:p>
      <w:pPr>
        <w:pStyle w:val="Heading1"/>
      </w:pPr>
      <w:r>
        <w:t>Revelación incidentes y terminación</w:t>
      </w:r>
    </w:p>
    <w:p>
      <w:pPr>
        <w:pStyle w:val="Heading1"/>
      </w:pPr>
      <w:r>
        <w:t>Requerimiento legal y datos personales</w:t>
      </w:r>
    </w:p>
    <w:p>
      <w:r>
        <w:t>Si una autoridad competente exige divulgar información, la receptora avisará previamente cuando la ley lo permita, cooperará para limitar la revelación y entregará solo lo legalmente exigido. Las partes definirán por separado sus roles, base jurídica, medidas, subencargados y transferencias respecto de datos personales; este acuerdo no sustituye un acuerdo de tratamiento ni autoriza transferencias internacionales.</w:t>
      </w:r>
    </w:p>
    <w:p>
      <w:pPr>
        <w:pStyle w:val="Heading1"/>
      </w:pPr>
      <w:r>
        <w:t>Incidentes devolución y conservación</w:t>
      </w:r>
    </w:p>
    <w:p>
      <w:r>
        <w:t>La receptora notificará acceso, pérdida o divulgación no autorizados sin demora indebida al contacto designado [correo y teléfono], informando hechos conocidos, alcance y medidas de contención; el plazo máximo se negociará en [horas]. Al terminar la finalidad o a solicitud escrita devolverá o eliminará la información y certificará la acción en [días]. Podrá conservar únicamente copias exigidas por ley o respaldos inaccesibles de operación ordinaria, sujetos a reserva y borrado conforme a su ciclo documentado.</w:t>
      </w:r>
    </w:p>
    <w:p>
      <w:pPr>
        <w:pStyle w:val="Heading1"/>
      </w:pPr>
      <w:r>
        <w:t>Propiedad responsabilidad y ausencia de compromiso</w:t>
      </w:r>
    </w:p>
    <w:p>
      <w:r>
        <w:t>Cada divulgadora conserva sus derechos; no se concede licencia salvo el uso limitado para la finalidad. La información se comparte para evaluación y no implica garantía de exactitud ni obligación de contratar. Las consecuencias del incumplimiento, límites de responsabilidad y medidas cautelares quedarán sujetas a lo pactado y a normas imperativas de la jurisdicción elegida. Ninguna cláusula excluye responsabilidades que legalmente no puedan limitarse.</w:t>
      </w:r>
    </w:p>
    <w:p>
      <w:pPr>
        <w:pStyle w:val="Heading1"/>
      </w:pPr>
      <w:r>
        <w:t>Ley controversias y avisos</w:t>
      </w:r>
    </w:p>
    <w:p>
      <w:r>
        <w:t>Ley aplicable: [país y norma acordados]. Mecanismo de solución y sede: [negociación, mediación, arbitraje o tribunales competentes]. Domicilios y correos de aviso: [completar por parte]. Las modificaciones requieren escrito aceptado por ambas partes. La invalidez de una disposición no afecta las restantes en la medida permitida. La fecha y modalidad de firma se acordarán sin atribuir efecto a campos vacíos.</w:t>
      </w:r>
    </w:p>
    <w:p>
      <w:pPr>
        <w:pStyle w:val="Heading1"/>
      </w:pPr>
      <w:r>
        <w:t>Firmas pendientes</w:t>
      </w:r>
    </w:p>
    <w:p>
      <w:r>
        <w:t>Parte A: nombre y cargo [completar]; facultad de representación [completar]; firma [pendiente]; fecha [pendiente]. Parte B: nombre y cargo [completar]; facultad de representación [completar]; firma [pendiente]; fecha [pendiente]. Revisión legal de ambas partes [pendiente].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F2-01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bilateral de confidencialidad</dc:title>
  <dc:subject>F2-01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