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de alcance y términos de referencia</w:t>
      </w:r>
    </w:p>
    <w:p>
      <w:r>
        <w:t>CastleWalk Tickets  |  F2-02  |  Versión 1.0  |  17 de octubre de 2026</w:t>
      </w:r>
    </w:p>
    <w:p>
      <w:r>
        <w:t>Estado: Propuesta de alcance pendiente de firma. Responsable de revisión: Patrocinador y dirección del proyecto.</w:t>
      </w:r>
    </w:p>
    <w:p>
      <w:r>
        <w:t>Este SOW propone los límites del trabajo para documentar y validar CastleWalk Tickets y, si se contrata expresamente, cerrar las brechas aprobadas del producto. El repositorio ya contiene funcionalidad; no se presenta su existencia como una entrega aceptada ni se autoriza implementación adicional por este borrador.</w:t>
      </w:r>
    </w:p>
    <w:p>
      <w:pPr>
        <w:pStyle w:val="Heading1"/>
      </w:pPr>
      <w:r>
        <w:t>Objeto y referencia contractual</w:t>
      </w:r>
    </w:p>
    <w:p>
      <w:r>
        <w:t>Cliente [razón social] y proveedor [razón social] definen el servicio bajo contrato marco [identificador]. El objetivo es acordar el comportamiento, los controles y las evidencias necesarios para un piloto interno entre áreas. Fecha de inicio T0: [kickoff aprobado]. Duración propuesta: ocho semanas desde T0, condicionada a disponibilidad y decisiones. Precio y moneda se fijan únicamente en la cotización aceptada F2-04.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/>
          <w:tblHeader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0C1044"/>
          </w:tcPr>
          <w:p>
            <w:pPr>
              <w:spacing w:after="20" w:before="20" w:line="247" w:lineRule="auto"/>
            </w:pPr>
            <w:r>
              <w:rPr>
                <w:b/>
                <w:color w:val="FFFFFF"/>
                <w:sz w:val="19"/>
              </w:rPr>
              <w:t>Paquete</w:t>
            </w:r>
          </w:p>
        </w:tc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0C1044"/>
          </w:tcPr>
          <w:p>
            <w:pPr>
              <w:spacing w:after="20" w:before="20" w:line="247" w:lineRule="auto"/>
            </w:pPr>
            <w:r>
              <w:rPr>
                <w:b/>
                <w:color w:val="FFFFFF"/>
                <w:sz w:val="19"/>
              </w:rPr>
              <w:t>Incluye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0C1044"/>
          </w:tcPr>
          <w:p>
            <w:pPr>
              <w:spacing w:after="20" w:before="20" w:line="247" w:lineRule="auto"/>
            </w:pPr>
            <w:r>
              <w:rPr>
                <w:b/>
                <w:color w:val="FFFFFF"/>
                <w:sz w:val="19"/>
              </w:rPr>
              <w:t>Aceptación propuesta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4F6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Documentación</w:t>
            </w:r>
          </w:p>
        </w:tc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4F6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24 documentos de fases 1 a 5, recursos UI y prototipo local.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4F6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Archivos legibles, separados, trazables y revisados por roles.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Validación funcional</w:t>
            </w:r>
          </w:p>
        </w:tc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Caracterización FR-01 a FR-14 y evaluación de propuestas FR-15 a FR-18.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Criterios y discrepancias aprobados; evidencia en F5-02 y F5-03.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4F6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Endurecimiento opcional</w:t>
            </w:r>
          </w:p>
        </w:tc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4F6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Solo correcciones y NFR expresamente aprobados en orden de cambio.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4F6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Pruebas y alcance escritos antes de construir.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Piloto opcional</w:t>
            </w:r>
          </w:p>
        </w:tc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Áreas, usuarios, entorno, soporte y fechas por confirmar.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UAT firmado y condiciones de operación satisfechas.</w:t>
            </w:r>
          </w:p>
        </w:tc>
      </w:tr>
    </w:tbl>
    <w:p>
      <w:pPr>
        <w:spacing w:after="20"/>
      </w:pPr>
    </w:p>
    <w:p>
      <w:pPr>
        <w:pStyle w:val="Heading1"/>
      </w:pPr>
      <w:r>
        <w:t>Exclusiones y dependencias</w:t>
      </w:r>
    </w:p>
    <w:p>
      <w:r>
        <w:t>No incluye fase 6, lanzamiento público, migración masiva, SSO, correo, adjuntos, portal externo, exportación, aplicaciones móviles nativas, operación 24 por 7 ni certificaciones. Depende de representantes autorizados, datos de prueba, reglas de negocio y acceso local o al entorno expresamente autorizado. La autorización de trabajo local no autoriza acceso remoto ni transferencia de archivos.</w:t>
      </w:r>
    </w:p>
    <w:p>
      <w:r>
        <w:br w:type="page"/>
      </w:r>
    </w:p>
    <w:p>
      <w:pPr>
        <w:pStyle w:val="Heading1"/>
      </w:pPr>
      <w:r>
        <w:t>Entregables control y aceptación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/>
          <w:tblHeader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0C1044"/>
          </w:tcPr>
          <w:p>
            <w:pPr>
              <w:spacing w:after="20" w:before="20" w:line="247" w:lineRule="auto"/>
            </w:pPr>
            <w:r>
              <w:rPr>
                <w:b/>
                <w:color w:val="FFFFFF"/>
                <w:sz w:val="19"/>
              </w:rPr>
              <w:t>Hito</w:t>
            </w:r>
          </w:p>
        </w:tc>
        <w:tc>
          <w:tcPr>
            <w:tcW w:type="dxa" w:w="59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0C1044"/>
          </w:tcPr>
          <w:p>
            <w:pPr>
              <w:spacing w:after="20" w:before="20" w:line="247" w:lineRule="auto"/>
            </w:pPr>
            <w:r>
              <w:rPr>
                <w:b/>
                <w:color w:val="FFFFFF"/>
                <w:sz w:val="19"/>
              </w:rPr>
              <w:t>Entregables y criterio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0C1044"/>
          </w:tcPr>
          <w:p>
            <w:pPr>
              <w:spacing w:after="20" w:before="20" w:line="247" w:lineRule="auto"/>
            </w:pPr>
            <w:r>
              <w:rPr>
                <w:b/>
                <w:color w:val="FFFFFF"/>
                <w:sz w:val="19"/>
              </w:rPr>
              <w:t>Quién decide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4F6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H1 Descubrimiento</w:t>
            </w:r>
          </w:p>
        </w:tc>
        <w:tc>
          <w:tcPr>
            <w:tcW w:type="dxa" w:w="59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4F6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F1-01 a F1-04; objetivos, actores y viabilidad revisados.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4F6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Patrocinador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H2 Contratación</w:t>
            </w:r>
          </w:p>
        </w:tc>
        <w:tc>
          <w:tcPr>
            <w:tcW w:type="dxa" w:w="59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F2-01 a F2-06 con partes, precio, ley y soporte acordados.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Representantes de partes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4F6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H3 Especificación</w:t>
            </w:r>
          </w:p>
        </w:tc>
        <w:tc>
          <w:tcPr>
            <w:tcW w:type="dxa" w:w="59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4F6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F3-01 a F3-07; FR y NFR trazados y prototipo validado.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4F6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Dueño del proceso y líder técnico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H4 Planificación</w:t>
            </w:r>
          </w:p>
        </w:tc>
        <w:tc>
          <w:tcPr>
            <w:tcW w:type="dxa" w:w="59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F4-01 a F4-03; dependencias, riesgos y responsabilidades acordados.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Dirección del proyecto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4F6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H5 Calidad</w:t>
            </w:r>
          </w:p>
        </w:tc>
        <w:tc>
          <w:tcPr>
            <w:tcW w:type="dxa" w:w="59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4F6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F5-01 a F5-04; pruebas ejecutadas y decisión UAT documentada.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4F6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Dueño del proceso</w:t>
            </w:r>
          </w:p>
        </w:tc>
      </w:tr>
    </w:tbl>
    <w:p>
      <w:pPr>
        <w:spacing w:after="20"/>
      </w:pPr>
    </w:p>
    <w:p>
      <w:pPr>
        <w:pStyle w:val="Heading1"/>
      </w:pPr>
      <w:r>
        <w:t>Gestión de cambios</w:t>
      </w:r>
    </w:p>
    <w:p>
      <w:r>
        <w:t>Toda solicitud que altere comportamiento, entregables, carga, seguridad o fechas se registra con motivo, FR o NFR afectados, esfuerzo, costo y efecto en el calendario. El proveedor no ejecutará el cambio hasta recibir aprobación escrita del representante designado. Se actualizan SOW, backlog, cronograma y RTM; las propuestas no aceptadas permanecen fuera de la obligación contractual.</w:t>
      </w:r>
    </w:p>
    <w:p>
      <w:pPr>
        <w:pStyle w:val="Heading1"/>
      </w:pPr>
      <w:r>
        <w:t>Procedimiento de revisión y responsabilidades</w:t>
      </w:r>
    </w:p>
    <w:p>
      <w:r>
        <w:t>El proveedor entrega una versión identificada con índice y evidencia; el cliente dispone de [días hábiles] para aceptar o reportar incumplimientos específicos de los criterios acordados. No se propone aceptación tácita por silencio. Las partes acuerdan plazo y alcance de corrección y una nueva revisión. Cliente proporciona decisiones y participantes; proveedor protege datos, mantiene trazabilidad y comunica riesgos. Causas externas y demoras de decisión se tratan mediante replanificación escrita.</w:t>
      </w:r>
    </w:p>
    <w:p>
      <w:pPr>
        <w:pStyle w:val="Heading1"/>
      </w:pPr>
      <w:r>
        <w:t>Aprobación de alcance</w:t>
      </w:r>
    </w:p>
    <w:p>
      <w:r>
        <w:t>Cliente: [nombre, cargo, firma y fecha]. Proveedor: [nombre, cargo, firma y fecha]. Versión aceptada de cotización y MSA: [completar]. Opcionales efectivamente incluidos: [enumerar]. Todos los campos permanecen pendientes; ningún hito se declara aceptado.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000000"/>
        <w:sz w:val="16"/>
      </w:rPr>
      <w:t>CastleWalk Tickets    F2-02   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7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18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de alcance y términos de referencia</dc:title>
  <dc:subject>F2-02</dc:subject>
  <dc:creator>Equipo del proyecto CastleWalk Tickets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