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Propuesta técnica del servicio</w:t>
      </w:r>
    </w:p>
    <w:p>
      <w:r>
        <w:t>CastleWalk Tickets  |  F2-03  |  Versión 1.0  |  17 de octubre de 2026</w:t>
      </w:r>
    </w:p>
    <w:p>
      <w:r>
        <w:t>Estado: Propuesta técnica pendiente de aprobación. Responsable de revisión: Liderazgo técnico y responsable de operación.</w:t>
      </w:r>
    </w:p>
    <w:p>
      <w:r>
        <w:t>Se propone conservar la separación web API y persistencia del producto y validar los controles antes del piloto. La propuesta combina una base implementada con trabajo futuro sujeto a alcance firmado; no implica un despliegue productivo ya configurado.</w:t>
      </w:r>
    </w:p>
    <w:p>
      <w:pPr>
        <w:pStyle w:val="Heading1"/>
      </w:pPr>
      <w:r>
        <w:t>Solución y stack observado</w:t>
      </w:r>
    </w:p>
    <w:p>
      <w:r>
        <w:t>Web Next.js 16.3.8 y React 19.2.8, Tailwind y TanStack Query; API NestJS 12, Prisma 6.19.0 con libSQL y modelo SQLite. El repositorio usa Bun 1.3.3, Node 24 o superior y Turborepo. Son versiones declaradas en manifiestos, no una certificación de compatibilidad desplegada. El servicio API expone JSON bajo /api; autenticación de sesión por cookie HttpOnly y JWT, contraseñas con Argon2.</w:t>
      </w:r>
    </w:p>
    <w:p>
      <w:pPr>
        <w:pStyle w:val="Heading1"/>
      </w:pPr>
      <w:r>
        <w:t>Estrategia de solución</w:t>
      </w:r>
    </w:p>
    <w:p>
      <w:pPr>
        <w:pStyle w:val="ListBullet"/>
      </w:pPr>
      <w:r>
        <w:t>Mantener módulos de autenticación, usuarios, organización, tickets y notificaciones con reglas de acceso centralizadas.</w:t>
      </w:r>
    </w:p>
    <w:p>
      <w:pPr>
        <w:pStyle w:val="ListBullet"/>
      </w:pPr>
      <w:r>
        <w:t>Acordar FR-15 a FR-18 y automatizar pruebas de permisos y estados antes de modificar comportamiento.</w:t>
      </w:r>
    </w:p>
    <w:p>
      <w:pPr>
        <w:pStyle w:val="ListBullet"/>
      </w:pPr>
      <w:r>
        <w:t>Validar numeración concurrente, dashboard, fallos parciales y crecimiento de consultas sin paginación.</w:t>
      </w:r>
    </w:p>
    <w:p>
      <w:pPr>
        <w:pStyle w:val="ListBullet"/>
      </w:pPr>
      <w:r>
        <w:t>Preparar operación con TLS, configuración de secretos, monitoreo, copias y restauración en alcance separado.</w:t>
      </w:r>
    </w:p>
    <w:p>
      <w:pPr>
        <w:pStyle w:val="Heading1"/>
      </w:pPr>
      <w:r>
        <w:t>Entornos e integración</w:t>
      </w:r>
    </w:p>
    <w:p>
      <w:r>
        <w:t>Desarrollo local observado: web 3000, API 3006 y libSQL 8080. La composición existente cubre libSQL con volumen; el diseño de staging y producción requiere responsable, capacidad, segmentación, dominios, certificados y proceso de promoción. No se requieren correo ni terceros en la base. Cualquier integración adicional necesita contrato de datos y autorización explícita del destino y credencial.</w:t>
      </w:r>
    </w:p>
    <w:p>
      <w:r>
        <w:br w:type="page"/>
      </w:r>
    </w:p>
    <w:p>
      <w:pPr>
        <w:pStyle w:val="Heading1"/>
      </w:pPr>
      <w:r>
        <w:t>Método de trabajo y aseguramiento</w:t>
      </w:r>
    </w:p>
    <w:p>
      <w:r>
        <w:t>Trabajar en incrementos quincenales propuestos con backlog priorizado, demostración y criterios de aceptación. Cada incremento comienza con requisito entendido y, cuando exista caso determinista aplicable, una prueba que reproduzca la necesidad antes de construir. El entregable documental se verifica por coherencia y lectura; no se ejecutan pruebas del producto solo para elaborar estos documentos.</w:t>
      </w:r>
    </w:p>
    <w:tbl>
      <w:tblPr>
        <w:tblW w:type="auto" w:w="0"/>
        <w:jc w:val="center"/>
        <w:tblLayout w:type="fixed"/>
        <w:tblLook w:firstColumn="1" w:firstRow="1" w:lastColumn="0" w:lastRow="0" w:noHBand="0" w:noVBand="1" w:val="04A0"/>
      </w:tblPr>
      <w:tblGrid>
        <w:gridCol w:w="3408"/>
        <w:gridCol w:w="3408"/>
        <w:gridCol w:w="3408"/>
      </w:tblGrid>
      <w:tr>
        <w:trPr>
          <w:cantSplit/>
          <w:tblHeader/>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Etapa técnica</w:t>
            </w:r>
          </w:p>
        </w:tc>
        <w:tc>
          <w:tcPr>
            <w:tcW w:type="dxa" w:w="453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Resultado</w:t>
            </w:r>
          </w:p>
        </w:tc>
        <w:tc>
          <w:tcPr>
            <w:tcW w:type="dxa" w:w="3672"/>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0C1044"/>
          </w:tcPr>
          <w:p>
            <w:pPr>
              <w:spacing w:after="20" w:before="20" w:line="247" w:lineRule="auto"/>
            </w:pPr>
            <w:r>
              <w:rPr>
                <w:b/>
                <w:color w:val="FFFFFF"/>
                <w:sz w:val="19"/>
              </w:rPr>
              <w:t>Dependencia</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Caracterización</w:t>
            </w:r>
          </w:p>
        </w:tc>
        <w:tc>
          <w:tcPr>
            <w:tcW w:type="dxa" w:w="453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SRS, arquitectura, modelo de datos y diferencias UI API.</w:t>
            </w:r>
          </w:p>
        </w:tc>
        <w:tc>
          <w:tcPr>
            <w:tcW w:type="dxa" w:w="3672"/>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Acceso local de lectura y decisión funcional.</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Diseño validado</w:t>
            </w:r>
          </w:p>
        </w:tc>
        <w:tc>
          <w:tcPr>
            <w:tcW w:type="dxa" w:w="453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Wireframes, mockups y prototipo con datos ficticios.</w:t>
            </w:r>
          </w:p>
        </w:tc>
        <w:tc>
          <w:tcPr>
            <w:tcW w:type="dxa" w:w="3672"/>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Sesión con referentes y aprobaciones registradas.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Construcción autorizada</w:t>
            </w:r>
          </w:p>
        </w:tc>
        <w:tc>
          <w:tcPr>
            <w:tcW w:type="dxa" w:w="453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Controles y pruebas específicos por orden de cambio.</w:t>
            </w:r>
          </w:p>
        </w:tc>
        <w:tc>
          <w:tcPr>
            <w:tcW w:type="dxa" w:w="3672"/>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3F4F6"/>
          </w:tcPr>
          <w:p>
            <w:pPr>
              <w:spacing w:after="20" w:before="20" w:line="247" w:lineRule="auto"/>
            </w:pPr>
            <w:r>
              <w:rPr>
                <w:b w:val="0"/>
                <w:color w:val="000000"/>
                <w:sz w:val="19"/>
              </w:rPr>
              <w:t>Alcance y presupuesto firmados.</w:t>
            </w:r>
          </w:p>
        </w:tc>
      </w:tr>
      <w:tr>
        <w:trPr>
          <w:cantSplit/>
        </w:trPr>
        <w:tc>
          <w:tcPr>
            <w:tcW w:type="dxa" w:w="201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Verificación</w:t>
            </w:r>
          </w:p>
        </w:tc>
        <w:tc>
          <w:tcPr>
            <w:tcW w:type="dxa" w:w="4536"/>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Evidencia TC y UAT de un candidato identificable.</w:t>
            </w:r>
          </w:p>
        </w:tc>
        <w:tc>
          <w:tcPr>
            <w:tcW w:type="dxa" w:w="3672"/>
            <w:vAlign w:val="center"/>
            <w:tcBorders>
              <w:top w:val="single" w:sz="4" w:color="D9D9D9"/>
              <w:left w:val="single" w:sz="4" w:color="D9D9D9"/>
              <w:bottom w:val="single" w:sz="4" w:color="D9D9D9"/>
              <w:right w:val="single" w:sz="4" w:color="D9D9D9"/>
            </w:tcBorders>
            <w:tcMar>
              <w:top w:w="60" w:type="dxa"/>
              <w:bottom w:w="60" w:type="dxa"/>
              <w:left w:w="95" w:type="dxa"/>
              <w:right w:w="95" w:type="dxa"/>
            </w:tcMar>
            <w:shd w:fill="FFFFFF"/>
          </w:tcPr>
          <w:p>
            <w:pPr>
              <w:spacing w:after="20" w:before="20" w:line="247" w:lineRule="auto"/>
            </w:pPr>
            <w:r>
              <w:rPr>
                <w:b w:val="0"/>
                <w:color w:val="000000"/>
                <w:sz w:val="19"/>
              </w:rPr>
              <w:t>Entorno preparado, responsables y datos seguros.</w:t>
            </w:r>
          </w:p>
        </w:tc>
      </w:tr>
    </w:tbl>
    <w:p>
      <w:pPr>
        <w:spacing w:after="20"/>
      </w:pPr>
    </w:p>
    <w:p>
      <w:pPr>
        <w:pStyle w:val="Heading1"/>
      </w:pPr>
      <w:r>
        <w:t>Riesgos técnicos y alternativas</w:t>
      </w:r>
    </w:p>
    <w:p>
      <w:r>
        <w:t>La ausencia de paginación y de mediciones limita cualquier promesa de capacidad. La creación de ticket y contador es transaccional, pero eventos y notificaciones quedan fuera; se requiere definir recuperación de fallos parciales. La inicialización de base no equivale a migraciones versionadas. Antes de cambiar motor o introducir colas, medir volumen y reproducir los problemas para elegir una solución proporcionada.</w:t>
      </w:r>
    </w:p>
    <w:p>
      <w:pPr>
        <w:pStyle w:val="Heading1"/>
      </w:pPr>
      <w:r>
        <w:t>Criterios de selección y decisión</w:t>
      </w:r>
    </w:p>
    <w:p>
      <w:r>
        <w:t>Aceptar esta propuesta cuando liderazgo técnico y operación confirmen soporte del stack, mantenimiento, recuperación y capacidad objetivo; negocio apruebe reglas; y compras cierre condiciones comerciales. El contrato debe identificar quién opera cada componente, quién recibe alertas y qué cambios están incluidos. Referencias principales: F3-01 SRS, F3-03 SAD, F3-04 datos y F5-01 plan de pruebas.</w:t>
      </w:r>
    </w:p>
    <w:p>
      <w:pPr>
        <w:pStyle w:val="Heading1"/>
      </w:pPr>
      <w:r>
        <w:t>Referencias del proyecto</w:t>
      </w:r>
    </w:p>
    <w:p>
      <w:r>
        <w:t>package.json; apps/api/package.json; apps/web/package.json; docker-compose.yml; apps/api/src/tickets/tickets.service.ts.</w:t>
      </w:r>
    </w:p>
    <w:p>
      <w:r>
        <w:t>O identifica comportamiento observado en código al 17 de octubre de 2026. P identifica propuesta sujeta a aprobación. Los procedimientos descritos no equivalen a pruebas ejecutadas.</w:t>
      </w:r>
    </w:p>
    <w:sectPr w:rsidR="00FC693F" w:rsidRPr="0006063C" w:rsidSect="00034616">
      <w:headerReference w:type="default" r:id="rId9"/>
      <w:footerReference w:type="default" r:id="rId10"/>
      <w:pgSz w:w="12240" w:h="15840"/>
      <w:pgMar w:top="893"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000000"/>
        <w:sz w:val="16"/>
      </w:rPr>
      <w:t>CastleWalk Tickets    F2-03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180"/>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técnica del servicio</dc:title>
  <dc:subject>F2-03</dc:subject>
  <dc:creator>Equipo del proyecto CastleWalk Tickets</dc:creator>
  <cp:keywords/>
  <dc:description>generated by python-docx</dc:description>
  <cp:lastModifiedBy/>
  <cp:revision>1</cp:revision>
  <dcterms:created xsi:type="dcterms:W3CDTF">2013-12-23T23:15:00Z</dcterms:created>
  <dcterms:modified xsi:type="dcterms:W3CDTF">2013-12-23T23:15:00Z</dcterms:modified>
  <cp:category/>
</cp:coreProperties>
</file>