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Acuerdo de niveles de servicio y soporte</w:t>
      </w:r>
    </w:p>
    <w:p>
      <w:r>
        <w:t>CastleWalk Tickets  |  F2-06  |  Versión 1.0  |  17 de octubre de 2026</w:t>
      </w:r>
    </w:p>
    <w:p>
      <w:r>
        <w:t>Estado: Borrador de SLA pendiente de acuerdo. Responsable de revisión: Operación cliente y proveedor.</w:t>
      </w:r>
    </w:p>
    <w:p>
      <w:r>
        <w:t>Este SLA propone condiciones medibles para soporte de CastleWalk Tickets una vez que exista una operación contratada. Disponibilidad, horarios y tiempos requieren negociación y capacidad demostrada. No acredita un servicio productivo activo ni disponibilidad histórica.</w:t>
      </w:r>
    </w:p>
    <w:p>
      <w:pPr>
        <w:pStyle w:val="Heading1"/>
      </w:pPr>
      <w:r>
        <w:t>Servicio cubierto y ventana</w:t>
      </w:r>
    </w:p>
    <w:p>
      <w:r>
        <w:t>Servicio [entorno y URL a completar], componentes cubiertos [web, API, datos u otros], operador de cada componente [completar]. Inicio de cobertura [fecha posterior a aceptación]. Horario propuesto de soporte 8 por 5 [zona horaria y festivos acordados]; cobertura fuera de horario [no incluida salvo contratación]. Canal de incidentes [portal o correo] y canal alternativo durante caída [completar]. Contactos y escalamiento en F4-03.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Severidad propuesta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Respuesta objetivo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0C1044"/>
          </w:tcPr>
          <w:p>
            <w:pPr>
              <w:spacing w:after="20" w:before="20" w:line="247" w:lineRule="auto"/>
            </w:pPr>
            <w:r>
              <w:rPr>
                <w:b/>
                <w:color w:val="FFFFFF"/>
                <w:sz w:val="19"/>
              </w:rPr>
              <w:t>Tratamiento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S1 crítica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Servicio caído o exposición de datos sospechada.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1 hora de cobertura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Prioridad continua en horario; comunicar contención y estimación.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S2 alta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Flujo crítico bloqueado sin alternativa razonable.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4 horas de cobertura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Plan de recuperación y actualización diaria.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S3 media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Falla con alternativa disponible.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1 día hábil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3F4F6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Programar corrección según impacto y versión.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S4 baja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Consulta, mejora o detalle visual.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2 días hábiles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95" w:type="dxa"/>
              <w:right w:w="95" w:type="dxa"/>
            </w:tcMar>
            <w:shd w:fill="FFFFFF"/>
          </w:tcPr>
          <w:p>
            <w:pPr>
              <w:spacing w:after="20" w:before="20" w:line="247" w:lineRule="auto"/>
            </w:pPr>
            <w:r>
              <w:rPr>
                <w:b w:val="0"/>
                <w:color w:val="000000"/>
                <w:sz w:val="19"/>
              </w:rPr>
              <w:t>Clasificar; mejoras requieren alcance adicional.</w:t>
            </w:r>
          </w:p>
        </w:tc>
      </w:tr>
    </w:tbl>
    <w:p>
      <w:pPr>
        <w:spacing w:after="20"/>
      </w:pPr>
    </w:p>
    <w:p>
      <w:r>
        <w:t>Respuesta significa reconocimiento y asignación del incidente, no solución. Objetivo de restauración S1 [horas], S2 [horas], S3 [plazo]; completar tras ensayo de operación. El reloj comienza con reporte suficiente durante cobertura; las pausas por información del cliente se registran y justifican. Severidad se acuerda por impacto, sin rebajar unilateralmente una caída crítica.</w:t>
      </w:r>
    </w:p>
    <w:p>
      <w:r>
        <w:br w:type="page"/>
      </w:r>
    </w:p>
    <w:p>
      <w:pPr>
        <w:pStyle w:val="Heading1"/>
      </w:pPr>
      <w:r>
        <w:t>Disponibilidad recuperación y revisión</w:t>
      </w:r>
    </w:p>
    <w:p>
      <w:pPr>
        <w:pStyle w:val="Heading1"/>
      </w:pPr>
      <w:r>
        <w:t>Medición propuesta</w:t>
      </w:r>
    </w:p>
    <w:p>
      <w:r>
        <w:t>Objetivo candidato NFR-04: 99,5 por ciento mensual. Disponibilidad = (minutos elegibles menos minutos de indisponibilidad imputable) ÷ minutos elegibles × 100. El monitor, ubicación, intervalo, definición de falla y periodo de confirmación se acuerdan en [anexo]. No redondear incidentes sin regla. Un mes de 30 días con 43200 minutos elegibles permitiría 216 minutos de indisponibilidad para ese objetivo; es ejemplo aritmético, no presupuesto real de caída.</w:t>
      </w:r>
    </w:p>
    <w:p>
      <w:pPr>
        <w:pStyle w:val="Heading1"/>
      </w:pPr>
      <w:r>
        <w:t>Ventanas y exclusiones</w:t>
      </w:r>
    </w:p>
    <w:p>
      <w:r>
        <w:t>Mantenimiento programado requiere aviso de [horas] y ventana máxima [duración y frecuencia]; se identifica si se excluye o cuenta en el denominador. Fallas de conectividad del usuario o terceros fuera de control solo se excluyen con evidencia y delimitación contractual. El reporte mensual enumera todas las caídas, exclusiones, duración, causa conocida y acciones. Los incidentes de seguridad no se eliminan del registro por ser una exclusión comercial.</w:t>
      </w:r>
    </w:p>
    <w:p>
      <w:pPr>
        <w:pStyle w:val="Heading1"/>
      </w:pPr>
      <w:r>
        <w:t>Respaldo y recuperación</w:t>
      </w:r>
    </w:p>
    <w:p>
      <w:r>
        <w:t>NFR-05 propone RPO 24 horas y RTO 8 horas, sujetos a aceptación. Responsable de copias [rol], frecuencia [completar], retención [completar], ubicación y cifrado [completar]. Ensayo de restauración [cadencia] con evidencia TC-27. Un volumen local de base no constituye copia independiente ni prueba de recuperación. Definir responsable de pérdida de datos y comunicación al cliente.</w:t>
      </w:r>
    </w:p>
    <w:p>
      <w:pPr>
        <w:pStyle w:val="Heading1"/>
      </w:pPr>
      <w:r>
        <w:t>Incumplimiento cambios y terminación</w:t>
      </w:r>
    </w:p>
    <w:p>
      <w:r>
        <w:t>Créditos de servicio, base de cálculo, tope, exclusiones y forma de reclamación [negociar]. No hay penalidad monetaria automáticamente calculable con campos vacíos. Revisar niveles tras [meses] y ante cambios relevantes de volumen o arquitectura. El SLA se extingue o transiciona según MSA; se conserva historial de incidentes y se entrega al rol autorizado.</w:t>
      </w:r>
    </w:p>
    <w:p>
      <w:pPr>
        <w:pStyle w:val="Heading1"/>
      </w:pPr>
      <w:r>
        <w:t>Aprobación pendiente</w:t>
      </w:r>
    </w:p>
    <w:p>
      <w:r>
        <w:t>Cliente y proveedor: nombre, cargo, firma y fecha [pendientes]. Confirmar horario, zona, festivos, objetivos de restauración, monitor, ventanas, créditos y responsabilidades de terceros antes de iniciar el reloj contractual. Referencias NFR-04, NFR-05, TC-26, TC-27 y UAT-12.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000000"/>
        <w:sz w:val="16"/>
      </w:rPr>
      <w:t>CastleWalk Tickets    F2-06  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7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Acuerdo de niveles de servicio y soporte</dc:title>
  <dc:subject>F2-06</dc:subject>
  <dc:creator>Equipo del proyecto CastleWalk Tickets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