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Wireframes y flujos de baja fidelidad</w:t>
      </w:r>
    </w:p>
    <w:p>
      <w:r>
        <w:t>CastleWalk Tickets  |  F3-05  |  Versión 1.0  |  17 de octubre de 2026</w:t>
      </w:r>
    </w:p>
    <w:p>
      <w:r>
        <w:t>Estado: Para revisión y aprobación. Responsable de revisión: Dueño del proceso y referentes de áreas.</w:t>
      </w:r>
    </w:p>
    <w:p>
      <w:r>
        <w:t>Los siguientes wireframes reconstruyen la estructura de las pantallas implementadas para revisar jerarquía y tareas sin depender del detalle visual. Son diagramas documentales con datos ficticios. Los controles nuevos deben aprobarse antes de incorporarse al producto.</w:t>
      </w:r>
    </w:p>
    <w:p>
      <w:pPr>
        <w:pStyle w:val="Heading1"/>
      </w:pPr>
      <w:r>
        <w:t>Flujo principal y panel inicial</w:t>
      </w:r>
    </w:p>
    <w:p>
      <w:r>
        <w:t>Acceso simulado o sesión real válida conduce al inicio; desde allí se consulta el listado o se crea un ticket; el ticket creado conduce al detalle. La organización y la administración son rutas complementarias. Acceso y permisos reales siguen siendo responsabilidad de la API. Referencias FR-01, FR-12 y FR-14; UAT-01 y UAT-05.</w:t>
      </w:r>
    </w:p>
    <w:p>
      <w:r>
        <w:drawing>
          <wp:inline xmlns:a="http://schemas.openxmlformats.org/drawingml/2006/main" xmlns:pic="http://schemas.openxmlformats.org/drawingml/2006/picture">
            <wp:extent cx="6263640" cy="4092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W-01. Panel con indicadores y actividad. RESOLVED forma parte de abiertos en la base actual. Mis tickets reúne solicitados y asignados de cualquier estado.</w:t>
      </w:r>
    </w:p>
    <w:p>
      <w:r>
        <w:br w:type="page"/>
      </w:r>
    </w:p>
    <w:p>
      <w:pPr>
        <w:pStyle w:val="Heading1"/>
      </w:pPr>
      <w:r>
        <w:t>Listado y localización de solicitudes</w:t>
      </w:r>
    </w:p>
    <w:p>
      <w:r>
        <w:drawing>
          <wp:inline xmlns:a="http://schemas.openxmlformats.org/drawingml/2006/main" xmlns:pic="http://schemas.openxmlformats.org/drawingml/2006/picture">
            <wp:extent cx="6263640" cy="4092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W-02. Encabezado, acción de alta, filtros y resultados. La ubicación exacta es una reconstrucción para validar organización; los filtros de API incluyen estado, área, asignado, texto y mine. No representa paginación existente.</w:t>
      </w:r>
    </w:p>
    <w:p>
      <w:pPr>
        <w:pStyle w:val="Heading1"/>
      </w:pPr>
      <w:r>
        <w:t>Interacción y estados de pantalla</w:t>
      </w:r>
    </w:p>
    <w:p>
      <w:pPr>
        <w:pStyle w:val="ListBullet"/>
      </w:pPr>
      <w:r>
        <w:t>Seleccionar un resultado abre detalle; cambiar filtros vuelve a consultar solo tickets visibles.</w:t>
      </w:r>
    </w:p>
    <w:p>
      <w:pPr>
        <w:pStyle w:val="ListBullet"/>
      </w:pPr>
      <w:r>
        <w:t>Cargando: conservar contexto y señal de consulta. Sin resultados: explicar filtros activos y permitir limpiarlos.</w:t>
      </w:r>
    </w:p>
    <w:p>
      <w:pPr>
        <w:pStyle w:val="ListBullet"/>
      </w:pPr>
      <w:r>
        <w:t>Error: presentar mensaje y acción de reintento, conservando filtros. Estas respuestas de experiencia deben contrastarse en UI.</w:t>
      </w:r>
    </w:p>
    <w:p>
      <w:pPr>
        <w:pStyle w:val="ListBullet"/>
      </w:pPr>
      <w:r>
        <w:t>Referencia FR-05 y FR-06; comprobar resultados y denegaciones mediante TC-05 a TC-07.</w:t>
      </w:r>
    </w:p>
    <w:p>
      <w:r>
        <w:br w:type="page"/>
      </w:r>
    </w:p>
    <w:p>
      <w:pPr>
        <w:pStyle w:val="Heading1"/>
      </w:pPr>
      <w:r>
        <w:t>Registro de una solicitud</w:t>
      </w:r>
    </w:p>
    <w:p>
      <w:r>
        <w:drawing>
          <wp:inline xmlns:a="http://schemas.openxmlformats.org/drawingml/2006/main" xmlns:pic="http://schemas.openxmlformats.org/drawingml/2006/picture">
            <wp:extent cx="6263640" cy="4092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W-03. Título, área, prioridad y descripción reproducen el alcance del formulario de alta observado. No se dibuja vencimiento ni asignación inicial como capacidad existente de la pantalla. Web excluye áreas raíz y parte de LOW, diferencias que FR-18 somete a decisión.</w:t>
      </w:r>
    </w:p>
    <w:p>
      <w:pPr>
        <w:pStyle w:val="Heading1"/>
      </w:pPr>
      <w:r>
        <w:t>Validación y decisión pendiente</w:t>
      </w:r>
    </w:p>
    <w:p>
      <w:r>
        <w:t>Campos obligatorios deben ser identificables y sus errores asociarse al control. La acción de enviar debe evitar duplicados involuntarios y conducir al ticket confirmado. Validar redacción, orden y carga en móvil con usuarios. TC-04, TC-16 y TC-21 separan comportamiento actual de la coherencia propuesta.</w:t>
      </w:r>
    </w:p>
    <w:p>
      <w:r>
        <w:br w:type="page"/>
      </w:r>
    </w:p>
    <w:p>
      <w:pPr>
        <w:pStyle w:val="Heading1"/>
      </w:pPr>
      <w:r>
        <w:t>Detalle y pantallas complementarias</w:t>
      </w:r>
    </w:p>
    <w:p>
      <w:r>
        <w:drawing>
          <wp:inline xmlns:a="http://schemas.openxmlformats.org/drawingml/2006/main" xmlns:pic="http://schemas.openxmlformats.org/drawingml/2006/picture">
            <wp:extent cx="6263640" cy="4092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W-04. Descripción, estado, asignado, comentarios e historial. Habilitar controles según permiso; una acción oculta no sustituye denegación por API. No se representa formulario general de edición porque el detalle observado no lo ofrece.</w:t>
      </w:r>
    </w:p>
    <w:p>
      <w:pPr>
        <w:pStyle w:val="Heading1"/>
      </w:pPr>
      <w:r>
        <w:t>Acceso organización y administración</w:t>
      </w:r>
    </w:p>
    <w:p>
      <w:r>
        <w:t>Acceso: correo, contraseña, acción de ingreso y error comprensible sin revelar si la cuenta existe. Organización: árbol o diagrama de áreas con liderazgo y relaciones; administración de áreas: nombre, slug, padre, líder y miembros; administración de usuarios: identidad, rol global y actividad. Su información se documenta en FR-01 a FR-03 y F3-04. Validar controles concretos contra las rutas antes de rediseñarlas.</w:t>
      </w:r>
    </w:p>
    <w:p>
      <w:pPr>
        <w:pStyle w:val="Heading1"/>
      </w:pPr>
      <w:r>
        <w:t>Revisión y aprobación</w:t>
      </w:r>
    </w:p>
    <w:p>
      <w:r>
        <w:t>Revisores: Dueño del proceso, usuarios piloto y QA.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F3-05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Wireframes y flujos de baja fidelidad</dc:title>
  <dc:subject>F3-05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