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Mockups y guía de estilos de interfaz</w:t>
      </w:r>
    </w:p>
    <w:p>
      <w:r>
        <w:t>CastleWalk Tickets  |  F3-06  |  Versión 1.0  |  17 de octubre de 2026</w:t>
      </w:r>
    </w:p>
    <w:p>
      <w:r>
        <w:t>Estado: Para revisión y aprobación. Responsable de revisión: Responsable de experiencia y dueño del proceso.</w:t>
      </w:r>
    </w:p>
    <w:p>
      <w:r>
        <w:t>Estos mockups de alta fidelidad aplican la paleta del proyecto a pantallas representativas con datos ficticios. Son reconstrucciones visuales para revisión, no capturas de producción ni prueba de conformidad. Se conservan los flujos y límites funcionales documentados en el SRS.</w:t>
      </w:r>
    </w:p>
    <w:p>
      <w:pPr>
        <w:pStyle w:val="Heading1"/>
      </w:pPr>
      <w:r>
        <w:t>Sistema visual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Valor observado o criterio propuesto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Azul principal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Observado #0C1044; navegación, títulos y texto principal.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Naranja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Observado #C96908; acción principal. Hover observado #A05306.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Fondo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Observado #F3F4F6; superficies claras y bordes grises.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Tipografía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Geist en el producto; fallback Arial o sans serif. Mockups usan Arial disponible.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Accesibilidad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Propuesta NFR-06: comprobar contraste y foco, no inferir aprobación por la paleta.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623560" cy="3674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M-01. Panel inicial. Los indicadores deben mostrar definiciones de negocio coherentes con FR-12; los números son ilustrativos.</w:t>
      </w:r>
    </w:p>
    <w:p>
      <w:r>
        <w:br w:type="page"/>
      </w:r>
    </w:p>
    <w:p>
      <w:pPr>
        <w:pStyle w:val="Heading1"/>
      </w:pPr>
      <w:r>
        <w:t>Listado y componentes reutilizables</w:t>
      </w:r>
    </w:p>
    <w:p>
      <w:r>
        <w:drawing>
          <wp:inline xmlns:a="http://schemas.openxmlformats.org/drawingml/2006/main" xmlns:pic="http://schemas.openxmlformats.org/drawingml/2006/picture">
            <wp:extent cx="6263640" cy="4092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Guía de componentes</w:t>
      </w:r>
    </w:p>
    <w:p>
      <w:r>
        <w:t>M-02. Navegación persistente, título de página, acción principal, filtros y lista. Usar jerarquía de tamaño y peso para escaneo, estados con texto además de color, y separación suficiente entre filas. El detalle se abre desde una solicitud reconocible por número y título. Los botones deben conservar foco visible y una etiqueta que describa la acción.</w:t>
      </w:r>
    </w:p>
    <w:p>
      <w:r>
        <w:t>Propuesta de tamaños de validación: cuerpo 16 px, etiqueta 14 a 16 px, título de página 28 a 36 px; espacio básico 8 px y controles de 44 px de alto donde sea viable. Son criterios de revisión, no valores certificados del CSS existente. Verificar a 360 px y 1280 px de ancho sin pérdida de acciones esenciales.</w:t>
      </w:r>
    </w:p>
    <w:p>
      <w:r>
        <w:br w:type="page"/>
      </w:r>
    </w:p>
    <w:p>
      <w:pPr>
        <w:pStyle w:val="Heading1"/>
      </w:pPr>
      <w:r>
        <w:t>Formulario y retroalimentación</w:t>
      </w:r>
    </w:p>
    <w:p>
      <w:r>
        <w:drawing>
          <wp:inline xmlns:a="http://schemas.openxmlformats.org/drawingml/2006/main" xmlns:pic="http://schemas.openxmlformats.org/drawingml/2006/picture">
            <wp:extent cx="6263640" cy="4092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-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M-03. Alta con campos existentes. La alta fidelidad no añade dueAt ni asignado a la pantalla observada. Definir valores vacíos, obligatorios, error por campo, envío y confirmación; mensajes en español profesional. La prioridad LOW visual y MEDIUM por omisión de API se mantienen como diferencia abierta FR-18.</w:t>
      </w:r>
    </w:p>
    <w:p>
      <w:pPr>
        <w:pStyle w:val="Heading1"/>
      </w:pPr>
      <w:r>
        <w:t>Mensajes candidatos</w:t>
      </w:r>
    </w:p>
    <w:p>
      <w:r>
        <w:t>Validación: Completa el título de la solicitud. Error de red: No se pudo guardar el ticket; verifica la conexión y vuelve a intentar. Confirmación: Ticket creado con número [número]. Falta de permiso: No tienes permiso para realizar esta acción. Revisar mensajes contra respuesta efectiva para no afirmar guardado cuando solo hubo envío.</w:t>
      </w:r>
    </w:p>
    <w:p>
      <w:r>
        <w:br w:type="page"/>
      </w:r>
    </w:p>
    <w:p>
      <w:pPr>
        <w:pStyle w:val="Heading1"/>
      </w:pPr>
      <w:r>
        <w:t>Detalle permisos y revisión visual</w:t>
      </w:r>
    </w:p>
    <w:p>
      <w:r>
        <w:drawing>
          <wp:inline xmlns:a="http://schemas.openxmlformats.org/drawingml/2006/main" xmlns:pic="http://schemas.openxmlformats.org/drawingml/2006/picture">
            <wp:extent cx="6263640" cy="4092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M-04. Descripción, gestión y conversación. La asignación requiere canAssign o liderazgo o ADMIN; cierre y cancelación requieren canClose o liderazgo o ADMIN. El comentario depende de visibilidad. Mostrar el motivo de una acción no disponible cuando sea útil, sin filtrar contenido ajeno.</w:t>
      </w:r>
    </w:p>
    <w:p>
      <w:pPr>
        <w:pStyle w:val="Heading1"/>
      </w:pPr>
      <w:r>
        <w:t>Lista de revisión del diseño</w:t>
      </w:r>
    </w:p>
    <w:p>
      <w:pPr>
        <w:pStyle w:val="ListBullet"/>
      </w:pPr>
      <w:r>
        <w:t>Confirmar tareas con solicitantes y responsables; registrar dudas de estados y vencimientos.</w:t>
      </w:r>
    </w:p>
    <w:p>
      <w:pPr>
        <w:pStyle w:val="ListBullet"/>
      </w:pPr>
      <w:r>
        <w:t>Probar teclado, foco, etiquetas, contraste y ajuste en móvil; capturar hallazgos en TC-17 y TC-30.</w:t>
      </w:r>
    </w:p>
    <w:p>
      <w:pPr>
        <w:pStyle w:val="ListBullet"/>
      </w:pPr>
      <w:r>
        <w:t>Verificar ES y EN y literales pendientes, cargas, estados vacíos y errores.</w:t>
      </w:r>
    </w:p>
    <w:p>
      <w:pPr>
        <w:pStyle w:val="ListBullet"/>
      </w:pPr>
      <w:r>
        <w:t>Aprobar cambios visuales o de comportamiento por versión, diferenciando referencia de propuesta.</w:t>
      </w:r>
    </w:p>
    <w:p>
      <w:pPr>
        <w:pStyle w:val="Heading1"/>
      </w:pPr>
      <w:r>
        <w:t>Referencias del proyecto</w:t>
      </w:r>
    </w:p>
    <w:p>
      <w:r>
        <w:t>apps/web/app/globals.css; apps/web/app/(app)/tickets/new/page.tsx; apps/web/app/(app)/tickets/[id]/page.tsx.</w:t>
      </w:r>
    </w:p>
    <w:p>
      <w:r>
        <w:t>O identifica comportamiento observado en código al 17 de octubre de 2026. P identifica propuesta sujeta a aprobación. Los procedimientos descritos no equivalen a pruebas ejecutadas.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F3-06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Mockups y guía de estilos de interfaz</dc:title>
  <dc:subject>F3-06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