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riesgos del proyecto</w:t>
      </w:r>
    </w:p>
    <w:p>
      <w:r>
        <w:t>CastleWalk Tickets  |  F4-02  |  Versión 1.0  |  17 de octubre de 2026</w:t>
      </w:r>
    </w:p>
    <w:p>
      <w:r>
        <w:t>Estado: Para revisión y aprobación. Responsable de revisión: Dirección del proyecto y responsables de riesgo.</w:t>
      </w:r>
    </w:p>
    <w:p>
      <w:r>
        <w:t>La matriz prioriza incertidumbres técnicas, operativas y comerciales de CastleWalk Tickets. Los niveles son evaluaciones iniciales propuestas, no incidentes ocurridos ni probabilidades medidas. Cada responsable debe confirmar evidencia, acción y fecha de revisión.</w:t>
      </w:r>
    </w:p>
    <w:p>
      <w:pPr>
        <w:pStyle w:val="Heading1"/>
      </w:pPr>
      <w:r>
        <w:t>Escala y tratamiento</w:t>
      </w:r>
    </w:p>
    <w:p>
      <w:r>
        <w:t>Probabilidad P e impacto I: 1 bajo, 2 medio, 3 alto. Exposición = P × I; 1 a 2 baja, 3 a 4 media, 6 a 9 alta. Impacto considera datos, atención, costo y calendario. Un riesgo de seguridad con daño grave puede requerir tratamiento prioritario aunque su frecuencia sea incierta. Revisar semanalmente y al cambiar alcance o entorno.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ID y riesgo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 por I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Dueño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R-01 Configuración de sesión de desarrollo llega a producción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 × 3 = 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 técnico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Revisar cookie Secure, TLS, secreto y políticas NFR-01 antes de liberar.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R-02 Asignación a inactivo o persona ajena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 × 2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Aprobar FR-15; caracterizar base y probar regla acordada.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R-03 Ciclo indirecto en jerarquía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2 = 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Administrador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Inventariar árbol y aprobar validación FR-16.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R-04 Interpretación distinta de resuelto y cerrado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 × 2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Aprobar FR-17 y explicar dashboard FR-12.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R-05 Pérdida o restauración no verificada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3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Operación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Copias independientes y ensayo TC-27 antes de operar.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R-06 Crecimiento sin paginación degrada consultas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2 = 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 técnico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Medir TC-25 con volumen objetivo antes de prometer capacidad.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R-07 Eventos o avisos fallan tras alta confirmada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2 = 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Líder técnico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Caracterizar TC-24 y acordar recuperación e idempotencia.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Riesgos de calidad alcance y adopción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ID y riesgo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 por I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Dueño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R-08 Cobertura automatizada de negocio insuficiente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 × 3 = 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QA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Priorizar permisos, numeración y estados; TC-01 a TC-24.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R-09 Reglas web y API divergen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 × 2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Producto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Decidir prioridad, raíz y dueAt; FR-18.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R-10 Alcance comercial sin presupuesto o firma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3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Patrocinador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Cerrar SOW y cotización antes de compromiso.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R-11 Usuarios clave no disponibles para UAT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2 = 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Dirección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Reservar sesiones y suplentes en semana 1.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R-12 Dependencia de una sola persona operadora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3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Operación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Asignar suplente, acceso autorizado y ejercicio de recuperación.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R-13 Datos personales expuestos en pruebas o logs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3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Seguridad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Fixtures ficticios, acceso limitado y revisión NFR-08.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R-14 Cambios de esquema sin historial reproducible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× 3 = 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Responsable de datos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Migración ensayada, copia y recuperación; contrastar SQL y Prisma.</w:t>
            </w:r>
          </w:p>
        </w:tc>
      </w:tr>
    </w:tbl>
    <w:p>
      <w:pPr>
        <w:spacing w:after="20"/>
      </w:pPr>
    </w:p>
    <w:p>
      <w:pPr>
        <w:pStyle w:val="Heading1"/>
      </w:pPr>
      <w:r>
        <w:t>Contingencias y disparadores</w:t>
      </w:r>
    </w:p>
    <w:p>
      <w:r>
        <w:t>R-01 o R-13: contener acceso y escalar por canal seguro; no compartir tokens en tickets. R-05: activar recuperación desde copia probada y comunicar alcance. R-08: reducir alcance del piloto o posponer aceptación; no convertir casos sin ejecutar en aprobados. R-10 y R-11: replanificar hitos y compromisos por escrito. R-06 y R-07: limitar carga del piloto y conservar evidencia antes de elegir cambio técnico.</w:t>
      </w:r>
    </w:p>
    <w:p>
      <w:pPr>
        <w:pStyle w:val="Heading1"/>
      </w:pPr>
      <w:r>
        <w:t>Registro de seguimiento</w:t>
      </w:r>
    </w:p>
    <w:p>
      <w:r>
        <w:t>Para cada riesgo completar estado [abierto, mitigando, aceptado o cerrado], fecha objetivo, evidencia, exposición residual y aprobador de aceptación. La aceptación de riesgo debe identificar consecuencia y vigencia; no sustituye cumplimiento obligatorio ni firma comercial. Registro inicial: todos abiertos para validación, sin incidentes confirmados ni acciones ejecutadas por este documento.</w:t>
      </w:r>
    </w:p>
    <w:p>
      <w:pPr>
        <w:pStyle w:val="Heading1"/>
      </w:pPr>
      <w:r>
        <w:t>Revisión y aprobación</w:t>
      </w:r>
    </w:p>
    <w:p>
      <w:r>
        <w:t>Revisores: Dirección, patrocinador y dueños de riesgos altos.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F4-02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 del proyecto</dc:title>
  <dc:subject>F4-02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