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comunicaciones y matriz RACI</w:t>
      </w:r>
    </w:p>
    <w:p>
      <w:r>
        <w:t>CastleWalk Tickets  |  F4-03  |  Versión 1.0  |  17 de octubre de 2026</w:t>
      </w:r>
    </w:p>
    <w:p>
      <w:r>
        <w:t>Estado: Para revisión y aprobación. Responsable de revisión: Dirección del proyecto y patrocinador.</w:t>
      </w:r>
    </w:p>
    <w:p>
      <w:r>
        <w:t>El plan establece quién decide, ejecuta, consulta y recibe información en CastleWalk Tickets. Los canales y nombres se completan en el kickoff; ninguna reunión, envío o aviso se considera realizado por aparecer en el plan. RACI usa un aprobador por actividad para evitar decisiones ambiguas.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Comunicación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Cadencia propuesta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Participantes y salida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Kickoff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Una vez en T0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 y equipo; alcance, contactos, capacidad y decisiones.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Coordinación de trabajo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Breve por jornada si hay ejecución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Equipo y dirección; bloqueos y responsable de resolver.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Seguimiento de proyecto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Semanal, 30 minutos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Dirección y dueños; riesgos, hitos, costos y acuerdos.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Demo y validación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Quincenal, 60 minutos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Producto, áreas y equipo; aceptación de tareas y hallazgos.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Decisión de alcance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Cuando cambie compromiso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Patrocinador y dirección; solicitud aprobada o rechazada.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 y acta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Semana 8 propuesta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Dueño del proceso, usuarios y QA; evidencia y firma pendiente.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Incidente de servicio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Según SLA contratado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Operación, proveedor y dueño; impacto, respuesta y recuperación.</w:t>
            </w:r>
          </w:p>
        </w:tc>
      </w:tr>
    </w:tbl>
    <w:p>
      <w:pPr>
        <w:spacing w:after="20"/>
      </w:pPr>
    </w:p>
    <w:p>
      <w:pPr>
        <w:pStyle w:val="Heading1"/>
      </w:pPr>
      <w:r>
        <w:t>Canales y reglas</w:t>
      </w:r>
    </w:p>
    <w:p>
      <w:r>
        <w:t>Fuente oficial de requisitos [repositorio o espacio autorizado]. Canal de coordinación [completar]. Canal contractual [correo de representantes]. Canal de incidentes y alternativo [completar]. No usar el sistema afectado como único medio de escalar una caída. Registrar acuerdos con ID, fecha, decisión, responsable, vencimiento y documentos afectados. Evitar datos personales y secretos en mensajes de distribución amplia.</w:t>
      </w:r>
    </w:p>
    <w:p>
      <w:r>
        <w:br w:type="page"/>
      </w:r>
    </w:p>
    <w:p>
      <w:pPr>
        <w:pStyle w:val="Heading1"/>
      </w:pPr>
      <w:r>
        <w:t>Asignación RACI y escalamiento</w:t>
      </w:r>
    </w:p>
    <w:p>
      <w:r>
        <w:t>Roles: PA patrocinador; DP dirección del proyecto; PO dueño del producto o proceso; LT líder técnico; QA calidad; OP operación. R ejecuta, A aprueba, C es consultado, I informado. Un rol puede recaer en una persona, pero deben conservarse las decisiones explícitas. Legal y compras se consultan en contratación aunque no ocupen columna permanente.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936"/>
        <w:gridCol w:w="936"/>
        <w:gridCol w:w="936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DP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LT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QA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OP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Objetivos y presupuesto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Alcance contractual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Reglas FR y prioridad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Arquitectura y datos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 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Diseño y prototipo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Cronograma y riesgos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 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Implementación autorizada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 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Estrategia y evidencia QA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 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Seguridad y recuperación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 R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 funcional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Aceptación de hito comercial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</w:t>
            </w:r>
          </w:p>
        </w:tc>
      </w:tr>
    </w:tbl>
    <w:p>
      <w:pPr>
        <w:spacing w:after="20"/>
      </w:pPr>
    </w:p>
    <w:p>
      <w:pPr>
        <w:pStyle w:val="Heading1"/>
      </w:pPr>
      <w:r>
        <w:t>Escalamiento y plazos</w:t>
      </w:r>
    </w:p>
    <w:p>
      <w:r>
        <w:t>Bloqueos: equipo a dirección en la jornada. Reglas pendientes: dirección a PO, plazo propuesto dos días hábiles. Cambios de costo, fecha o alcance: patrocinador decide por escrito entre alternativas. Seguridad o caída: canal SLA y responsable OP; tiempos solo rigen si se contrataron. Conservar evidencia segura.</w:t>
      </w:r>
    </w:p>
    <w:p>
      <w:pPr>
        <w:pStyle w:val="Heading1"/>
      </w:pPr>
      <w:r>
        <w:t>Actas control y aprobación</w:t>
      </w:r>
    </w:p>
    <w:p>
      <w:r>
        <w:t>Minuta: fecha, participantes, versión, decisión, pendientes y responsable. Completar contactos, suplentes, custodia, permisos y retención antes de sesiones con datos reales. Cada aprobación conserva su ámbito y no sustituye revisión legal o seguridad.</w:t>
      </w:r>
    </w:p>
    <w:p>
      <w:pPr>
        <w:pStyle w:val="Heading1"/>
      </w:pPr>
      <w:r>
        <w:t>Revisión y aprobación</w:t>
      </w:r>
    </w:p>
    <w:p>
      <w:r>
        <w:t>Revisores: Patrocinador y dirección, con aceptación de cada rol.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F4-03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comunicaciones y matriz RACI</dc:title>
  <dc:subject>F4-03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