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CASTLEWALK TICKETS</w:t>
      </w:r>
    </w:p>
    <w:p>
      <w:r>
        <w:rPr>
          <w:b w:val="0"/>
        </w:rPr>
        <w:t>Administración Informática</w:t>
      </w:r>
    </w:p>
    <w:p>
      <w:r>
        <w:rPr>
          <w:b w:val="0"/>
        </w:rPr>
      </w:r>
    </w:p>
    <w:p>
      <w:pPr>
        <w:pStyle w:val="Title"/>
      </w:pPr>
      <w:r>
        <w:t>Plan Estratégico de Tecnologías de Información</w:t>
      </w:r>
    </w:p>
    <w:p>
      <w:pPr>
        <w:pStyle w:val="Subtitle"/>
      </w:pPr>
      <w:r>
        <w:t>PETI de cinco años para la gestión de solicitudes internas</w:t>
      </w:r>
    </w:p>
    <w:p>
      <w:r>
        <w:rPr>
          <w:b w:val="0"/>
        </w:rPr>
      </w:r>
    </w:p>
    <w:p>
      <w:r>
        <w:rPr>
          <w:b/>
        </w:rPr>
        <w:t>Propuesta académica para validación institucional</w:t>
      </w:r>
    </w:p>
    <w:p>
      <w:r>
        <w:rPr>
          <w:b w:val="0"/>
        </w:rPr>
        <w:t>Versión 1.0  |  20 de octubre de 2026</w:t>
      </w:r>
    </w:p>
    <w:p>
      <w:r>
        <w:rPr>
          <w:b w:val="0"/>
        </w:rPr>
        <w:t>Horizonte relativo al inicio aprobado T0  |  Años 1 a 5</w:t>
      </w:r>
    </w:p>
    <w:p>
      <w:r>
        <w:rPr>
          <w:b w:val="0"/>
        </w:rPr>
      </w:r>
    </w:p>
    <w:p>
      <w:pPr>
        <w:pStyle w:val="Heading2"/>
      </w:pPr>
      <w:r>
        <w:t>Propósito del plan</w:t>
      </w:r>
    </w:p>
    <w:p>
      <w:r>
        <w:rPr>
          <w:b w:val="0"/>
        </w:rPr>
        <w:t>Consolidar CastleWalk Tickets como un servicio interno de atención trazable, seguro y medible. El plan vincula el diagnóstico del proyecto con seis objetivos estratégicos, seis iniciativas priorizadas y un modelo de ejecución, gobierno y evaluación de beneficios.</w:t>
      </w:r>
    </w:p>
    <w:p>
      <w:r>
        <w:rPr>
          <w:b w:val="0"/>
        </w:rPr>
        <w:t>La decisión propuesta es autorizar un piloto gradual, sujeto a responsables designados, reglas de atención acordadas, evidencia de autorización y recuperación, y financiamiento confirmado. La existencia de software no demuestra su aceptación institucional ni la obtención de beneficios.</w:t>
      </w:r>
    </w:p>
    <w:tbl>
      <w:tblPr>
        <w:tblW w:type="auto" w:w="0"/>
        <w:jc w:val="center"/>
        <w:tblLayout w:type="fixed"/>
        <w:tblLook w:firstColumn="1" w:firstRow="1" w:lastColumn="0" w:lastRow="0" w:noHBand="0" w:noVBand="1" w:val="04A0"/>
      </w:tblPr>
      <w:tblGrid>
        <w:gridCol w:w="3456"/>
        <w:gridCol w:w="6538"/>
      </w:tblGrid>
      <w:tr>
        <w:trPr>
          <w:tblHeader/>
          <w:cantSplit/>
        </w:trPr>
        <w:tc>
          <w:tcPr>
            <w:tcW w:type="dxa" w:w="3456"/>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jc w:val="left"/>
            </w:pPr>
            <w:r>
              <w:rPr>
                <w:b/>
                <w:color w:val="FFFFFF"/>
                <w:sz w:val="18"/>
              </w:rPr>
              <w:t>Concepto</w:t>
            </w:r>
          </w:p>
        </w:tc>
        <w:tc>
          <w:tcPr>
            <w:tcW w:type="dxa" w:w="6538"/>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Escenario ilustrativo</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Paquete inicial</w:t>
            </w:r>
          </w:p>
        </w:tc>
        <w:tc>
          <w:tcPr>
            <w:tcW w:type="dxa" w:w="653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320 horas y USD 11.040 con reserva</w:t>
            </w:r>
          </w:p>
        </w:tc>
      </w:tr>
      <w:tr>
        <w:trPr>
          <w:cantSplit/>
        </w:trPr>
        <w:tc>
          <w:tcPr>
            <w:tcW w:type="dxa" w:w="345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Operación recurrente</w:t>
            </w:r>
          </w:p>
        </w:tc>
        <w:tc>
          <w:tcPr>
            <w:tcW w:type="dxa" w:w="653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USD 320 mensuales y USD 3.840 anuales</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Año 1 y horizonte base</w:t>
            </w:r>
          </w:p>
        </w:tc>
        <w:tc>
          <w:tcPr>
            <w:tcW w:type="dxa" w:w="653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USD 14.880 y USD 30.240 en cinco años</w:t>
            </w:r>
          </w:p>
        </w:tc>
      </w:tr>
      <w:tr>
        <w:trPr>
          <w:cantSplit/>
        </w:trPr>
        <w:tc>
          <w:tcPr>
            <w:tcW w:type="dxa" w:w="345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Expansiones de los años 2 a 5</w:t>
            </w:r>
          </w:p>
        </w:tc>
        <w:tc>
          <w:tcPr>
            <w:tcW w:type="dxa" w:w="653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Por estimar y aprobar por separado</w:t>
            </w:r>
          </w:p>
        </w:tc>
      </w:tr>
    </w:tbl>
    <w:p>
      <w:pPr>
        <w:spacing w:after="0"/>
      </w:pPr>
    </w:p>
    <w:p>
      <w:r>
        <w:rPr>
          <w:b w:val="0"/>
        </w:rPr>
        <w:t>Destinatarios: patrocinador, responsables de áreas, coordinación TI, operación, seguridad, finanzas y equipo académico. Las responsabilidades descritas son propuestas y requieren designación; este documento no contiene firmas ni aprobaciones institucionales.</w:t>
      </w:r>
    </w:p>
    <w:p>
      <w:r>
        <w:br w:type="page"/>
      </w:r>
    </w:p>
    <w:p>
      <w:pPr>
        <w:pStyle w:val="Heading1"/>
      </w:pPr>
      <w:r>
        <w:t>Contenido</w:t>
      </w:r>
    </w:p>
    <w:tbl>
      <w:tblPr>
        <w:tblW w:type="auto" w:w="0"/>
        <w:jc w:val="center"/>
        <w:tblLayout w:type="fixed"/>
        <w:tblLook w:firstColumn="1" w:firstRow="1" w:lastColumn="0" w:lastRow="0" w:noHBand="0" w:noVBand="1" w:val="04A0"/>
      </w:tblPr>
      <w:tblGrid>
        <w:gridCol w:w="864"/>
        <w:gridCol w:w="8064"/>
        <w:gridCol w:w="1066"/>
      </w:tblGrid>
      <w:tr>
        <w:trPr>
          <w:tblHeader/>
          <w:cantSplit/>
        </w:trPr>
        <w:tc>
          <w:tcPr>
            <w:tcW w:type="dxa" w:w="864"/>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jc w:val="left"/>
            </w:pPr>
            <w:r>
              <w:rPr>
                <w:b/>
                <w:color w:val="FFFFFF"/>
                <w:sz w:val="18"/>
              </w:rPr>
              <w:t>Sección</w:t>
            </w:r>
          </w:p>
        </w:tc>
        <w:tc>
          <w:tcPr>
            <w:tcW w:type="dxa" w:w="8064"/>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Contenido</w:t>
            </w:r>
          </w:p>
        </w:tc>
        <w:tc>
          <w:tcPr>
            <w:tcW w:type="dxa" w:w="1066"/>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Página</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1</w:t>
            </w:r>
          </w:p>
        </w:tc>
        <w:tc>
          <w:tcPr>
            <w:tcW w:type="dxa" w:w="80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Introducción</w:t>
            </w:r>
          </w:p>
        </w:tc>
        <w:tc>
          <w:tcPr>
            <w:tcW w:type="dxa" w:w="106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3</w:t>
            </w:r>
          </w:p>
        </w:tc>
      </w:tr>
      <w:tr>
        <w:trPr>
          <w:cantSplit/>
        </w:trPr>
        <w:tc>
          <w:tcPr>
            <w:tcW w:type="dxa" w:w="86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2</w:t>
            </w:r>
          </w:p>
        </w:tc>
        <w:tc>
          <w:tcPr>
            <w:tcW w:type="dxa" w:w="806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Antecedentes</w:t>
            </w:r>
          </w:p>
        </w:tc>
        <w:tc>
          <w:tcPr>
            <w:tcW w:type="dxa" w:w="106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3</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3</w:t>
            </w:r>
          </w:p>
        </w:tc>
        <w:tc>
          <w:tcPr>
            <w:tcW w:type="dxa" w:w="80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Objetivos</w:t>
            </w:r>
          </w:p>
        </w:tc>
        <w:tc>
          <w:tcPr>
            <w:tcW w:type="dxa" w:w="106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4</w:t>
            </w:r>
          </w:p>
        </w:tc>
      </w:tr>
      <w:tr>
        <w:trPr>
          <w:cantSplit/>
        </w:trPr>
        <w:tc>
          <w:tcPr>
            <w:tcW w:type="dxa" w:w="86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4</w:t>
            </w:r>
          </w:p>
        </w:tc>
        <w:tc>
          <w:tcPr>
            <w:tcW w:type="dxa" w:w="806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Marco institucional</w:t>
            </w:r>
          </w:p>
        </w:tc>
        <w:tc>
          <w:tcPr>
            <w:tcW w:type="dxa" w:w="106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4</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5</w:t>
            </w:r>
          </w:p>
        </w:tc>
        <w:tc>
          <w:tcPr>
            <w:tcW w:type="dxa" w:w="80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Diagnóstico tecnológico</w:t>
            </w:r>
          </w:p>
        </w:tc>
        <w:tc>
          <w:tcPr>
            <w:tcW w:type="dxa" w:w="106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5</w:t>
            </w:r>
          </w:p>
        </w:tc>
      </w:tr>
      <w:tr>
        <w:trPr>
          <w:cantSplit/>
        </w:trPr>
        <w:tc>
          <w:tcPr>
            <w:tcW w:type="dxa" w:w="86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6</w:t>
            </w:r>
          </w:p>
        </w:tc>
        <w:tc>
          <w:tcPr>
            <w:tcW w:type="dxa" w:w="806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Análisis FODA de TI</w:t>
            </w:r>
          </w:p>
        </w:tc>
        <w:tc>
          <w:tcPr>
            <w:tcW w:type="dxa" w:w="106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7</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7</w:t>
            </w:r>
          </w:p>
        </w:tc>
        <w:tc>
          <w:tcPr>
            <w:tcW w:type="dxa" w:w="80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Inventario de capacidades</w:t>
            </w:r>
          </w:p>
        </w:tc>
        <w:tc>
          <w:tcPr>
            <w:tcW w:type="dxa" w:w="106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8</w:t>
            </w:r>
          </w:p>
        </w:tc>
      </w:tr>
      <w:tr>
        <w:trPr>
          <w:cantSplit/>
        </w:trPr>
        <w:tc>
          <w:tcPr>
            <w:tcW w:type="dxa" w:w="86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8</w:t>
            </w:r>
          </w:p>
        </w:tc>
        <w:tc>
          <w:tcPr>
            <w:tcW w:type="dxa" w:w="806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Identificación de brechas</w:t>
            </w:r>
          </w:p>
        </w:tc>
        <w:tc>
          <w:tcPr>
            <w:tcW w:type="dxa" w:w="106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8</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9</w:t>
            </w:r>
          </w:p>
        </w:tc>
        <w:tc>
          <w:tcPr>
            <w:tcW w:type="dxa" w:w="80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Arquitectura tecnológica actual</w:t>
            </w:r>
          </w:p>
        </w:tc>
        <w:tc>
          <w:tcPr>
            <w:tcW w:type="dxa" w:w="106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9</w:t>
            </w:r>
          </w:p>
        </w:tc>
      </w:tr>
      <w:tr>
        <w:trPr>
          <w:cantSplit/>
        </w:trPr>
        <w:tc>
          <w:tcPr>
            <w:tcW w:type="dxa" w:w="86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10</w:t>
            </w:r>
          </w:p>
        </w:tc>
        <w:tc>
          <w:tcPr>
            <w:tcW w:type="dxa" w:w="806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Arquitectura tecnológica objetivo</w:t>
            </w:r>
          </w:p>
        </w:tc>
        <w:tc>
          <w:tcPr>
            <w:tcW w:type="dxa" w:w="106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9</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11</w:t>
            </w:r>
          </w:p>
        </w:tc>
        <w:tc>
          <w:tcPr>
            <w:tcW w:type="dxa" w:w="80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Objetivos estratégicos de TI</w:t>
            </w:r>
          </w:p>
        </w:tc>
        <w:tc>
          <w:tcPr>
            <w:tcW w:type="dxa" w:w="106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10</w:t>
            </w:r>
          </w:p>
        </w:tc>
      </w:tr>
      <w:tr>
        <w:trPr>
          <w:cantSplit/>
        </w:trPr>
        <w:tc>
          <w:tcPr>
            <w:tcW w:type="dxa" w:w="86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12</w:t>
            </w:r>
          </w:p>
        </w:tc>
        <w:tc>
          <w:tcPr>
            <w:tcW w:type="dxa" w:w="806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Estrategias de TI</w:t>
            </w:r>
          </w:p>
        </w:tc>
        <w:tc>
          <w:tcPr>
            <w:tcW w:type="dxa" w:w="106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11</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13</w:t>
            </w:r>
          </w:p>
        </w:tc>
        <w:tc>
          <w:tcPr>
            <w:tcW w:type="dxa" w:w="80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Cartera de proyectos</w:t>
            </w:r>
          </w:p>
        </w:tc>
        <w:tc>
          <w:tcPr>
            <w:tcW w:type="dxa" w:w="106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12</w:t>
            </w:r>
          </w:p>
        </w:tc>
      </w:tr>
      <w:tr>
        <w:trPr>
          <w:cantSplit/>
        </w:trPr>
        <w:tc>
          <w:tcPr>
            <w:tcW w:type="dxa" w:w="86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14</w:t>
            </w:r>
          </w:p>
        </w:tc>
        <w:tc>
          <w:tcPr>
            <w:tcW w:type="dxa" w:w="806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Priorización</w:t>
            </w:r>
          </w:p>
        </w:tc>
        <w:tc>
          <w:tcPr>
            <w:tcW w:type="dxa" w:w="106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13</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15</w:t>
            </w:r>
          </w:p>
        </w:tc>
        <w:tc>
          <w:tcPr>
            <w:tcW w:type="dxa" w:w="80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Hoja de ruta</w:t>
            </w:r>
          </w:p>
        </w:tc>
        <w:tc>
          <w:tcPr>
            <w:tcW w:type="dxa" w:w="106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14</w:t>
            </w:r>
          </w:p>
        </w:tc>
      </w:tr>
      <w:tr>
        <w:trPr>
          <w:cantSplit/>
        </w:trPr>
        <w:tc>
          <w:tcPr>
            <w:tcW w:type="dxa" w:w="86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16</w:t>
            </w:r>
          </w:p>
        </w:tc>
        <w:tc>
          <w:tcPr>
            <w:tcW w:type="dxa" w:w="806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Recursos humanos</w:t>
            </w:r>
          </w:p>
        </w:tc>
        <w:tc>
          <w:tcPr>
            <w:tcW w:type="dxa" w:w="106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16</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17</w:t>
            </w:r>
          </w:p>
        </w:tc>
        <w:tc>
          <w:tcPr>
            <w:tcW w:type="dxa" w:w="80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Presupuesto</w:t>
            </w:r>
          </w:p>
        </w:tc>
        <w:tc>
          <w:tcPr>
            <w:tcW w:type="dxa" w:w="106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17</w:t>
            </w:r>
          </w:p>
        </w:tc>
      </w:tr>
      <w:tr>
        <w:trPr>
          <w:cantSplit/>
        </w:trPr>
        <w:tc>
          <w:tcPr>
            <w:tcW w:type="dxa" w:w="86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18</w:t>
            </w:r>
          </w:p>
        </w:tc>
        <w:tc>
          <w:tcPr>
            <w:tcW w:type="dxa" w:w="806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Indicadores</w:t>
            </w:r>
          </w:p>
        </w:tc>
        <w:tc>
          <w:tcPr>
            <w:tcW w:type="dxa" w:w="106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18</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19</w:t>
            </w:r>
          </w:p>
        </w:tc>
        <w:tc>
          <w:tcPr>
            <w:tcW w:type="dxa" w:w="80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Gestión de riesgos</w:t>
            </w:r>
          </w:p>
        </w:tc>
        <w:tc>
          <w:tcPr>
            <w:tcW w:type="dxa" w:w="106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20</w:t>
            </w:r>
          </w:p>
        </w:tc>
      </w:tr>
      <w:tr>
        <w:trPr>
          <w:cantSplit/>
        </w:trPr>
        <w:tc>
          <w:tcPr>
            <w:tcW w:type="dxa" w:w="86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20</w:t>
            </w:r>
          </w:p>
        </w:tc>
        <w:tc>
          <w:tcPr>
            <w:tcW w:type="dxa" w:w="806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Modelo de gobierno y seguimiento</w:t>
            </w:r>
          </w:p>
        </w:tc>
        <w:tc>
          <w:tcPr>
            <w:tcW w:type="dxa" w:w="106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21</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21</w:t>
            </w:r>
          </w:p>
        </w:tc>
        <w:tc>
          <w:tcPr>
            <w:tcW w:type="dxa" w:w="806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Plan de ejecución</w:t>
            </w:r>
          </w:p>
        </w:tc>
        <w:tc>
          <w:tcPr>
            <w:tcW w:type="dxa" w:w="106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23</w:t>
            </w:r>
          </w:p>
        </w:tc>
      </w:tr>
      <w:tr>
        <w:trPr>
          <w:cantSplit/>
        </w:trPr>
        <w:tc>
          <w:tcPr>
            <w:tcW w:type="dxa" w:w="86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22</w:t>
            </w:r>
          </w:p>
        </w:tc>
        <w:tc>
          <w:tcPr>
            <w:tcW w:type="dxa" w:w="806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Evaluación y actualización</w:t>
            </w:r>
          </w:p>
        </w:tc>
        <w:tc>
          <w:tcPr>
            <w:tcW w:type="dxa" w:w="106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24</w:t>
            </w:r>
          </w:p>
        </w:tc>
      </w:tr>
    </w:tbl>
    <w:p>
      <w:pPr>
        <w:spacing w:after="0"/>
      </w:pPr>
    </w:p>
    <w:p>
      <w:r>
        <w:rPr>
          <w:b w:val="0"/>
        </w:rPr>
        <w:t>T0 es la fecha futura de inicio que apruebe el patrocinador. M1 a M12 son meses desde T0; S1 a S8 son semanas del paquete inicial. Los números de página corresponden a esta edición.</w:t>
      </w:r>
    </w:p>
    <w:p>
      <w:r>
        <w:rPr>
          <w:b w:val="0"/>
        </w:rPr>
        <w:t>Las etiquetas Observado, Propuesto y Por validar distinguen la documentación técnica disponible, las decisiones de diseño y la información institucional que requiere levantamiento. Una meta no es un resultado obtenido.</w:t>
      </w:r>
    </w:p>
    <w:p>
      <w:r>
        <w:br w:type="page"/>
      </w:r>
    </w:p>
    <w:p>
      <w:pPr>
        <w:pStyle w:val="Heading1"/>
      </w:pPr>
      <w:r>
        <w:t>1 Introducción</w:t>
      </w:r>
    </w:p>
    <w:p>
      <w:r>
        <w:rPr>
          <w:b w:val="0"/>
        </w:rPr>
        <w:t>El Plan Estratégico de Tecnologías de Información organiza la contribución de CastleWalk Tickets a la atención de solicitudes entre áreas. Define qué resultados se buscan, cómo se invertirán los recursos y qué evidencia permitirá decidir si el servicio mejora la operación. Su horizonte de cinco años permite separar la puesta en orden inicial, la consolidación de servicios y las decisiones posteriores de innovación.</w:t>
      </w:r>
    </w:p>
    <w:p>
      <w:r>
        <w:rPr>
          <w:b w:val="0"/>
        </w:rPr>
        <w:t>El alcance cubre empleados y responsables internos, la aplicación web, la API, los datos de tickets, el soporte, la formación, la seguridad y la continuidad. El PETI incluye proyectos y reglas propuestas; no habilita por sí mismo despliegues, compras, transferencias de datos ni contratos. Cada decisión pasa por las autoridades descritas en el apartado 20.</w:t>
      </w:r>
    </w:p>
    <w:p>
      <w:pPr>
        <w:pStyle w:val="Heading2"/>
      </w:pPr>
      <w:r>
        <w:t>Método y criterios de evidencia</w:t>
      </w:r>
    </w:p>
    <w:p>
      <w:r>
        <w:rPr>
          <w:b w:val="0"/>
        </w:rPr>
        <w:t>Se realizó análisis documental de las notas PETI, las guías docentes y la documentación del proyecto. El diagnóstico compara capacidades descritas con resultados deseados, identifica brechas, construye estrategias y las convierte en cartera, presupuesto, cronograma y métricas. Las fuentes se identifican al final mediante códigos legibles. La estructura sigue los 22 apartados de la guía docente [F02, pp. 19–21].</w:t>
      </w:r>
    </w:p>
    <w:p>
      <w:r>
        <w:rPr>
          <w:b w:val="0"/>
        </w:rPr>
        <w:t>El diagnóstico es documental. La línea base operativa, la plantilla, el inventario físico y la carga real deben levantarse en T0. No se afirman entrevistas, mediciones productivas, pruebas ejecutadas, certificaciones ni niveles de servicio alcanzados. Los factores externos se presentan como hipótesis sujetas a validación.</w:t>
      </w:r>
    </w:p>
    <w:p>
      <w:pPr>
        <w:pStyle w:val="Heading1"/>
      </w:pPr>
      <w:r>
        <w:t>2 Antecedentes</w:t>
      </w:r>
    </w:p>
    <w:p>
      <w:r>
        <w:rPr>
          <w:b w:val="0"/>
        </w:rPr>
        <w:t>La propuesta académica plantea transformar la administración tecnológica y organizacional de CastleWalk, contextualizada en las notas de clase como una empresa de staffing en Estados Unidos. CastleWalk Tickets aporta una base de software para registrar solicitudes internas, asignarlas a responsables y conservar estados, comentarios, eventos y notificaciones [F01, F04, R01, R02].</w:t>
      </w:r>
    </w:p>
    <w:p>
      <w:r>
        <w:rPr>
          <w:b w:val="0"/>
        </w:rPr>
        <w:t>La documentación existente organiza el trabajo en descubrimiento, acuerdos, ingeniería, planificación y aceptación. Este PETI retoma sus seis objetivos y su escenario económico, y los conecta con las tres fases estratégicas solicitadas en clase: Año 1 para diagnóstico y gobierno; Años 2–3 para desarrollo, formación, adquisiciones y servicios; Años 4–5 para innovación y evaluación de IA.</w:t>
      </w:r>
    </w:p>
    <w:p>
      <w:pPr>
        <w:pStyle w:val="Heading2"/>
      </w:pPr>
      <w:r>
        <w:t>Necesidad que justifica el plan</w:t>
      </w:r>
    </w:p>
    <w:p>
      <w:r>
        <w:rPr>
          <w:b w:val="0"/>
        </w:rPr>
        <w:t>La dispersión de solicitudes, el seguimiento manual y la falta de información comparable son hipótesis del problema de negocio. Deben comprobarse antes de atribuir ahorros al sistema. La centralización solo será útil si las áreas aceptan el canal, las solicitudes tienen responsables y la información es confiable. Por ello, adopción, permisos, trazabilidad, recuperación y gobierno se planifican como un mismo servicio.</w:t>
      </w:r>
    </w:p>
    <w:p>
      <w:r>
        <w:rPr>
          <w:b w:val="0"/>
        </w:rPr>
        <w:t>La documentación técnica actual incorpora la pantalla de auditoría y los hitos de lectura, inicio y resolución. Esta capacidad actualiza descripciones anteriores; sus duraciones son de calendario y todavía no prueban cumplimiento de un SLA [R02].</w:t>
      </w:r>
    </w:p>
    <w:p>
      <w:r>
        <w:br w:type="page"/>
      </w:r>
    </w:p>
    <w:p>
      <w:pPr>
        <w:pStyle w:val="Heading1"/>
      </w:pPr>
      <w:r>
        <w:t>3 Objetivos</w:t>
      </w:r>
    </w:p>
    <w:p>
      <w:pPr>
        <w:pStyle w:val="Heading2"/>
      </w:pPr>
      <w:r>
        <w:t>Objetivo general</w:t>
      </w:r>
    </w:p>
    <w:p>
      <w:r>
        <w:rPr>
          <w:b w:val="0"/>
        </w:rPr>
        <w:t>Formular un PETI de cinco años para CastleWalk Tickets que alinee la gestión tecnológica con una atención interna ordenada, segura y medible, mediante diagnóstico, proyectos priorizados, recursos, controles y evaluación de beneficios.</w:t>
      </w:r>
    </w:p>
    <w:p>
      <w:pPr>
        <w:pStyle w:val="Heading2"/>
      </w:pPr>
      <w:r>
        <w:t>Objetivos específicos del documento</w:t>
      </w:r>
    </w:p>
    <w:p>
      <w:r>
        <w:rPr>
          <w:b w:val="0"/>
        </w:rPr>
        <w:t>• Diagnosticar la situación tecnológica y organizacional, identificar capacidades y reconocer brechas que condicionan el piloto.</w:t>
      </w:r>
    </w:p>
    <w:p>
      <w:r>
        <w:rPr>
          <w:b w:val="0"/>
        </w:rPr>
        <w:t>• Definir una arquitectura objetivo y un gobierno de TI con responsabilidades, políticas y procedimientos verificables.</w:t>
      </w:r>
    </w:p>
    <w:p>
      <w:r>
        <w:rPr>
          <w:b w:val="0"/>
        </w:rPr>
        <w:t>• Relacionar seis objetivos estratégicos con estrategias, proyectos, recursos y criterios de priorización.</w:t>
      </w:r>
    </w:p>
    <w:p>
      <w:r>
        <w:rPr>
          <w:b w:val="0"/>
        </w:rPr>
        <w:t>• Programar la ejecución inicial y la evolución a cinco años, diferenciando costos base y ampliaciones pendientes.</w:t>
      </w:r>
    </w:p>
    <w:p>
      <w:r>
        <w:rPr>
          <w:b w:val="0"/>
        </w:rPr>
        <w:t>• Establecer indicadores, pruebas de aceptación, tratamiento de riesgos y un ciclo de revisión que permita comprobar resultados.</w:t>
      </w:r>
    </w:p>
    <w:p>
      <w:r>
        <w:rPr>
          <w:b w:val="0"/>
        </w:rPr>
        <w:t>Estos objetivos describen el producto académico. Los resultados operativos comprometibles se expresan como OE01 a OE06 en el apartado 11, con fórmulas y condiciones de medición en el apartado 18.</w:t>
      </w:r>
    </w:p>
    <w:p>
      <w:pPr>
        <w:pStyle w:val="Heading1"/>
      </w:pPr>
      <w:r>
        <w:t>4 Marco institucional</w:t>
      </w:r>
    </w:p>
    <w:p>
      <w:r>
        <w:rPr>
          <w:b w:val="0"/>
        </w:rPr>
        <w:t>La atención de servicios de staffing depende de coordinación entre personas y áreas; el alcance del proyecto es el soporte administrativo interno a esa coordinación. El contexto estadounidense proviene de la nota de clase y no acredita una razón social, jurisdicción contractual, volumen de operaciones ni estructura corporativa concreta [F01].</w:t>
      </w:r>
    </w:p>
    <w:p>
      <w:r>
        <w:rPr>
          <w:b w:val="0"/>
        </w:rPr>
        <w:t>Misión propuesta del servicio: facilitar el registro y la atención responsable de solicitudes internas mediante un canal compartido, acceso autorizado e información verificable. Visión propuesta: disponer al final del horizonte de un servicio sostenible que demuestre su aporte al negocio y evolucione según evidencia de uso, capacidad y riesgo.</w:t>
      </w:r>
    </w:p>
    <w:p>
      <w:r>
        <w:rPr>
          <w:b w:val="0"/>
        </w:rPr>
        <w:t>Los principios propuestos son responsabilidad por solicitud, confidencialidad según necesidad, trazabilidad de cambios, continuidad comprobada y mejora basada en datos. La misión y la visión corporativas reales deben ser validadas por el patrocinador antes de aprobar la alineación institucional.</w:t>
      </w:r>
    </w:p>
    <w:tbl>
      <w:tblPr>
        <w:tblW w:type="auto" w:w="0"/>
        <w:jc w:val="center"/>
        <w:tblLayout w:type="fixed"/>
        <w:tblLook w:firstColumn="1" w:firstRow="1" w:lastColumn="0" w:lastRow="0" w:noHBand="0" w:noVBand="1" w:val="04A0"/>
      </w:tblPr>
      <w:tblGrid>
        <w:gridCol w:w="3240"/>
        <w:gridCol w:w="6754"/>
      </w:tblGrid>
      <w:tr>
        <w:trPr>
          <w:tblHeader/>
          <w:cantSplit/>
        </w:trPr>
        <w:tc>
          <w:tcPr>
            <w:tcW w:type="dxa" w:w="3240"/>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jc w:val="left"/>
            </w:pPr>
            <w:r>
              <w:rPr>
                <w:b/>
                <w:color w:val="FFFFFF"/>
                <w:sz w:val="18"/>
              </w:rPr>
              <w:t>Interesado</w:t>
            </w:r>
          </w:p>
        </w:tc>
        <w:tc>
          <w:tcPr>
            <w:tcW w:type="dxa" w:w="6754"/>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Necesidad que debe validar</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Patrocinador y finanzas</w:t>
            </w:r>
          </w:p>
        </w:tc>
        <w:tc>
          <w:tcPr>
            <w:tcW w:type="dxa" w:w="675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Autoridad, presupuesto, prioridades y beneficios esperados</w:t>
            </w:r>
          </w:p>
        </w:tc>
      </w:tr>
      <w:tr>
        <w:trPr>
          <w:cantSplit/>
        </w:trPr>
        <w:tc>
          <w:tcPr>
            <w:tcW w:type="dxa" w:w="32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Dueños de proceso y líderes</w:t>
            </w:r>
          </w:p>
        </w:tc>
        <w:tc>
          <w:tcPr>
            <w:tcW w:type="dxa" w:w="675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Áreas piloto, categorías, delegaciones y criterios de cierre</w:t>
            </w:r>
          </w:p>
        </w:tc>
      </w:tr>
      <w:tr>
        <w:trPr>
          <w:cantSplit/>
        </w:trPr>
        <w:tc>
          <w:tcPr>
            <w:tcW w:type="dxa" w:w="32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Empleados y responsables</w:t>
            </w:r>
          </w:p>
        </w:tc>
        <w:tc>
          <w:tcPr>
            <w:tcW w:type="dxa" w:w="675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Canales, carga, barreras de uso y necesidades de formación</w:t>
            </w:r>
          </w:p>
        </w:tc>
      </w:tr>
      <w:tr>
        <w:trPr>
          <w:cantSplit/>
        </w:trPr>
        <w:tc>
          <w:tcPr>
            <w:tcW w:type="dxa" w:w="32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TI y seguridad</w:t>
            </w:r>
          </w:p>
        </w:tc>
        <w:tc>
          <w:tcPr>
            <w:tcW w:type="dxa" w:w="675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Custodios, entorno, accesos, capacidad y tolerancias de riesgo</w:t>
            </w:r>
          </w:p>
        </w:tc>
      </w:tr>
    </w:tbl>
    <w:p>
      <w:pPr>
        <w:spacing w:after="0"/>
      </w:pPr>
    </w:p>
    <w:p>
      <w:r>
        <w:rPr>
          <w:b w:val="0"/>
        </w:rPr>
        <w:t>Las áreas de demostración del sistema no constituyen un organigrama real. En T0 se aprobarán el padrón de áreas, sus líderes, sus suplencias y los procesos elegibles; se conservará evidencia del acuerdo.</w:t>
      </w:r>
    </w:p>
    <w:p>
      <w:r>
        <w:br w:type="page"/>
      </w:r>
    </w:p>
    <w:p>
      <w:pPr>
        <w:pStyle w:val="Heading1"/>
      </w:pPr>
      <w:r>
        <w:t>5 Diagnóstico tecnológico</w:t>
      </w:r>
    </w:p>
    <w:p>
      <w:pPr>
        <w:pStyle w:val="Heading2"/>
      </w:pPr>
      <w:r>
        <w:t>Alcance del levantamiento</w:t>
      </w:r>
    </w:p>
    <w:p>
      <w:r>
        <w:rPr>
          <w:b w:val="0"/>
        </w:rPr>
        <w:t>El diagnóstico examina aplicaciones, datos, operación, personas, infraestructura y gobierno. Las observaciones de software proceden de la arquitectura y la guía de uso actuales; las fuentes académicas anteriores aportan requisitos y riesgos que deben revalidarse sobre el candidato que se vaya a desplegar. No se realizaron pruebas del sistema para elaborar este documento [F04, R01, R02].</w:t>
      </w:r>
    </w:p>
    <w:tbl>
      <w:tblPr>
        <w:tblW w:type="auto" w:w="0"/>
        <w:jc w:val="center"/>
        <w:tblLayout w:type="fixed"/>
        <w:tblLook w:firstColumn="1" w:firstRow="1" w:lastColumn="0" w:lastRow="0" w:noHBand="0" w:noVBand="1" w:val="04A0"/>
      </w:tblPr>
      <w:tblGrid>
        <w:gridCol w:w="1800"/>
        <w:gridCol w:w="3989"/>
        <w:gridCol w:w="4205"/>
      </w:tblGrid>
      <w:tr>
        <w:trPr>
          <w:tblHeader/>
          <w:cantSplit/>
        </w:trPr>
        <w:tc>
          <w:tcPr>
            <w:tcW w:type="dxa" w:w="1800"/>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jc w:val="left"/>
            </w:pPr>
            <w:r>
              <w:rPr>
                <w:b/>
                <w:color w:val="FFFFFF"/>
                <w:sz w:val="18"/>
              </w:rPr>
              <w:t>Dimensión</w:t>
            </w:r>
          </w:p>
        </w:tc>
        <w:tc>
          <w:tcPr>
            <w:tcW w:type="dxa" w:w="3989"/>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Evidencia documental</w:t>
            </w:r>
          </w:p>
        </w:tc>
        <w:tc>
          <w:tcPr>
            <w:tcW w:type="dxa" w:w="4205"/>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Pendiente de validar</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Aplicaciones</w:t>
            </w:r>
          </w:p>
        </w:tc>
        <w:tc>
          <w:tcPr>
            <w:tcW w:type="dxa" w:w="398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Next.js 16 y React 19; API NestJS 12; Prisma 6 y libSQL.</w:t>
            </w:r>
          </w:p>
        </w:tc>
        <w:tc>
          <w:tcPr>
            <w:tcW w:type="dxa" w:w="420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Entorno aprobado, versiones desplegadas y mantenimiento.</w:t>
            </w:r>
          </w:p>
        </w:tc>
      </w:tr>
      <w:tr>
        <w:trPr>
          <w:cantSplit/>
        </w:trPr>
        <w:tc>
          <w:tcPr>
            <w:tcW w:type="dxa" w:w="180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Datos y flujo</w:t>
            </w:r>
          </w:p>
        </w:tc>
        <w:tc>
          <w:tcPr>
            <w:tcW w:type="dxa" w:w="398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Tickets, áreas, usuarios, membresías, eventos, comentarios y avisos.</w:t>
            </w:r>
          </w:p>
        </w:tc>
        <w:tc>
          <w:tcPr>
            <w:tcW w:type="dxa" w:w="420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Calidad, volumen, elegibilidad y reglas de transición.</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Autorización</w:t>
            </w:r>
          </w:p>
        </w:tc>
        <w:tc>
          <w:tcPr>
            <w:tcW w:type="dxa" w:w="398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ADMIN y EMPLOYEE; permisos por relación y por área.</w:t>
            </w:r>
          </w:p>
        </w:tc>
        <w:tc>
          <w:tcPr>
            <w:tcW w:type="dxa" w:w="420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Matriz completa positiva y negativa; sesión segura en destino.</w:t>
            </w:r>
          </w:p>
        </w:tc>
      </w:tr>
      <w:tr>
        <w:trPr>
          <w:cantSplit/>
        </w:trPr>
        <w:tc>
          <w:tcPr>
            <w:tcW w:type="dxa" w:w="180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Auditoría</w:t>
            </w:r>
          </w:p>
        </w:tc>
        <w:tc>
          <w:tcPr>
            <w:tcW w:type="dxa" w:w="398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Vista /audit e hitos por ticket y persona con muestras.</w:t>
            </w:r>
          </w:p>
        </w:tc>
        <w:tc>
          <w:tcPr>
            <w:tcW w:type="dxa" w:w="420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Cobertura histórica, calidad y definiciones de indicadores.</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Infraestructura y redes</w:t>
            </w:r>
          </w:p>
        </w:tc>
        <w:tc>
          <w:tcPr>
            <w:tcW w:type="dxa" w:w="398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Composición local de base de datos y puertos de desarrollo.</w:t>
            </w:r>
          </w:p>
        </w:tc>
        <w:tc>
          <w:tcPr>
            <w:tcW w:type="dxa" w:w="420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Equipos, SO, enlaces, capacidad, inventario y segmentación.</w:t>
            </w:r>
          </w:p>
        </w:tc>
      </w:tr>
      <w:tr>
        <w:trPr>
          <w:cantSplit/>
        </w:trPr>
        <w:tc>
          <w:tcPr>
            <w:tcW w:type="dxa" w:w="180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Continuidad</w:t>
            </w:r>
          </w:p>
        </w:tc>
        <w:tc>
          <w:tcPr>
            <w:tcW w:type="dxa" w:w="398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Documentos con propuestas de RPO y RTO.</w:t>
            </w:r>
          </w:p>
        </w:tc>
        <w:tc>
          <w:tcPr>
            <w:tcW w:type="dxa" w:w="420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Copias independientes, restauración, monitoreo y responsables.</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Personas y servicio</w:t>
            </w:r>
          </w:p>
        </w:tc>
        <w:tc>
          <w:tcPr>
            <w:tcW w:type="dxa" w:w="398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Modelo de líderes, miembros y delegaciones.</w:t>
            </w:r>
          </w:p>
        </w:tc>
        <w:tc>
          <w:tcPr>
            <w:tcW w:type="dxa" w:w="420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Dotación, carga, formación, suplencia y cobertura.</w:t>
            </w:r>
          </w:p>
        </w:tc>
      </w:tr>
      <w:tr>
        <w:trPr>
          <w:cantSplit/>
        </w:trPr>
        <w:tc>
          <w:tcPr>
            <w:tcW w:type="dxa" w:w="180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Gobierno y economía</w:t>
            </w:r>
          </w:p>
        </w:tc>
        <w:tc>
          <w:tcPr>
            <w:tcW w:type="dxa" w:w="398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Manual propuesto y escenario de 320 horas.</w:t>
            </w:r>
          </w:p>
        </w:tc>
        <w:tc>
          <w:tcPr>
            <w:tcW w:type="dxa" w:w="420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Aprobaciones, contratos, licencias y fondos.</w:t>
            </w:r>
          </w:p>
        </w:tc>
      </w:tr>
    </w:tbl>
    <w:p>
      <w:pPr>
        <w:spacing w:after="0"/>
      </w:pPr>
    </w:p>
    <w:p>
      <w:pPr>
        <w:pStyle w:val="Heading2"/>
      </w:pPr>
      <w:r>
        <w:t>Instrumentos de diagnóstico en T0</w:t>
      </w:r>
    </w:p>
    <w:p>
      <w:r>
        <w:rPr>
          <w:b w:val="0"/>
        </w:rPr>
        <w:t>TI levantará un inventario con ID, activo, versión, custodio, ubicación, criticidad, soporte, licencia y servicio asociado. Operación documentará red, enlaces, respaldos y dependencias. Los dueños de proceso conciliarán una muestra de solicitudes de todos los canales y registrarán categoría, responsable, tiempo manual y desenlace. Seguridad revisará accesos y configuración sin copiar secretos a los informes.</w:t>
      </w:r>
    </w:p>
    <w:p>
      <w:r>
        <w:rPr>
          <w:b w:val="0"/>
        </w:rPr>
        <w:t>Cada hallazgo tendrá evidencia fechada, responsable, impacto y criterio de cierre. La clasificación será Observado, Propuesto o Por validar. La ausencia de datos no equivale a un cero ni permite declarar madurez o incumplimiento. El inventario se aprobará al final de M1 y se actualizará con cada cambio relevante.</w:t>
      </w:r>
    </w:p>
    <w:p>
      <w:pPr>
        <w:pStyle w:val="Heading2"/>
      </w:pPr>
      <w:r>
        <w:t>Conclusión del diagnóstico</w:t>
      </w:r>
    </w:p>
    <w:p>
      <w:r>
        <w:rPr>
          <w:b w:val="0"/>
        </w:rPr>
        <w:t>Existe una base funcional que reduce la necesidad de partir de cero. La brecha principal es convertirla en servicio aceptado y operable: reglas de negocio acordadas, controles probados, recuperación, capacidad y medición. Se recomienda un piloto limitado y reversible, condicionado a los criterios de apertura y a la conciliación de T0.</w:t>
      </w:r>
    </w:p>
    <w:p>
      <w:r>
        <w:br w:type="page"/>
      </w:r>
    </w:p>
    <w:p>
      <w:pPr>
        <w:pStyle w:val="Heading2"/>
      </w:pPr>
      <w:r>
        <w:t>Análisis del entorno y del problema</w:t>
      </w:r>
    </w:p>
    <w:p>
      <w:r>
        <w:rPr>
          <w:b w:val="0"/>
        </w:rPr>
        <w:t>Las siguientes herramientas complementan el diagnóstico. Son hipótesis cualitativas de planificación, no hallazgos de mercado ni dictámenes regulatorios. Cada hipótesis tiene una validación y una consecuencia para el PETI.</w:t>
      </w:r>
    </w:p>
    <w:p>
      <w:pPr>
        <w:pStyle w:val="Heading2"/>
      </w:pPr>
      <w:r>
        <w:t>PESTEL y validación del entorno</w:t>
      </w:r>
    </w:p>
    <w:tbl>
      <w:tblPr>
        <w:tblW w:type="auto" w:w="0"/>
        <w:jc w:val="center"/>
        <w:tblLayout w:type="fixed"/>
        <w:tblLook w:firstColumn="1" w:firstRow="1" w:lastColumn="0" w:lastRow="0" w:noHBand="0" w:noVBand="1" w:val="04A0"/>
      </w:tblPr>
      <w:tblGrid>
        <w:gridCol w:w="1440"/>
        <w:gridCol w:w="6336"/>
        <w:gridCol w:w="2218"/>
      </w:tblGrid>
      <w:tr>
        <w:trPr>
          <w:tblHeader/>
          <w:cantSplit/>
        </w:trPr>
        <w:tc>
          <w:tcPr>
            <w:tcW w:type="dxa" w:w="1440"/>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jc w:val="left"/>
            </w:pPr>
            <w:r>
              <w:rPr>
                <w:b/>
                <w:color w:val="FFFFFF"/>
                <w:sz w:val="18"/>
              </w:rPr>
              <w:t>Factor</w:t>
            </w:r>
          </w:p>
        </w:tc>
        <w:tc>
          <w:tcPr>
            <w:tcW w:type="dxa" w:w="6336"/>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Hipótesis y decisión a validar</w:t>
            </w:r>
          </w:p>
        </w:tc>
        <w:tc>
          <w:tcPr>
            <w:tcW w:type="dxa" w:w="2218"/>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Responsable</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Político</w:t>
            </w:r>
          </w:p>
        </w:tc>
        <w:tc>
          <w:tcPr>
            <w:tcW w:type="dxa" w:w="63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Cambios en políticas de contratación podrían variar la demanda interna. Revisar escenarios, sin presumir cambios vigentes.</w:t>
            </w:r>
          </w:p>
        </w:tc>
        <w:tc>
          <w:tcPr>
            <w:tcW w:type="dxa" w:w="221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Patrocinador</w:t>
            </w:r>
          </w:p>
        </w:tc>
      </w:tr>
      <w:tr>
        <w:trPr>
          <w:cantSplit/>
        </w:trPr>
        <w:tc>
          <w:tcPr>
            <w:tcW w:type="dxa" w:w="14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Económico</w:t>
            </w:r>
          </w:p>
        </w:tc>
        <w:tc>
          <w:tcPr>
            <w:tcW w:type="dxa" w:w="633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Variaciones de demanda y costos pueden reducir capacidad. Contrastar carga, fondos y sensibilidad presupuestaria.</w:t>
            </w:r>
          </w:p>
        </w:tc>
        <w:tc>
          <w:tcPr>
            <w:tcW w:type="dxa" w:w="221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Finanzas</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Social</w:t>
            </w:r>
          </w:p>
        </w:tc>
        <w:tc>
          <w:tcPr>
            <w:tcW w:type="dxa" w:w="63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Hábitos de correo o mensajería pueden limitar adopción. Entrevistar áreas y probar formación accesible.</w:t>
            </w:r>
          </w:p>
        </w:tc>
        <w:tc>
          <w:tcPr>
            <w:tcW w:type="dxa" w:w="221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Dueños de proceso</w:t>
            </w:r>
          </w:p>
        </w:tc>
      </w:tr>
      <w:tr>
        <w:trPr>
          <w:cantSplit/>
        </w:trPr>
        <w:tc>
          <w:tcPr>
            <w:tcW w:type="dxa" w:w="14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Tecnológico</w:t>
            </w:r>
          </w:p>
        </w:tc>
        <w:tc>
          <w:tcPr>
            <w:tcW w:type="dxa" w:w="633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Dependencias y amenazas cambian. Revisar soporte, parches y compatibilidad antes de cada entrega.</w:t>
            </w:r>
          </w:p>
        </w:tc>
        <w:tc>
          <w:tcPr>
            <w:tcW w:type="dxa" w:w="221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TI y seguridad</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Ambiental</w:t>
            </w:r>
          </w:p>
        </w:tc>
        <w:tc>
          <w:tcPr>
            <w:tcW w:type="dxa" w:w="63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Interrupciones de energía o conectividad pueden afectar atención. Validar ubicaciones y alternativas de continuidad.</w:t>
            </w:r>
          </w:p>
        </w:tc>
        <w:tc>
          <w:tcPr>
            <w:tcW w:type="dxa" w:w="221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Operación</w:t>
            </w:r>
          </w:p>
        </w:tc>
      </w:tr>
      <w:tr>
        <w:trPr>
          <w:cantSplit/>
        </w:trPr>
        <w:tc>
          <w:tcPr>
            <w:tcW w:type="dxa" w:w="14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Legal</w:t>
            </w:r>
          </w:p>
        </w:tc>
        <w:tc>
          <w:tcPr>
            <w:tcW w:type="dxa" w:w="633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Privacidad, contratación y retención dependen de datos y jurisdicción. Validar obligaciones con asesoría competente.</w:t>
            </w:r>
          </w:p>
        </w:tc>
        <w:tc>
          <w:tcPr>
            <w:tcW w:type="dxa" w:w="221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Asesoría y seguridad</w:t>
            </w:r>
          </w:p>
        </w:tc>
      </w:tr>
    </w:tbl>
    <w:p>
      <w:pPr>
        <w:spacing w:after="0"/>
      </w:pPr>
    </w:p>
    <w:p>
      <w:pPr>
        <w:pStyle w:val="Heading2"/>
      </w:pPr>
      <w:r>
        <w:t>Cinco fuerzas de Porter</w:t>
      </w:r>
    </w:p>
    <w:p>
      <w:r>
        <w:rPr>
          <w:b w:val="0"/>
        </w:rPr>
        <w:t>La herramienta sitúa la tecnología frente al negocio; el ticket interno no es un producto con cuota de mercado medida. Rivalidad: una atención interna lenta podría afectar la capacidad de responder al cliente, pero falta evidencia de competidores. Clientes: sus expectativas deben traducirse en prioridades validadas. Proveedores: alojamiento y mantenimiento pueden crear dependencia; TI debe estudiar soporte y salida de datos. Nuevos entrantes: alternativas digitales podrían exigir mayor agilidad; estrategia validará el escenario. Sustitutos: correo, hojas de cálculo y plataformas SaaS pueden competir como canal; el dueño del servicio comparará costo total, facilidad y control antes de ampliar.</w:t>
      </w:r>
    </w:p>
    <w:p>
      <w:pPr>
        <w:pStyle w:val="Heading2"/>
      </w:pPr>
      <w:r>
        <w:t>Árbol de problemas y causa y efecto</w:t>
      </w:r>
    </w:p>
    <w:p>
      <w:r>
        <w:rPr>
          <w:b w:val="0"/>
        </w:rPr>
        <w:t>Problema central por comprobar: solicitudes internas con seguimiento fragmentado y evidencia insuficiente para gestionar la atención. Causas raíz propuestas: canales dispersos, reglas no acordadas, carga desconocida, permisos mal delegados y ausencia de un ciclo periódico de revisión. Efectos posibles: retrabajo, demoras no detectadas, pérdida de responsabilidad y decisiones sin datos. T0 debe determinar cuáles existen y con qué intensidad.</w:t>
      </w:r>
    </w:p>
    <w:p>
      <w:r>
        <w:rPr>
          <w:b w:val="0"/>
        </w:rPr>
        <w:t>La revisión de causa y efecto agrupa Personas —formación y suplencia—; Métodos —prioridad, estados y cierre—; Tecnología —integridad y configuración—; Datos —eventos incompletos y muestras—; Entorno —conectividad y demanda—; y Gestión —propiedad y capacidad—. Cada grupo se valida mediante entrevista, conciliación documental o ensayo autorizado. P01 y P06 levantan evidencia; P02 a P05 tratan las causas confirmadas. El resultado no debe confundirse con un incidente ya ocurrido.</w:t>
      </w:r>
    </w:p>
    <w:p>
      <w:r>
        <w:br w:type="page"/>
      </w:r>
    </w:p>
    <w:p>
      <w:pPr>
        <w:pStyle w:val="Heading1"/>
      </w:pPr>
      <w:r>
        <w:t>6 Análisis FODA de TI</w:t>
      </w:r>
    </w:p>
    <w:tbl>
      <w:tblPr>
        <w:tblW w:type="auto" w:w="0"/>
        <w:jc w:val="center"/>
        <w:tblLayout w:type="fixed"/>
        <w:tblLook w:firstColumn="1" w:firstRow="1" w:lastColumn="0" w:lastRow="0" w:noHBand="0" w:noVBand="1" w:val="04A0"/>
      </w:tblPr>
      <w:tblGrid>
        <w:gridCol w:w="4997"/>
        <w:gridCol w:w="4997"/>
      </w:tblGrid>
      <w:tr>
        <w:trPr>
          <w:tblHeader/>
          <w:cantSplit/>
        </w:trPr>
        <w:tc>
          <w:tcPr>
            <w:tcW w:type="dxa" w:w="4997"/>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Fortalezas documentadas</w:t>
            </w:r>
          </w:p>
        </w:tc>
        <w:tc>
          <w:tcPr>
            <w:tcW w:type="dxa" w:w="4997"/>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Debilidades y evidencia pendiente</w:t>
            </w:r>
          </w:p>
        </w:tc>
      </w:tr>
      <w:tr>
        <w:trPr>
          <w:cantSplit/>
        </w:trPr>
        <w:tc>
          <w:tcPr>
            <w:tcW w:type="dxa" w:w="499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Modelo de tickets, áreas y responsabilidades explícitas.</w:t>
            </w:r>
          </w:p>
        </w:tc>
        <w:tc>
          <w:tcPr>
            <w:tcW w:type="dxa" w:w="499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Reglas institucionales de asignación, estados y cierre por aprobar.</w:t>
            </w:r>
          </w:p>
        </w:tc>
      </w:tr>
      <w:tr>
        <w:trPr>
          <w:cantSplit/>
        </w:trPr>
        <w:tc>
          <w:tcPr>
            <w:tcW w:type="dxa" w:w="499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Separación entre web, API y datos; permisos en servidor.</w:t>
            </w:r>
          </w:p>
        </w:tc>
        <w:tc>
          <w:tcPr>
            <w:tcW w:type="dxa" w:w="499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Configuración productiva y matriz de casos críticos sin prueba aportada al PETI.</w:t>
            </w:r>
          </w:p>
        </w:tc>
      </w:tr>
      <w:tr>
        <w:trPr>
          <w:cantSplit/>
        </w:trPr>
        <w:tc>
          <w:tcPr>
            <w:tcW w:type="dxa" w:w="499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Eventos y auditoría temporal por ticket y persona.</w:t>
            </w:r>
          </w:p>
        </w:tc>
        <w:tc>
          <w:tcPr>
            <w:tcW w:type="dxa" w:w="499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Historia de lecturas incompleta y duraciones sin calendario laboral.</w:t>
            </w:r>
          </w:p>
        </w:tc>
      </w:tr>
      <w:tr>
        <w:trPr>
          <w:cantSplit/>
        </w:trPr>
        <w:tc>
          <w:tcPr>
            <w:tcW w:type="dxa" w:w="499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Documentación de requisitos, pruebas, riesgos y costos.</w:t>
            </w:r>
          </w:p>
        </w:tc>
        <w:tc>
          <w:tcPr>
            <w:tcW w:type="dxa" w:w="499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Sin línea base operativa, capacidad acreditada ni recuperación demostrada.</w:t>
            </w:r>
          </w:p>
        </w:tc>
      </w:tr>
    </w:tbl>
    <w:p>
      <w:pPr>
        <w:spacing w:after="0"/>
      </w:pPr>
    </w:p>
    <w:tbl>
      <w:tblPr>
        <w:tblW w:type="auto" w:w="0"/>
        <w:jc w:val="center"/>
        <w:tblLayout w:type="fixed"/>
        <w:tblLook w:firstColumn="1" w:firstRow="1" w:lastColumn="0" w:lastRow="0" w:noHBand="0" w:noVBand="1" w:val="04A0"/>
      </w:tblPr>
      <w:tblGrid>
        <w:gridCol w:w="4997"/>
        <w:gridCol w:w="4997"/>
      </w:tblGrid>
      <w:tr>
        <w:trPr>
          <w:tblHeader/>
          <w:cantSplit/>
        </w:trPr>
        <w:tc>
          <w:tcPr>
            <w:tcW w:type="dxa" w:w="4997"/>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Oportunidades por validar</w:t>
            </w:r>
          </w:p>
        </w:tc>
        <w:tc>
          <w:tcPr>
            <w:tcW w:type="dxa" w:w="4997"/>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Amenazas por evaluar</w:t>
            </w:r>
          </w:p>
        </w:tc>
      </w:tr>
      <w:tr>
        <w:trPr>
          <w:cantSplit/>
        </w:trPr>
        <w:tc>
          <w:tcPr>
            <w:tcW w:type="dxa" w:w="499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Adoptar un canal único y conciliar demanda entre áreas.</w:t>
            </w:r>
          </w:p>
        </w:tc>
        <w:tc>
          <w:tcPr>
            <w:tcW w:type="dxa" w:w="499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Doble registro, abandono del canal o resistencia a nuevos hábitos.</w:t>
            </w:r>
          </w:p>
        </w:tc>
      </w:tr>
      <w:tr>
        <w:trPr>
          <w:cantSplit/>
        </w:trPr>
        <w:tc>
          <w:tcPr>
            <w:tcW w:type="dxa" w:w="499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Formar responsables y revisar decisiones con indicadores.</w:t>
            </w:r>
          </w:p>
        </w:tc>
        <w:tc>
          <w:tcPr>
            <w:tcW w:type="dxa" w:w="499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Dependencia de una persona o sobrecarga de soporte.</w:t>
            </w:r>
          </w:p>
        </w:tc>
      </w:tr>
      <w:tr>
        <w:trPr>
          <w:cantSplit/>
        </w:trPr>
        <w:tc>
          <w:tcPr>
            <w:tcW w:type="dxa" w:w="499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Establecer controles y recuperación repetibles.</w:t>
            </w:r>
          </w:p>
        </w:tc>
        <w:tc>
          <w:tcPr>
            <w:tcW w:type="dxa" w:w="499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Exposición por privilegios, pérdida de datos o indisponibilidad.</w:t>
            </w:r>
          </w:p>
        </w:tc>
      </w:tr>
      <w:tr>
        <w:trPr>
          <w:cantSplit/>
        </w:trPr>
        <w:tc>
          <w:tcPr>
            <w:tcW w:type="dxa" w:w="499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Evaluar mejoras e innovación cuando exista evidencia.</w:t>
            </w:r>
          </w:p>
        </w:tc>
        <w:tc>
          <w:tcPr>
            <w:tcW w:type="dxa" w:w="499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Compras o automatización sin beneficio demostrado ni fondos.</w:t>
            </w:r>
          </w:p>
        </w:tc>
      </w:tr>
    </w:tbl>
    <w:p>
      <w:pPr>
        <w:spacing w:after="0"/>
      </w:pPr>
    </w:p>
    <w:p>
      <w:pPr>
        <w:pStyle w:val="Heading2"/>
      </w:pPr>
      <w:r>
        <w:t>Estrategias derivadas</w:t>
      </w:r>
    </w:p>
    <w:p>
      <w:r>
        <w:rPr>
          <w:b w:val="0"/>
        </w:rPr>
        <w:t>FO: usar las capacidades de seguimiento para demostrar valor en un piloto pequeño y formar referentes. DO: resolver reglas, calidad de datos y medición antes de comparar resultados. FA: aprovechar los permisos y eventos para revisar accesos y detectar incumplimientos; demostrar recuperación. DA: limitar la apertura, asegurar suplencias y detener ampliaciones cuando la demanda supere capacidad o existan riesgos críticos sin tratamiento.</w:t>
      </w:r>
    </w:p>
    <w:p>
      <w:pPr>
        <w:pStyle w:val="Heading2"/>
      </w:pPr>
      <w:r>
        <w:t>Aplicabilidad de la matriz BCG</w:t>
      </w:r>
    </w:p>
    <w:p>
      <w:r>
        <w:rPr>
          <w:b w:val="0"/>
        </w:rPr>
        <w:t>Una BCG tradicional exige crecimiento del mercado y participación relativa de productos o unidades comparables. No se dispone de esos datos para CastleWalk ni se ha definido un mercado del servicio interno. Por ello no se asignan cuadrantes estrella, vaca, interrogante o perro a los seis proyectos; hacerlo produciría una precisión ficticia.</w:t>
      </w:r>
    </w:p>
    <w:p>
      <w:r>
        <w:rPr>
          <w:b w:val="0"/>
        </w:rPr>
        <w:t>Para usarla en el futuro, estrategia debe definir unidades y mercado, obtener series verificables de demanda o ingresos, calcular participación frente al competidor pertinente y documentar el periodo. Los proyectos de TI se evalúan aquí mediante impacto, reducción de riesgo, urgencia, viabilidad y un filtro explícito de beneficio y costo. Ese filtro es una selección de cartera, no una BCG calculada.</w:t>
      </w:r>
    </w:p>
    <w:p>
      <w:r>
        <w:rPr>
          <w:b w:val="0"/>
        </w:rPr>
        <w:t>La FODA y los análisis del entorno se revisarán en M3 y después anualmente. Una amenaza solo cambia la prioridad cuando se documenta su relación con un servicio, activo o resultado y el comité acepta el supuesto de tratamiento.</w:t>
      </w:r>
    </w:p>
    <w:p>
      <w:r>
        <w:br w:type="page"/>
      </w:r>
    </w:p>
    <w:p>
      <w:pPr>
        <w:pStyle w:val="Heading1"/>
      </w:pPr>
      <w:r>
        <w:t>7 Inventario de capacidades</w:t>
      </w:r>
    </w:p>
    <w:tbl>
      <w:tblPr>
        <w:tblW w:type="auto" w:w="0"/>
        <w:jc w:val="center"/>
        <w:tblLayout w:type="fixed"/>
        <w:tblLook w:firstColumn="1" w:firstRow="1" w:lastColumn="0" w:lastRow="0" w:noHBand="0" w:noVBand="1" w:val="04A0"/>
      </w:tblPr>
      <w:tblGrid>
        <w:gridCol w:w="2304"/>
        <w:gridCol w:w="3384"/>
        <w:gridCol w:w="4306"/>
      </w:tblGrid>
      <w:tr>
        <w:trPr>
          <w:tblHeader/>
          <w:cantSplit/>
        </w:trPr>
        <w:tc>
          <w:tcPr>
            <w:tcW w:type="dxa" w:w="2304"/>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jc w:val="left"/>
            </w:pPr>
            <w:r>
              <w:rPr>
                <w:b/>
                <w:color w:val="FFFFFF"/>
                <w:sz w:val="18"/>
              </w:rPr>
              <w:t>Capacidad</w:t>
            </w:r>
          </w:p>
        </w:tc>
        <w:tc>
          <w:tcPr>
            <w:tcW w:type="dxa" w:w="3384"/>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Estado documental</w:t>
            </w:r>
          </w:p>
        </w:tc>
        <w:tc>
          <w:tcPr>
            <w:tcW w:type="dxa" w:w="4306"/>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Evidencia de capacidad objetivo</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Registro y atención</w:t>
            </w:r>
          </w:p>
        </w:tc>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Implementada en código.</w:t>
            </w:r>
          </w:p>
        </w:tc>
        <w:tc>
          <w:tcPr>
            <w:tcW w:type="dxa" w:w="430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UAT de creación, asignación, atención y cierre.</w:t>
            </w:r>
          </w:p>
        </w:tc>
      </w:tr>
      <w:tr>
        <w:trPr>
          <w:cantSplit/>
        </w:trPr>
        <w:tc>
          <w:tcPr>
            <w:tcW w:type="dxa" w:w="230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Organización y delegación</w:t>
            </w:r>
          </w:p>
        </w:tc>
        <w:tc>
          <w:tcPr>
            <w:tcW w:type="dxa" w:w="33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Áreas y membresías implementadas.</w:t>
            </w:r>
          </w:p>
        </w:tc>
        <w:tc>
          <w:tcPr>
            <w:tcW w:type="dxa" w:w="430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Padrón real aprobado y accesos recertificados.</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Trazabilidad y auditoría</w:t>
            </w:r>
          </w:p>
        </w:tc>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Eventos e hitos disponibles; historia parcial.</w:t>
            </w:r>
          </w:p>
        </w:tc>
        <w:tc>
          <w:tcPr>
            <w:tcW w:type="dxa" w:w="430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Muestra conciliada con actor, fecha y cambios.</w:t>
            </w:r>
          </w:p>
        </w:tc>
      </w:tr>
      <w:tr>
        <w:trPr>
          <w:cantSplit/>
        </w:trPr>
        <w:tc>
          <w:tcPr>
            <w:tcW w:type="dxa" w:w="230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Seguridad del servicio</w:t>
            </w:r>
          </w:p>
        </w:tc>
        <w:tc>
          <w:tcPr>
            <w:tcW w:type="dxa" w:w="33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Permisos por rol y relación documentados.</w:t>
            </w:r>
          </w:p>
        </w:tc>
        <w:tc>
          <w:tcPr>
            <w:tcW w:type="dxa" w:w="430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Casos críticos y configuración objetivo verificados.</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Operación y continuidad</w:t>
            </w:r>
          </w:p>
        </w:tc>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Propuesta de procedimientos.</w:t>
            </w:r>
          </w:p>
        </w:tc>
        <w:tc>
          <w:tcPr>
            <w:tcW w:type="dxa" w:w="430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Monitor, copia independiente y restauración probada.</w:t>
            </w:r>
          </w:p>
        </w:tc>
      </w:tr>
      <w:tr>
        <w:trPr>
          <w:cantSplit/>
        </w:trPr>
        <w:tc>
          <w:tcPr>
            <w:tcW w:type="dxa" w:w="230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Personas y gobierno</w:t>
            </w:r>
          </w:p>
        </w:tc>
        <w:tc>
          <w:tcPr>
            <w:tcW w:type="dxa" w:w="33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Funciones propuestas.</w:t>
            </w:r>
          </w:p>
        </w:tc>
        <w:tc>
          <w:tcPr>
            <w:tcW w:type="dxa" w:w="430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Designaciones, formación y actas mensuales.</w:t>
            </w:r>
          </w:p>
        </w:tc>
      </w:tr>
      <w:tr>
        <w:trPr>
          <w:cantSplit/>
        </w:trPr>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Activos y proveedores</w:t>
            </w:r>
          </w:p>
        </w:tc>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Tecnologías declaradas; inventario físico ausente.</w:t>
            </w:r>
          </w:p>
        </w:tc>
        <w:tc>
          <w:tcPr>
            <w:tcW w:type="dxa" w:w="430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Inventario, licencias, soporte y plan de salida.</w:t>
            </w:r>
          </w:p>
        </w:tc>
      </w:tr>
    </w:tbl>
    <w:p>
      <w:pPr>
        <w:spacing w:after="0"/>
      </w:pPr>
    </w:p>
    <w:p>
      <w:r>
        <w:rPr>
          <w:b w:val="0"/>
        </w:rPr>
        <w:t>El inventario de capacidades no sustituye al registro de activos. TI conciliará aplicaciones, infraestructura, red, identidades técnicas, contratos y conocimiento crítico; el dueño de cada activo aprobará criticidad y acceso. Las cantidades de equipos y personas se registrarán después del levantamiento.</w:t>
      </w:r>
    </w:p>
    <w:p>
      <w:pPr>
        <w:pStyle w:val="Heading1"/>
      </w:pPr>
      <w:r>
        <w:t>8 Identificación de brechas</w:t>
      </w:r>
    </w:p>
    <w:tbl>
      <w:tblPr>
        <w:tblW w:type="auto" w:w="0"/>
        <w:jc w:val="center"/>
        <w:tblLayout w:type="fixed"/>
        <w:tblLook w:firstColumn="1" w:firstRow="1" w:lastColumn="0" w:lastRow="0" w:noHBand="0" w:noVBand="1" w:val="04A0"/>
      </w:tblPr>
      <w:tblGrid>
        <w:gridCol w:w="1728"/>
        <w:gridCol w:w="4320"/>
        <w:gridCol w:w="3946"/>
      </w:tblGrid>
      <w:tr>
        <w:trPr>
          <w:tblHeader/>
          <w:cantSplit/>
        </w:trPr>
        <w:tc>
          <w:tcPr>
            <w:tcW w:type="dxa" w:w="1728"/>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jc w:val="left"/>
            </w:pPr>
            <w:r>
              <w:rPr>
                <w:b/>
                <w:color w:val="FFFFFF"/>
                <w:sz w:val="18"/>
              </w:rPr>
              <w:t>Brecha</w:t>
            </w:r>
          </w:p>
        </w:tc>
        <w:tc>
          <w:tcPr>
            <w:tcW w:type="dxa" w:w="4320"/>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Cambio requerido</w:t>
            </w:r>
          </w:p>
        </w:tc>
        <w:tc>
          <w:tcPr>
            <w:tcW w:type="dxa" w:w="3946"/>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Cierre y vínculo</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B01 Adopción</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De demanda no medida a registro conciliado.</w:t>
            </w:r>
          </w:p>
        </w:tc>
        <w:tc>
          <w:tcPr>
            <w:tcW w:type="dxa" w:w="394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P01 → OE01; captura ≥90% M6.</w:t>
            </w:r>
          </w:p>
        </w:tc>
      </w:tr>
      <w:tr>
        <w:trPr>
          <w:cantSplit/>
        </w:trPr>
        <w:tc>
          <w:tcPr>
            <w:tcW w:type="dxa" w:w="172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B02 Flujo</w:t>
            </w:r>
          </w:p>
        </w:tc>
        <w:tc>
          <w:tcPr>
            <w:tcW w:type="dxa" w:w="43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De reglas propuestas a flujo acordado y medido.</w:t>
            </w:r>
          </w:p>
        </w:tc>
        <w:tc>
          <w:tcPr>
            <w:tcW w:type="dxa" w:w="394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P02 → OE02; seguimiento −20% M12.</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B03 Evidencia</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De eventos parciales a trazabilidad verificable.</w:t>
            </w:r>
          </w:p>
        </w:tc>
        <w:tc>
          <w:tcPr>
            <w:tcW w:type="dxa" w:w="394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P03 → OE03; ≥95% M3.</w:t>
            </w:r>
          </w:p>
        </w:tc>
      </w:tr>
      <w:tr>
        <w:trPr>
          <w:cantSplit/>
        </w:trPr>
        <w:tc>
          <w:tcPr>
            <w:tcW w:type="dxa" w:w="172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B04 Accesos</w:t>
            </w:r>
          </w:p>
        </w:tc>
        <w:tc>
          <w:tcPr>
            <w:tcW w:type="dxa" w:w="43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De permisos descritos a control probado.</w:t>
            </w:r>
          </w:p>
        </w:tc>
        <w:tc>
          <w:tcPr>
            <w:tcW w:type="dxa" w:w="394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P04 → OE04; 100% casos críticos.</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B05 Continuidad</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De diseño a recuperación demostrada.</w:t>
            </w:r>
          </w:p>
        </w:tc>
        <w:tc>
          <w:tcPr>
            <w:tcW w:type="dxa" w:w="394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P05 → OE05; restauración y ensayos.</w:t>
            </w:r>
          </w:p>
        </w:tc>
      </w:tr>
      <w:tr>
        <w:trPr>
          <w:cantSplit/>
        </w:trPr>
        <w:tc>
          <w:tcPr>
            <w:tcW w:type="dxa" w:w="172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B06 Gobierno</w:t>
            </w:r>
          </w:p>
        </w:tc>
        <w:tc>
          <w:tcPr>
            <w:tcW w:type="dxa" w:w="43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De indicadores definidos a decisiones periódicas.</w:t>
            </w:r>
          </w:p>
        </w:tc>
        <w:tc>
          <w:tcPr>
            <w:tcW w:type="dxa" w:w="394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P06 → OE06; 100% áreas M6.</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B07 Capacidad</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De recursos desconocidos a capacidad aprobada.</w:t>
            </w:r>
          </w:p>
        </w:tc>
        <w:tc>
          <w:tcPr>
            <w:tcW w:type="dxa" w:w="394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P01/P05; inventario y plan de adquisición.</w:t>
            </w:r>
          </w:p>
        </w:tc>
      </w:tr>
    </w:tbl>
    <w:p>
      <w:pPr>
        <w:spacing w:after="0"/>
      </w:pPr>
    </w:p>
    <w:p>
      <w:r>
        <w:rPr>
          <w:b w:val="0"/>
        </w:rPr>
        <w:t>Las brechas de seguridad y recuperación impiden abrir el piloto si no se cumplen sus condiciones críticas. Las mejoras de años posteriores se presupuestarán por separado; el hecho de identificar una brecha no aprueba una compra. La evidencia de cierre debe constar en acta, prueba o registro verificable con fecha y responsable.</w:t>
      </w:r>
    </w:p>
    <w:p>
      <w:r>
        <w:br w:type="page"/>
      </w:r>
    </w:p>
    <w:p>
      <w:pPr>
        <w:pStyle w:val="Heading1"/>
      </w:pPr>
      <w:r>
        <w:t>9 Arquitectura tecnológica actual</w:t>
      </w:r>
    </w:p>
    <w:p>
      <w:r>
        <w:rPr>
          <w:b w:val="0"/>
        </w:rPr>
        <w:t>La documentación describe un monorepo con interfaz Next.js 16 y React 19, API NestJS 12 y acceso mediante Prisma 6 a libSQL. La web se comunica por HTTP JSON con la API, que aplica autenticación y autorización antes de acceder a los datos. Los puertos 3000, 3006 y 8080 son referencias locales de desarrollo [R01].</w:t>
      </w:r>
    </w:p>
    <w:tbl>
      <w:tblPr>
        <w:tblW w:type="auto" w:w="0"/>
        <w:jc w:val="center"/>
        <w:tblLayout w:type="fixed"/>
        <w:tblLook w:firstColumn="1" w:firstRow="1" w:lastColumn="0" w:lastRow="0" w:noHBand="0" w:noVBand="1" w:val="04A0"/>
      </w:tblPr>
      <w:tblGrid>
        <w:gridCol w:w="2016"/>
        <w:gridCol w:w="7978"/>
      </w:tblGrid>
      <w:tr>
        <w:trPr>
          <w:tblHeader/>
          <w:cantSplit/>
        </w:trPr>
        <w:tc>
          <w:tcPr>
            <w:tcW w:type="dxa" w:w="2016"/>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jc w:val="left"/>
            </w:pPr>
            <w:r>
              <w:rPr>
                <w:b/>
                <w:color w:val="FFFFFF"/>
                <w:sz w:val="18"/>
              </w:rPr>
              <w:t>Capa</w:t>
            </w:r>
          </w:p>
        </w:tc>
        <w:tc>
          <w:tcPr>
            <w:tcW w:type="dxa" w:w="7978"/>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Componentes y responsabilidades actuales</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Presentación</w:t>
            </w:r>
          </w:p>
        </w:tc>
        <w:tc>
          <w:tcPr>
            <w:tcW w:type="dxa" w:w="797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Inicio, tickets, detalle, organización, usuarios y auditoría /audit.</w:t>
            </w:r>
          </w:p>
        </w:tc>
      </w:tr>
      <w:tr>
        <w:trPr>
          <w:cantSplit/>
        </w:trPr>
        <w:tc>
          <w:tcPr>
            <w:tcW w:type="dxa" w:w="201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Servicio</w:t>
            </w:r>
          </w:p>
        </w:tc>
        <w:tc>
          <w:tcPr>
            <w:tcW w:type="dxa" w:w="797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API /api; autenticación JWT en cookie httpOnly; reglas de tickets y áreas.</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Persistencia</w:t>
            </w:r>
          </w:p>
        </w:tc>
        <w:tc>
          <w:tcPr>
            <w:tcW w:type="dxa" w:w="797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User, Area, AreaMembership, Ticket, TicketComment, TicketEvent, Notification y TicketCounter.</w:t>
            </w:r>
          </w:p>
        </w:tc>
      </w:tr>
      <w:tr>
        <w:trPr>
          <w:cantSplit/>
        </w:trPr>
        <w:tc>
          <w:tcPr>
            <w:tcW w:type="dxa" w:w="201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Autorización</w:t>
            </w:r>
          </w:p>
        </w:tc>
        <w:tc>
          <w:tcPr>
            <w:tcW w:type="dxa" w:w="797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ADMIN y EMPLOYEE; líder de área y permisos canAssign y canClose por membresía.</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Medición</w:t>
            </w:r>
          </w:p>
        </w:tc>
        <w:tc>
          <w:tcPr>
            <w:tcW w:type="dxa" w:w="797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Primer detalle visible, primer IN_PROGRESS y primer RESOLVED; actor, fecha y muestras por persona.</w:t>
            </w:r>
          </w:p>
        </w:tc>
      </w:tr>
    </w:tbl>
    <w:p>
      <w:pPr>
        <w:spacing w:after="0"/>
      </w:pPr>
    </w:p>
    <w:p>
      <w:r>
        <w:rPr>
          <w:b w:val="0"/>
        </w:rPr>
        <w:t>Flujo lógico actual: empleado → interfaz web → API autenticada → datos; el resultado vuelve por la API. El solicitante, el asignado, los miembros y el líder del área y el administrador acceden según las reglas documentadas. Ser líder de área no crea un tercer rol global.</w:t>
      </w:r>
    </w:p>
    <w:p>
      <w:r>
        <w:rPr>
          <w:b w:val="0"/>
        </w:rPr>
        <w:t>El volumen local de base de datos no acredita una copia independiente. No se documentan como capacidades actuales SSO, portal externo, correo integrado, adjuntos externos, alta disponibilidad ni SLA automático. Los tiempos de auditoría incluyen noches y fines de semana; los datos históricos faltantes se excluyen de promedios [R02].</w:t>
      </w:r>
    </w:p>
    <w:p>
      <w:pPr>
        <w:pStyle w:val="Heading1"/>
      </w:pPr>
      <w:r>
        <w:t>10 Arquitectura tecnológica objetivo</w:t>
      </w:r>
    </w:p>
    <w:p>
      <w:r>
        <w:rPr>
          <w:b w:val="0"/>
        </w:rPr>
        <w:t>Se propone conservar la separación web, API y datos, y añadir controles de operación antes de ampliar funcionalidad. La arquitectura objetivo es una hoja de trabajo; los elementos siguientes requieren diseño, estimación, autorización e implantación.</w:t>
      </w:r>
    </w:p>
    <w:tbl>
      <w:tblPr>
        <w:tblW w:type="auto" w:w="0"/>
        <w:jc w:val="center"/>
        <w:tblLayout w:type="fixed"/>
        <w:tblLook w:firstColumn="1" w:firstRow="1" w:lastColumn="0" w:lastRow="0" w:noHBand="0" w:noVBand="1" w:val="04A0"/>
      </w:tblPr>
      <w:tblGrid>
        <w:gridCol w:w="2016"/>
        <w:gridCol w:w="7978"/>
      </w:tblGrid>
      <w:tr>
        <w:trPr>
          <w:tblHeader/>
          <w:cantSplit/>
        </w:trPr>
        <w:tc>
          <w:tcPr>
            <w:tcW w:type="dxa" w:w="2016"/>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jc w:val="left"/>
            </w:pPr>
            <w:r>
              <w:rPr>
                <w:b/>
                <w:color w:val="FFFFFF"/>
                <w:sz w:val="18"/>
              </w:rPr>
              <w:t>Dominio</w:t>
            </w:r>
          </w:p>
        </w:tc>
        <w:tc>
          <w:tcPr>
            <w:tcW w:type="dxa" w:w="7978"/>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Estado objetivo y aceptación</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Aplicación y datos</w:t>
            </w:r>
          </w:p>
        </w:tc>
        <w:tc>
          <w:tcPr>
            <w:tcW w:type="dxa" w:w="797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Reglas coherentes; autorización en servidor; eventos conciliables; pruebas de integridad y UAT.</w:t>
            </w:r>
          </w:p>
        </w:tc>
      </w:tr>
      <w:tr>
        <w:trPr>
          <w:cantSplit/>
        </w:trPr>
        <w:tc>
          <w:tcPr>
            <w:tcW w:type="dxa" w:w="201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Entornos y red</w:t>
            </w:r>
          </w:p>
        </w:tc>
        <w:tc>
          <w:tcPr>
            <w:tcW w:type="dxa" w:w="797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Prueba separada de operación; entrada TLS; API y BD con exposición mínima; secretos protegidos.</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Continuidad</w:t>
            </w:r>
          </w:p>
        </w:tc>
        <w:tc>
          <w:tcPr>
            <w:tcW w:type="dxa" w:w="797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Copias independientes cifradas, retención acordada, restauración aislada y reversión ensayada.</w:t>
            </w:r>
          </w:p>
        </w:tc>
      </w:tr>
      <w:tr>
        <w:trPr>
          <w:cantSplit/>
        </w:trPr>
        <w:tc>
          <w:tcPr>
            <w:tcW w:type="dxa" w:w="201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Operación</w:t>
            </w:r>
          </w:p>
        </w:tc>
        <w:tc>
          <w:tcPr>
            <w:tcW w:type="dxa" w:w="797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Monitoreo, inventario, control de cambios, soporte y registros sin credenciales.</w:t>
            </w:r>
          </w:p>
        </w:tc>
      </w:tr>
      <w:tr>
        <w:trPr>
          <w:cantSplit/>
        </w:trPr>
        <w:tc>
          <w:tcPr>
            <w:tcW w:type="dxa" w:w="20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Evolución</w:t>
            </w:r>
          </w:p>
        </w:tc>
        <w:tc>
          <w:tcPr>
            <w:tcW w:type="dxa" w:w="797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Adquisiciones e integraciones solo tras análisis de beneficio, privacidad, salida y costo total.</w:t>
            </w:r>
          </w:p>
        </w:tc>
      </w:tr>
    </w:tbl>
    <w:p>
      <w:pPr>
        <w:spacing w:after="0"/>
      </w:pPr>
    </w:p>
    <w:p>
      <w:r>
        <w:rPr>
          <w:b w:val="0"/>
        </w:rPr>
        <w:t>Las decisiones de dimensionamiento y redundancia dependen de carga, criticidad y capacidad. El objetivo candidato de disponibilidad y los tiempos de recuperación deben probarse antes de comprometerse. La base económica no incluye infraestructura redundante ni nuevas integraciones.</w:t>
      </w:r>
    </w:p>
    <w:p>
      <w:r>
        <w:br w:type="page"/>
      </w:r>
    </w:p>
    <w:p>
      <w:pPr>
        <w:pStyle w:val="Heading1"/>
      </w:pPr>
      <w:r>
        <w:t>11 Objetivos estratégicos de TI</w:t>
      </w:r>
    </w:p>
    <w:p>
      <w:r>
        <w:rPr>
          <w:b w:val="0"/>
        </w:rPr>
        <w:t>Los seis objetivos conservan la orientación del proyecto integrado [F04]. Todos parten de una línea base sin medir. Las metas son propuestas; el patrocinador aprobará el alcance de solicitudes, áreas y casos antes de T0. Los resultados se medirán sobre conjuntos comparables, con las reglas del apartado 18.</w:t>
      </w:r>
    </w:p>
    <w:tbl>
      <w:tblPr>
        <w:tblW w:type="auto" w:w="0"/>
        <w:jc w:val="center"/>
        <w:tblLayout w:type="fixed"/>
        <w:tblLook w:firstColumn="1" w:firstRow="1" w:lastColumn="0" w:lastRow="0" w:noHBand="0" w:noVBand="1" w:val="04A0"/>
      </w:tblPr>
      <w:tblGrid>
        <w:gridCol w:w="2520"/>
        <w:gridCol w:w="4608"/>
        <w:gridCol w:w="2866"/>
      </w:tblGrid>
      <w:tr>
        <w:trPr>
          <w:tblHeader/>
          <w:cantSplit/>
        </w:trPr>
        <w:tc>
          <w:tcPr>
            <w:tcW w:type="dxa" w:w="2520"/>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jc w:val="left"/>
            </w:pPr>
            <w:r>
              <w:rPr>
                <w:b/>
                <w:color w:val="FFFFFF"/>
                <w:sz w:val="18"/>
              </w:rPr>
              <w:t>Código y objetivo</w:t>
            </w:r>
          </w:p>
        </w:tc>
        <w:tc>
          <w:tcPr>
            <w:tcW w:type="dxa" w:w="4608"/>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Meta verificable</w:t>
            </w:r>
          </w:p>
        </w:tc>
        <w:tc>
          <w:tcPr>
            <w:tcW w:type="dxa" w:w="2866"/>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Proyecto y responsable</w:t>
            </w:r>
          </w:p>
        </w:tc>
      </w:tr>
      <w:tr>
        <w:trPr>
          <w:cantSplit/>
        </w:trPr>
        <w:tc>
          <w:tcPr>
            <w:tcW w:type="dxa" w:w="25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OE01 Digitalización y adopción</w:t>
            </w:r>
          </w:p>
        </w:tc>
        <w:tc>
          <w:tcPr>
            <w:tcW w:type="dxa" w:w="46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Registrar al menos 90% de las solicitudes elegibles en CastleWalk Tickets al M6.</w:t>
            </w:r>
          </w:p>
        </w:tc>
        <w:tc>
          <w:tcPr>
            <w:tcW w:type="dxa" w:w="286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P01; dueño del servicio y líderes.</w:t>
            </w:r>
          </w:p>
        </w:tc>
      </w:tr>
      <w:tr>
        <w:trPr>
          <w:cantSplit/>
        </w:trPr>
        <w:tc>
          <w:tcPr>
            <w:tcW w:type="dxa" w:w="25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OE02 Eficiencia operativa</w:t>
            </w:r>
          </w:p>
        </w:tc>
        <w:tc>
          <w:tcPr>
            <w:tcW w:type="dxa" w:w="460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Reducir al menos 20% los minutos de seguimiento manual al M12 frente a T0.</w:t>
            </w:r>
          </w:p>
        </w:tc>
        <w:tc>
          <w:tcPr>
            <w:tcW w:type="dxa" w:w="286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P02; dueño de proceso.</w:t>
            </w:r>
          </w:p>
        </w:tc>
      </w:tr>
      <w:tr>
        <w:trPr>
          <w:cantSplit/>
        </w:trPr>
        <w:tc>
          <w:tcPr>
            <w:tcW w:type="dxa" w:w="25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OE03 Trazabilidad</w:t>
            </w:r>
          </w:p>
        </w:tc>
        <w:tc>
          <w:tcPr>
            <w:tcW w:type="dxa" w:w="46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Alcanzar al menos 95% de tickets trazables en la muestra revisada al M3.</w:t>
            </w:r>
          </w:p>
        </w:tc>
        <w:tc>
          <w:tcPr>
            <w:tcW w:type="dxa" w:w="286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P03; calidad y TI.</w:t>
            </w:r>
          </w:p>
        </w:tc>
      </w:tr>
      <w:tr>
        <w:trPr>
          <w:cantSplit/>
        </w:trPr>
        <w:tc>
          <w:tcPr>
            <w:tcW w:type="dxa" w:w="25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OE04 Autorización y seguridad</w:t>
            </w:r>
          </w:p>
        </w:tc>
        <w:tc>
          <w:tcPr>
            <w:tcW w:type="dxa" w:w="460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Aprobar 100% de los casos críticos aplicables y planificados de autorización antes de preproducción y apertura.</w:t>
            </w:r>
          </w:p>
        </w:tc>
        <w:tc>
          <w:tcPr>
            <w:tcW w:type="dxa" w:w="286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P04; seguridad y calidad.</w:t>
            </w:r>
          </w:p>
        </w:tc>
      </w:tr>
      <w:tr>
        <w:trPr>
          <w:cantSplit/>
        </w:trPr>
        <w:tc>
          <w:tcPr>
            <w:tcW w:type="dxa" w:w="25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OE05 Calidad y continuidad</w:t>
            </w:r>
          </w:p>
        </w:tc>
        <w:tc>
          <w:tcPr>
            <w:tcW w:type="dxa" w:w="46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Demostrar recuperación satisfactoria antes de abrir; cumplir 100% de restauraciones trimestrales planificadas.</w:t>
            </w:r>
          </w:p>
        </w:tc>
        <w:tc>
          <w:tcPr>
            <w:tcW w:type="dxa" w:w="286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P05; operación.</w:t>
            </w:r>
          </w:p>
        </w:tc>
      </w:tr>
      <w:tr>
        <w:trPr>
          <w:cantSplit/>
        </w:trPr>
        <w:tc>
          <w:tcPr>
            <w:tcW w:type="dxa" w:w="25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OE06 Gobierno con datos</w:t>
            </w:r>
          </w:p>
        </w:tc>
        <w:tc>
          <w:tcPr>
            <w:tcW w:type="dxa" w:w="460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Documentar revisión mensual en 100% de las áreas piloto desde M6.</w:t>
            </w:r>
          </w:p>
        </w:tc>
        <w:tc>
          <w:tcPr>
            <w:tcW w:type="dxa" w:w="286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P06; coordinación TI.</w:t>
            </w:r>
          </w:p>
        </w:tc>
      </w:tr>
    </w:tbl>
    <w:p>
      <w:pPr>
        <w:spacing w:after="0"/>
      </w:pPr>
    </w:p>
    <w:p>
      <w:pPr>
        <w:pStyle w:val="Heading2"/>
      </w:pPr>
      <w:r>
        <w:t>Contribución al negocio</w:t>
      </w:r>
    </w:p>
    <w:p>
      <w:r>
        <w:rPr>
          <w:b w:val="0"/>
        </w:rPr>
        <w:t>OE01 y OE03 buscan que cada solicitud elegible pueda encontrarse y explicarse. OE02 busca que los responsables dediquen menos tiempo a perseguir información. OE04 y OE05 protegen la confianza en la atención y reducen la exposición a accesos indebidos y pérdida de servicio. OE06 convierte los datos en decisiones sobre carga, prioridades y recursos.</w:t>
      </w:r>
    </w:p>
    <w:p>
      <w:r>
        <w:rPr>
          <w:b w:val="0"/>
        </w:rPr>
        <w:t>El valor se probará en el ámbito interno. No se afirma que el proyecto ya haya mejorado la posición competitiva o los ingresos de staffing. Ese vínculo exige una evaluación posterior que relacione la mejora interna con resultados institucionales y controle otros factores.</w:t>
      </w:r>
    </w:p>
    <w:p>
      <w:pPr>
        <w:pStyle w:val="Heading2"/>
      </w:pPr>
      <w:r>
        <w:t>Reglas de aceptación de objetivos</w:t>
      </w:r>
    </w:p>
    <w:p>
      <w:r>
        <w:rPr>
          <w:b w:val="0"/>
        </w:rPr>
        <w:t>Ningún objetivo se declara cumplido por entregar software, terminar una capacitación o aprobar un presupuesto. El comité revisará el resultado, el tamaño de muestra, las exclusiones y la calidad de la fuente. Si la evidencia es insuficiente, registrará No evaluable y una acción; no sustituirá la medición por una apreciación de avance.</w:t>
      </w:r>
    </w:p>
    <w:p>
      <w:r>
        <w:rPr>
          <w:b w:val="0"/>
        </w:rPr>
        <w:t>Los cambios de meta o alcance deben conservar la versión anterior, explicar su motivo y recalcular comparabilidad. Una ampliación de áreas no puede ocultar resultados desfavorables del piloto inicial. Las metas de seguridad y recuperación son condiciones de apertura, además de indicadores de seguimiento.</w:t>
      </w:r>
    </w:p>
    <w:p>
      <w:r>
        <w:br w:type="page"/>
      </w:r>
    </w:p>
    <w:p>
      <w:pPr>
        <w:pStyle w:val="Heading1"/>
      </w:pPr>
      <w:r>
        <w:t>12 Estrategias de TI</w:t>
      </w:r>
    </w:p>
    <w:tbl>
      <w:tblPr>
        <w:tblW w:type="auto" w:w="0"/>
        <w:jc w:val="center"/>
        <w:tblLayout w:type="fixed"/>
        <w:tblLook w:firstColumn="1" w:firstRow="1" w:lastColumn="0" w:lastRow="0" w:noHBand="0" w:noVBand="1" w:val="04A0"/>
      </w:tblPr>
      <w:tblGrid>
        <w:gridCol w:w="2448"/>
        <w:gridCol w:w="7546"/>
      </w:tblGrid>
      <w:tr>
        <w:trPr>
          <w:tblHeader/>
          <w:cantSplit/>
        </w:trPr>
        <w:tc>
          <w:tcPr>
            <w:tcW w:type="dxa" w:w="2448"/>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jc w:val="left"/>
            </w:pPr>
            <w:r>
              <w:rPr>
                <w:b/>
                <w:color w:val="FFFFFF"/>
                <w:sz w:val="18"/>
              </w:rPr>
              <w:t>Estrategia</w:t>
            </w:r>
          </w:p>
        </w:tc>
        <w:tc>
          <w:tcPr>
            <w:tcW w:type="dxa" w:w="7546"/>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Aplicación y resultado esperado</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E01 Incorporación gradual</w:t>
            </w:r>
          </w:p>
        </w:tc>
        <w:tc>
          <w:tcPr>
            <w:tcW w:type="dxa" w:w="754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Elegir áreas voluntarias, conciliar canales y formar referentes. OE01/P01.</w:t>
            </w:r>
          </w:p>
        </w:tc>
      </w:tr>
      <w:tr>
        <w:trPr>
          <w:cantSplit/>
        </w:trPr>
        <w:tc>
          <w:tcPr>
            <w:tcW w:type="dxa" w:w="244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E02 Simplificación controlada</w:t>
            </w:r>
          </w:p>
        </w:tc>
        <w:tc>
          <w:tcPr>
            <w:tcW w:type="dxa" w:w="754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Acordar campos, prioridades, estados y responsabilidades antes de ajustar UI/API. OE02/P02.</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E03 Evidencia consistente</w:t>
            </w:r>
          </w:p>
        </w:tc>
        <w:tc>
          <w:tcPr>
            <w:tcW w:type="dxa" w:w="754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Definir trazabilidad; revisar eventos, hitos y fallos parciales. OE03/P03.</w:t>
            </w:r>
          </w:p>
        </w:tc>
      </w:tr>
      <w:tr>
        <w:trPr>
          <w:cantSplit/>
        </w:trPr>
        <w:tc>
          <w:tcPr>
            <w:tcW w:type="dxa" w:w="244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E04 Acceso por necesidad</w:t>
            </w:r>
          </w:p>
        </w:tc>
        <w:tc>
          <w:tcPr>
            <w:tcW w:type="dxa" w:w="754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Aprobar matriz de actores, revisar privilegios y comprobar denegaciones. OE04/P04.</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E05 Operación recuperable</w:t>
            </w:r>
          </w:p>
        </w:tc>
        <w:tc>
          <w:tcPr>
            <w:tcW w:type="dxa" w:w="754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Promover con pruebas y reversión, respaldar y restaurar con evidencia. OE05/P05.</w:t>
            </w:r>
          </w:p>
        </w:tc>
      </w:tr>
      <w:tr>
        <w:trPr>
          <w:cantSplit/>
        </w:trPr>
        <w:tc>
          <w:tcPr>
            <w:tcW w:type="dxa" w:w="244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E06 Gobierno periódico</w:t>
            </w:r>
          </w:p>
        </w:tc>
        <w:tc>
          <w:tcPr>
            <w:tcW w:type="dxa" w:w="754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Conciliar indicadores, costos y demanda; registrar decisiones y acciones. OE06/P06.</w:t>
            </w:r>
          </w:p>
        </w:tc>
      </w:tr>
    </w:tbl>
    <w:p>
      <w:pPr>
        <w:spacing w:after="0"/>
      </w:pPr>
    </w:p>
    <w:p>
      <w:pPr>
        <w:pStyle w:val="Heading2"/>
      </w:pPr>
      <w:r>
        <w:t>Políticas normas y procedimientos propuestos</w:t>
      </w:r>
    </w:p>
    <w:p>
      <w:r>
        <w:rPr>
          <w:b w:val="0"/>
        </w:rPr>
        <w:t>El manual CW TI MAN 001, versión 1.0 del 8 de septiembre de 2026, está pendiente de aprobación. El PETI lo toma como referencia para organizar controles; no acredita implantación ni certificación ISO/IEC 27001. Sus parámetros y las reglas siguientes deben armonizarse en un anexo del servicio aprobado antes de operar [F05].</w:t>
      </w:r>
    </w:p>
    <w:p>
      <w:r>
        <w:rPr>
          <w:b w:val="0"/>
        </w:rPr>
        <w:t>Acceso e identidad: el dueño del área aprueba cada alta y cada delegación; TI ejecuta y un segundo responsable revisa privilegios críticos. RRHH notifica bajas y cambios con fecha efectiva. Se propone revocar accesos a más tardar al finalizar la relación y de inmediato en una salida de riesgo; la conciliación será mensual. No se permitirán cuentas compartidas ni autoaprobaciones.</w:t>
      </w:r>
    </w:p>
    <w:p>
      <w:r>
        <w:rPr>
          <w:b w:val="0"/>
        </w:rPr>
        <w:t>Información y retención: se propone clasificar los tickets como uso interno, minimizar datos personales y prohibir contraseñas o documentos sensibles innecesarios en comentarios. Seguridad y asesoría definirán una tabla de retención por categoría; como hipótesis operativa, conservar tickets cerrados 24 meses y bitácoras de seguridad 12 meses, sin aplicar borrado hasta validar obligaciones y suspensiones de eliminación. El responsable de información autoriza disposición y conserva evidencia.</w:t>
      </w:r>
    </w:p>
    <w:p>
      <w:r>
        <w:rPr>
          <w:b w:val="0"/>
        </w:rPr>
        <w:t>Cambios e incidentes: todo cambio registra motivo, riesgo, pruebas, aprobador y reversión; quien desarrolla no aprueba en solitario su promoción. Todo incidente registra hora, impacto, responsable, acciones y recuperación. Seguridad contiene una sospecha de exposición y escala; negocio autoriza la reanudación. Los detalles se desarrollan en el apartado 20.</w:t>
      </w:r>
    </w:p>
    <w:p>
      <w:r>
        <w:rPr>
          <w:b w:val="0"/>
        </w:rPr>
        <w:t>Activos, adquisiciones y terceros: registrar propietario, custodio, versión, licencia, soporte y criticidad antes de habilitar un activo. Compras compara opciones con costo total, seguridad, continuidad y salida de datos. TI mantiene configuración versionada; seguridad revisa exposición y vulnerabilidades. No se adquieren recursos ni se habilitan integraciones a partir de una demostración o de una partida sin aprobar.</w:t>
      </w:r>
    </w:p>
    <w:p>
      <w:r>
        <w:br w:type="page"/>
      </w:r>
    </w:p>
    <w:p>
      <w:pPr>
        <w:pStyle w:val="Heading1"/>
      </w:pPr>
      <w:r>
        <w:t>13 Cartera de proyectos</w:t>
      </w:r>
    </w:p>
    <w:p>
      <w:r>
        <w:rPr>
          <w:b w:val="0"/>
        </w:rPr>
        <w:t>La cartera inicial reserva 320 horas para consolidación, preparación del servicio e implantación autorizada. No vuelve a cobrar como construcción nueva el código existente. Los entregables se verifican durante el paquete de ocho semanas; los resultados de M3 a M12 usan la capacidad recurrente limitada [F04, F06].</w:t>
      </w:r>
    </w:p>
    <w:tbl>
      <w:tblPr>
        <w:tblW w:type="auto" w:w="0"/>
        <w:jc w:val="center"/>
        <w:tblLayout w:type="fixed"/>
        <w:tblLook w:firstColumn="1" w:firstRow="1" w:lastColumn="0" w:lastRow="0" w:noHBand="0" w:noVBand="1" w:val="04A0"/>
      </w:tblPr>
      <w:tblGrid>
        <w:gridCol w:w="2520"/>
        <w:gridCol w:w="5170"/>
        <w:gridCol w:w="2304"/>
      </w:tblGrid>
      <w:tr>
        <w:trPr>
          <w:tblHeader/>
          <w:cantSplit/>
        </w:trPr>
        <w:tc>
          <w:tcPr>
            <w:tcW w:type="dxa" w:w="2520"/>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jc w:val="left"/>
            </w:pPr>
            <w:r>
              <w:rPr>
                <w:b/>
                <w:color w:val="FFFFFF"/>
                <w:sz w:val="18"/>
              </w:rPr>
              <w:t>Proyecto y vínculo</w:t>
            </w:r>
          </w:p>
        </w:tc>
        <w:tc>
          <w:tcPr>
            <w:tcW w:type="dxa" w:w="5170"/>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Entregables y alcance</w:t>
            </w:r>
          </w:p>
        </w:tc>
        <w:tc>
          <w:tcPr>
            <w:tcW w:type="dxa" w:w="2304"/>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Base y calendario</w:t>
            </w:r>
          </w:p>
        </w:tc>
      </w:tr>
      <w:tr>
        <w:trPr>
          <w:cantSplit/>
        </w:trPr>
        <w:tc>
          <w:tcPr>
            <w:tcW w:type="dxa" w:w="25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P01 Adopción del servicio</w:t>
              <w:br/>
              <w:t>OE01 / E01</w:t>
            </w:r>
          </w:p>
        </w:tc>
        <w:tc>
          <w:tcPr>
            <w:tcW w:type="dxa" w:w="517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Padrón piloto, T0, protocolo de captura, inventario inicial, guía y registro de formación. Responsable: dueño del servicio y TI.</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48 h / USD 1.440</w:t>
              <w:br/>
              <w:t>S1–S8; seguimiento M6.</w:t>
            </w:r>
          </w:p>
        </w:tc>
      </w:tr>
      <w:tr>
        <w:trPr>
          <w:cantSplit/>
        </w:trPr>
        <w:tc>
          <w:tcPr>
            <w:tcW w:type="dxa" w:w="25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P02 Flujo eficiente</w:t>
              <w:br/>
              <w:t>OE02 / E02</w:t>
            </w:r>
          </w:p>
        </w:tc>
        <w:tc>
          <w:tcPr>
            <w:tcW w:type="dxa" w:w="517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Reglas aprobadas de captura, asignación y estados; ajustes verificados; comparación de esfuerzo. Responsable: desarrollo y dueño de proceso.</w:t>
            </w:r>
          </w:p>
        </w:tc>
        <w:tc>
          <w:tcPr>
            <w:tcW w:type="dxa" w:w="230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64 h / USD 1.920</w:t>
              <w:br/>
              <w:t>S2–S8; evaluación M12.</w:t>
            </w:r>
          </w:p>
        </w:tc>
      </w:tr>
      <w:tr>
        <w:trPr>
          <w:cantSplit/>
        </w:trPr>
        <w:tc>
          <w:tcPr>
            <w:tcW w:type="dxa" w:w="25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P03 Trazabilidad consistente</w:t>
              <w:br/>
              <w:t>OE03 / E03</w:t>
            </w:r>
          </w:p>
        </w:tc>
        <w:tc>
          <w:tcPr>
            <w:tcW w:type="dxa" w:w="517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Definición de trazabilidad, conciliación de eventos y hitos; casos de fallos parciales. Responsable: desarrollo y calidad.</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40 h / USD 1.200</w:t>
              <w:br/>
              <w:t>S2–S8; meta M3.</w:t>
            </w:r>
          </w:p>
        </w:tc>
      </w:tr>
      <w:tr>
        <w:trPr>
          <w:cantSplit/>
        </w:trPr>
        <w:tc>
          <w:tcPr>
            <w:tcW w:type="dxa" w:w="25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P04 Autorización y sesión segura</w:t>
              <w:br/>
              <w:t>OE04 / E04</w:t>
            </w:r>
          </w:p>
        </w:tc>
        <w:tc>
          <w:tcPr>
            <w:tcW w:type="dxa" w:w="517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Matriz de acceso; elegibilidad y jerarquías; configuración de destino y pruebas negativas. Responsable: seguridad y desarrollo.</w:t>
            </w:r>
          </w:p>
        </w:tc>
        <w:tc>
          <w:tcPr>
            <w:tcW w:type="dxa" w:w="230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64 h / USD 1.920</w:t>
              <w:br/>
              <w:t>S1–S8; antes de abrir.</w:t>
            </w:r>
          </w:p>
        </w:tc>
      </w:tr>
      <w:tr>
        <w:trPr>
          <w:cantSplit/>
        </w:trPr>
        <w:tc>
          <w:tcPr>
            <w:tcW w:type="dxa" w:w="25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P05 Calidad y recuperación</w:t>
              <w:br/>
              <w:t>OE05 / E05</w:t>
            </w:r>
          </w:p>
        </w:tc>
        <w:tc>
          <w:tcPr>
            <w:tcW w:type="dxa" w:w="517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Regresión crítica, promoción y reversión; copia independiente, runbooks y ensayo. Responsable: operación y calidad.</w:t>
            </w:r>
          </w:p>
        </w:tc>
        <w:tc>
          <w:tcPr>
            <w:tcW w:type="dxa" w:w="23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64 h / USD 1.920</w:t>
              <w:br/>
              <w:t>S2–S8; trimestral.</w:t>
            </w:r>
          </w:p>
        </w:tc>
      </w:tr>
      <w:tr>
        <w:trPr>
          <w:cantSplit/>
        </w:trPr>
        <w:tc>
          <w:tcPr>
            <w:tcW w:type="dxa" w:w="25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P06 Gobierno y medición</w:t>
              <w:br/>
              <w:t>OE06 / E06</w:t>
            </w:r>
          </w:p>
        </w:tc>
        <w:tc>
          <w:tcPr>
            <w:tcW w:type="dxa" w:w="517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Diccionario de KPI, tablero conciliado, actas de revisión y evaluación anual. Responsable: coordinación y patrocinador.</w:t>
            </w:r>
          </w:p>
        </w:tc>
        <w:tc>
          <w:tcPr>
            <w:tcW w:type="dxa" w:w="230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40 h / USD 1.200</w:t>
              <w:br/>
              <w:t>S1–S8; seguimiento M6.</w:t>
            </w:r>
          </w:p>
        </w:tc>
      </w:tr>
    </w:tbl>
    <w:p>
      <w:pPr>
        <w:spacing w:after="0"/>
      </w:pPr>
    </w:p>
    <w:p>
      <w:pPr>
        <w:pStyle w:val="Heading2"/>
      </w:pPr>
      <w:r>
        <w:t>Dependencias y condiciones de apertura</w:t>
      </w:r>
    </w:p>
    <w:p>
      <w:r>
        <w:rPr>
          <w:b w:val="0"/>
        </w:rPr>
        <w:t>P01 define áreas y necesidades desde S1. P06 fija el diccionario y el método de T0 antes de recopilar datos. P02 necesita decisiones de negocio; P03 se alinea con esas reglas. P04 condiciona el acceso seguro; P05 demuestra que el candidato puede recuperarse. No se abre el piloto sin autorización crítica probada, recuperación satisfactoria, responsables y formación mínima.</w:t>
      </w:r>
    </w:p>
    <w:p>
      <w:r>
        <w:rPr>
          <w:b w:val="0"/>
        </w:rPr>
        <w:t>P01 mitiga baja adopción; P02 protege la comparabilidad del beneficio; P03 trata evidencia incompleta; P04 controla privilegios; P05 reduce impacto de fallos; P06 evita decisiones con datos ambiguos. Cada proyecto comparte la reserva única de USD 1.440; no se multiplican reservas ni contratos de soporte.</w:t>
      </w:r>
    </w:p>
    <w:p>
      <w:r>
        <w:rPr>
          <w:b w:val="0"/>
        </w:rPr>
        <w:t>Los paquetes de expansión, adquisiciones, continuidad reforzada e IA de los años posteriores son iniciativas candidatas de la hoja de ruta. Su autorización exige estimación adicional y una decisión de cartera; no están financiados por estas seis asignaciones iniciales.</w:t>
      </w:r>
    </w:p>
    <w:p>
      <w:r>
        <w:br w:type="page"/>
      </w:r>
    </w:p>
    <w:p>
      <w:pPr>
        <w:pStyle w:val="Heading1"/>
      </w:pPr>
      <w:r>
        <w:t>14 Priorización</w:t>
      </w:r>
    </w:p>
    <w:p>
      <w:r>
        <w:rPr>
          <w:b w:val="0"/>
        </w:rPr>
        <w:t>Se conserva la valoración académica del documento integrado: impacto 35%, reducción de riesgo 30%, urgencia 20% y viabilidad 15%. La escala es de 1 a 5, donde 5 es más favorable a la prioridad. Puntaje = 20 × suma de peso decimal × nota. Las notas son juicio propuesto, no resultados de una encuesta [F04].</w:t>
      </w:r>
    </w:p>
    <w:tbl>
      <w:tblPr>
        <w:tblW w:type="auto" w:w="0"/>
        <w:jc w:val="center"/>
        <w:tblLayout w:type="fixed"/>
        <w:tblLook w:firstColumn="1" w:firstRow="1" w:lastColumn="0" w:lastRow="0" w:noHBand="0" w:noVBand="1" w:val="04A0"/>
      </w:tblPr>
      <w:tblGrid>
        <w:gridCol w:w="1656"/>
        <w:gridCol w:w="1613"/>
        <w:gridCol w:w="1613"/>
        <w:gridCol w:w="1613"/>
        <w:gridCol w:w="1771"/>
        <w:gridCol w:w="1728"/>
      </w:tblGrid>
      <w:tr>
        <w:trPr>
          <w:tblHeader/>
          <w:cantSplit/>
        </w:trPr>
        <w:tc>
          <w:tcPr>
            <w:tcW w:type="dxa" w:w="1656"/>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jc w:val="left"/>
            </w:pPr>
            <w:r>
              <w:rPr>
                <w:b/>
                <w:color w:val="FFFFFF"/>
                <w:sz w:val="18"/>
              </w:rPr>
              <w:t>Proyecto</w:t>
            </w:r>
          </w:p>
        </w:tc>
        <w:tc>
          <w:tcPr>
            <w:tcW w:type="dxa" w:w="1613"/>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Impacto</w:t>
            </w:r>
          </w:p>
        </w:tc>
        <w:tc>
          <w:tcPr>
            <w:tcW w:type="dxa" w:w="1613"/>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Riesgo</w:t>
            </w:r>
          </w:p>
        </w:tc>
        <w:tc>
          <w:tcPr>
            <w:tcW w:type="dxa" w:w="1613"/>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Urgencia</w:t>
            </w:r>
          </w:p>
        </w:tc>
        <w:tc>
          <w:tcPr>
            <w:tcW w:type="dxa" w:w="1771"/>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Viabilidad</w:t>
            </w:r>
          </w:p>
        </w:tc>
        <w:tc>
          <w:tcPr>
            <w:tcW w:type="dxa" w:w="1728"/>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Puntaje</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P01</w:t>
            </w:r>
          </w:p>
        </w:tc>
        <w:tc>
          <w:tcPr>
            <w:tcW w:type="dxa" w:w="1613"/>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5</w:t>
            </w:r>
          </w:p>
        </w:tc>
        <w:tc>
          <w:tcPr>
            <w:tcW w:type="dxa" w:w="1613"/>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3</w:t>
            </w:r>
          </w:p>
        </w:tc>
        <w:tc>
          <w:tcPr>
            <w:tcW w:type="dxa" w:w="1613"/>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4</w:t>
            </w:r>
          </w:p>
        </w:tc>
        <w:tc>
          <w:tcPr>
            <w:tcW w:type="dxa" w:w="1771"/>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5</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84</w:t>
            </w:r>
          </w:p>
        </w:tc>
      </w:tr>
      <w:tr>
        <w:trPr>
          <w:cantSplit/>
        </w:trPr>
        <w:tc>
          <w:tcPr>
            <w:tcW w:type="dxa" w:w="165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P02</w:t>
            </w:r>
          </w:p>
        </w:tc>
        <w:tc>
          <w:tcPr>
            <w:tcW w:type="dxa" w:w="1613"/>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4</w:t>
            </w:r>
          </w:p>
        </w:tc>
        <w:tc>
          <w:tcPr>
            <w:tcW w:type="dxa" w:w="1613"/>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3</w:t>
            </w:r>
          </w:p>
        </w:tc>
        <w:tc>
          <w:tcPr>
            <w:tcW w:type="dxa" w:w="1613"/>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4</w:t>
            </w:r>
          </w:p>
        </w:tc>
        <w:tc>
          <w:tcPr>
            <w:tcW w:type="dxa" w:w="1771"/>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4</w:t>
            </w:r>
          </w:p>
        </w:tc>
        <w:tc>
          <w:tcPr>
            <w:tcW w:type="dxa" w:w="172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74</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P03</w:t>
            </w:r>
          </w:p>
        </w:tc>
        <w:tc>
          <w:tcPr>
            <w:tcW w:type="dxa" w:w="1613"/>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4</w:t>
            </w:r>
          </w:p>
        </w:tc>
        <w:tc>
          <w:tcPr>
            <w:tcW w:type="dxa" w:w="1613"/>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4</w:t>
            </w:r>
          </w:p>
        </w:tc>
        <w:tc>
          <w:tcPr>
            <w:tcW w:type="dxa" w:w="1613"/>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4</w:t>
            </w:r>
          </w:p>
        </w:tc>
        <w:tc>
          <w:tcPr>
            <w:tcW w:type="dxa" w:w="1771"/>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4</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80</w:t>
            </w:r>
          </w:p>
        </w:tc>
      </w:tr>
      <w:tr>
        <w:trPr>
          <w:cantSplit/>
        </w:trPr>
        <w:tc>
          <w:tcPr>
            <w:tcW w:type="dxa" w:w="165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P04</w:t>
            </w:r>
          </w:p>
        </w:tc>
        <w:tc>
          <w:tcPr>
            <w:tcW w:type="dxa" w:w="1613"/>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5</w:t>
            </w:r>
          </w:p>
        </w:tc>
        <w:tc>
          <w:tcPr>
            <w:tcW w:type="dxa" w:w="1613"/>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5</w:t>
            </w:r>
          </w:p>
        </w:tc>
        <w:tc>
          <w:tcPr>
            <w:tcW w:type="dxa" w:w="1613"/>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5</w:t>
            </w:r>
          </w:p>
        </w:tc>
        <w:tc>
          <w:tcPr>
            <w:tcW w:type="dxa" w:w="1771"/>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4</w:t>
            </w:r>
          </w:p>
        </w:tc>
        <w:tc>
          <w:tcPr>
            <w:tcW w:type="dxa" w:w="172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97</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P05</w:t>
            </w:r>
          </w:p>
        </w:tc>
        <w:tc>
          <w:tcPr>
            <w:tcW w:type="dxa" w:w="1613"/>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5</w:t>
            </w:r>
          </w:p>
        </w:tc>
        <w:tc>
          <w:tcPr>
            <w:tcW w:type="dxa" w:w="1613"/>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5</w:t>
            </w:r>
          </w:p>
        </w:tc>
        <w:tc>
          <w:tcPr>
            <w:tcW w:type="dxa" w:w="1613"/>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5</w:t>
            </w:r>
          </w:p>
        </w:tc>
        <w:tc>
          <w:tcPr>
            <w:tcW w:type="dxa" w:w="1771"/>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3</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94</w:t>
            </w:r>
          </w:p>
        </w:tc>
      </w:tr>
      <w:tr>
        <w:trPr>
          <w:cantSplit/>
        </w:trPr>
        <w:tc>
          <w:tcPr>
            <w:tcW w:type="dxa" w:w="165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P06</w:t>
            </w:r>
          </w:p>
        </w:tc>
        <w:tc>
          <w:tcPr>
            <w:tcW w:type="dxa" w:w="1613"/>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4</w:t>
            </w:r>
          </w:p>
        </w:tc>
        <w:tc>
          <w:tcPr>
            <w:tcW w:type="dxa" w:w="1613"/>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3</w:t>
            </w:r>
          </w:p>
        </w:tc>
        <w:tc>
          <w:tcPr>
            <w:tcW w:type="dxa" w:w="1613"/>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3</w:t>
            </w:r>
          </w:p>
        </w:tc>
        <w:tc>
          <w:tcPr>
            <w:tcW w:type="dxa" w:w="1771"/>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5</w:t>
            </w:r>
          </w:p>
        </w:tc>
        <w:tc>
          <w:tcPr>
            <w:tcW w:type="dxa" w:w="172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73</w:t>
            </w:r>
          </w:p>
        </w:tc>
      </w:tr>
    </w:tbl>
    <w:p>
      <w:pPr>
        <w:spacing w:after="0"/>
      </w:pPr>
    </w:p>
    <w:p>
      <w:r>
        <w:rPr>
          <w:b w:val="0"/>
        </w:rPr>
        <w:t>El orden por puntaje es P04, P05, P01, P03, P02 y P06. La secuencia de ejecución respeta dependencias: P01 y P06 deben comenzar en T0, aunque tengan menor puntaje, porque proporcionan áreas, decisiones y mediciones. Seguridad y recuperación mantienen prioridad como condiciones de apertura.</w:t>
      </w:r>
    </w:p>
    <w:p>
      <w:pPr>
        <w:pStyle w:val="Heading2"/>
      </w:pPr>
      <w:r>
        <w:t>Filtro transparente de beneficio y costo</w:t>
      </w:r>
    </w:p>
    <w:p>
      <w:r>
        <w:rPr>
          <w:b w:val="0"/>
        </w:rPr>
        <w:t>Para hacer explícitos beneficio y costo, se añade un filtro separado sin modificar las notas anteriores. El beneficio sigue sin monetizarse: se propone usar la nota de impacto existente como aproximación cualitativa y dividirla por el costo base en miles de USD. Es un índice de comparación, no una razón financiera ni una promesa de retorno.</w:t>
      </w:r>
    </w:p>
    <w:tbl>
      <w:tblPr>
        <w:tblW w:type="auto" w:w="0"/>
        <w:jc w:val="center"/>
        <w:tblLayout w:type="fixed"/>
        <w:tblLook w:firstColumn="1" w:firstRow="1" w:lastColumn="0" w:lastRow="0" w:noHBand="0" w:noVBand="1" w:val="04A0"/>
      </w:tblPr>
      <w:tblGrid>
        <w:gridCol w:w="1080"/>
        <w:gridCol w:w="5026"/>
        <w:gridCol w:w="1728"/>
        <w:gridCol w:w="2160"/>
      </w:tblGrid>
      <w:tr>
        <w:trPr>
          <w:tblHeader/>
          <w:cantSplit/>
        </w:trPr>
        <w:tc>
          <w:tcPr>
            <w:tcW w:type="dxa" w:w="1080"/>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jc w:val="left"/>
            </w:pPr>
            <w:r>
              <w:rPr>
                <w:b/>
                <w:color w:val="FFFFFF"/>
                <w:sz w:val="18"/>
              </w:rPr>
              <w:t>Proyecto</w:t>
            </w:r>
          </w:p>
        </w:tc>
        <w:tc>
          <w:tcPr>
            <w:tcW w:type="dxa" w:w="5026"/>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Beneficio que se verificará</w:t>
            </w:r>
          </w:p>
        </w:tc>
        <w:tc>
          <w:tcPr>
            <w:tcW w:type="dxa" w:w="1728"/>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USD base</w:t>
            </w:r>
          </w:p>
        </w:tc>
        <w:tc>
          <w:tcPr>
            <w:tcW w:type="dxa" w:w="2160"/>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Índice</w:t>
            </w:r>
          </w:p>
        </w:tc>
      </w:tr>
      <w:tr>
        <w:trPr>
          <w:cantSplit/>
        </w:trPr>
        <w:tc>
          <w:tcPr>
            <w:tcW w:type="dxa" w:w="10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P01</w:t>
            </w:r>
          </w:p>
        </w:tc>
        <w:tc>
          <w:tcPr>
            <w:tcW w:type="dxa" w:w="502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Captura elegible ≥90% M6.</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1440</w:t>
            </w:r>
          </w:p>
        </w:tc>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3,47</w:t>
            </w:r>
          </w:p>
        </w:tc>
      </w:tr>
      <w:tr>
        <w:trPr>
          <w:cantSplit/>
        </w:trPr>
        <w:tc>
          <w:tcPr>
            <w:tcW w:type="dxa" w:w="108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P02</w:t>
            </w:r>
          </w:p>
        </w:tc>
        <w:tc>
          <w:tcPr>
            <w:tcW w:type="dxa" w:w="502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Seguimiento manual −20% M12.</w:t>
            </w:r>
          </w:p>
        </w:tc>
        <w:tc>
          <w:tcPr>
            <w:tcW w:type="dxa" w:w="172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1920</w:t>
            </w:r>
          </w:p>
        </w:tc>
        <w:tc>
          <w:tcPr>
            <w:tcW w:type="dxa" w:w="216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2,08</w:t>
            </w:r>
          </w:p>
        </w:tc>
      </w:tr>
      <w:tr>
        <w:trPr>
          <w:cantSplit/>
        </w:trPr>
        <w:tc>
          <w:tcPr>
            <w:tcW w:type="dxa" w:w="10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P03</w:t>
            </w:r>
          </w:p>
        </w:tc>
        <w:tc>
          <w:tcPr>
            <w:tcW w:type="dxa" w:w="502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Trazabilidad ≥95% M3.</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1200</w:t>
            </w:r>
          </w:p>
        </w:tc>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3,33</w:t>
            </w:r>
          </w:p>
        </w:tc>
      </w:tr>
      <w:tr>
        <w:trPr>
          <w:cantSplit/>
        </w:trPr>
        <w:tc>
          <w:tcPr>
            <w:tcW w:type="dxa" w:w="108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P04</w:t>
            </w:r>
          </w:p>
        </w:tc>
        <w:tc>
          <w:tcPr>
            <w:tcW w:type="dxa" w:w="502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100% casos críticos pasan.</w:t>
            </w:r>
          </w:p>
        </w:tc>
        <w:tc>
          <w:tcPr>
            <w:tcW w:type="dxa" w:w="172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1920</w:t>
            </w:r>
          </w:p>
        </w:tc>
        <w:tc>
          <w:tcPr>
            <w:tcW w:type="dxa" w:w="216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2,60</w:t>
            </w:r>
          </w:p>
        </w:tc>
      </w:tr>
      <w:tr>
        <w:trPr>
          <w:cantSplit/>
        </w:trPr>
        <w:tc>
          <w:tcPr>
            <w:tcW w:type="dxa" w:w="10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P05</w:t>
            </w:r>
          </w:p>
        </w:tc>
        <w:tc>
          <w:tcPr>
            <w:tcW w:type="dxa" w:w="502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Recuperación y ensayos completos.</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1920</w:t>
            </w:r>
          </w:p>
        </w:tc>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2,60</w:t>
            </w:r>
          </w:p>
        </w:tc>
      </w:tr>
      <w:tr>
        <w:trPr>
          <w:cantSplit/>
        </w:trPr>
        <w:tc>
          <w:tcPr>
            <w:tcW w:type="dxa" w:w="108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P06</w:t>
            </w:r>
          </w:p>
        </w:tc>
        <w:tc>
          <w:tcPr>
            <w:tcW w:type="dxa" w:w="502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100% áreas con revisión.</w:t>
            </w:r>
          </w:p>
        </w:tc>
        <w:tc>
          <w:tcPr>
            <w:tcW w:type="dxa" w:w="172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1200</w:t>
            </w:r>
          </w:p>
        </w:tc>
        <w:tc>
          <w:tcPr>
            <w:tcW w:type="dxa" w:w="216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3,33</w:t>
            </w:r>
          </w:p>
        </w:tc>
      </w:tr>
    </w:tbl>
    <w:p>
      <w:pPr>
        <w:spacing w:after="0"/>
      </w:pPr>
    </w:p>
    <w:p>
      <w:r>
        <w:rPr>
          <w:b w:val="0"/>
        </w:rPr>
        <w:t>Ejemplo: P01 = 5 ÷ 1,440 = 3,47 puntos de impacto por mil USD. Un índice mayor no permite posponer un control obligatorio ni eliminar dependencias. La clasificación económica definitiva requiere T0, volúmenes, costos de esfuerzo y pérdidas evitables validadas por finanzas.</w:t>
      </w:r>
    </w:p>
    <w:p>
      <w:r>
        <w:rPr>
          <w:b w:val="0"/>
        </w:rPr>
        <w:t>Puertas de decisión: primero comprobar obligación o riesgo crítico; después dependencia y capacidad; luego beneficio esperado frente al costo total; por último autorizar alcance y fondos. Una iniciativa sin dueño, evidencia mínima o financiamiento pasa a espera, aunque obtenga buena puntuación.</w:t>
      </w:r>
    </w:p>
    <w:p>
      <w:r>
        <w:br w:type="page"/>
      </w:r>
    </w:p>
    <w:p>
      <w:pPr>
        <w:pStyle w:val="Heading1"/>
      </w:pPr>
      <w:r>
        <w:t>15 Hoja de ruta</w:t>
      </w:r>
    </w:p>
    <w:p>
      <w:pPr>
        <w:pStyle w:val="Heading2"/>
      </w:pPr>
      <w:r>
        <w:t>Año 1 diagnóstico gobierno y piloto</w:t>
      </w:r>
    </w:p>
    <w:p>
      <w:r>
        <w:rPr>
          <w:b w:val="0"/>
        </w:rPr>
        <w:t>La fase 1 solicitada en clase comprende diagnóstico, presupuesto, rediseño organizacional, políticas, reglamento, estándares, prototipo y plan de desarrollo. El paquete inicial de ocho semanas constituye su primera parte; el resto del Año 1 comprueba adopción, resultados y sostenibilidad [F01, F07].</w:t>
      </w:r>
    </w:p>
    <w:tbl>
      <w:tblPr>
        <w:tblW w:type="auto" w:w="0"/>
        <w:jc w:val="center"/>
        <w:tblLayout w:type="fixed"/>
        <w:tblLook w:firstColumn="1" w:firstRow="1" w:lastColumn="0" w:lastRow="0" w:noHBand="0" w:noVBand="1" w:val="04A0"/>
      </w:tblPr>
      <w:tblGrid>
        <w:gridCol w:w="1440"/>
        <w:gridCol w:w="4320"/>
        <w:gridCol w:w="4234"/>
      </w:tblGrid>
      <w:tr>
        <w:trPr>
          <w:tblHeader/>
          <w:cantSplit/>
        </w:trPr>
        <w:tc>
          <w:tcPr>
            <w:tcW w:type="dxa" w:w="1440"/>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jc w:val="left"/>
            </w:pPr>
            <w:r>
              <w:rPr>
                <w:b/>
                <w:color w:val="FFFFFF"/>
                <w:sz w:val="18"/>
              </w:rPr>
              <w:t>Periodo</w:t>
            </w:r>
          </w:p>
        </w:tc>
        <w:tc>
          <w:tcPr>
            <w:tcW w:type="dxa" w:w="4320"/>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Hito y responsable</w:t>
            </w:r>
          </w:p>
        </w:tc>
        <w:tc>
          <w:tcPr>
            <w:tcW w:type="dxa" w:w="4234"/>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Dependencia y salida</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M1 / S1–S4</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TI y negocio: diagnóstico, áreas, T0, presupuesto y reglas.</w:t>
            </w:r>
          </w:p>
        </w:tc>
        <w:tc>
          <w:tcPr>
            <w:tcW w:type="dxa" w:w="423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Patrocinio y acceso autorizado; inventario inicial y diseño validados.</w:t>
            </w:r>
          </w:p>
        </w:tc>
      </w:tr>
      <w:tr>
        <w:trPr>
          <w:cantSplit/>
        </w:trPr>
        <w:tc>
          <w:tcPr>
            <w:tcW w:type="dxa" w:w="14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M2 / S5–S8</w:t>
            </w:r>
          </w:p>
        </w:tc>
        <w:tc>
          <w:tcPr>
            <w:tcW w:type="dxa" w:w="43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Desarrollo, QA y operación: mejoras, regresión, recuperación y UAT.</w:t>
            </w:r>
          </w:p>
        </w:tc>
        <w:tc>
          <w:tcPr>
            <w:tcW w:type="dxa" w:w="423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Reglas acordadas; acta de decisión de piloto y pendientes.</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M3</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Calidad: evaluar OE03 y primer ciclo completo de servicio.</w:t>
            </w:r>
          </w:p>
        </w:tc>
        <w:tc>
          <w:tcPr>
            <w:tcW w:type="dxa" w:w="423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Muestra válida; ≥95% trazabilidad o plan correctivo.</w:t>
            </w:r>
          </w:p>
        </w:tc>
      </w:tr>
      <w:tr>
        <w:trPr>
          <w:cantSplit/>
        </w:trPr>
        <w:tc>
          <w:tcPr>
            <w:tcW w:type="dxa" w:w="14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M4</w:t>
            </w:r>
          </w:p>
        </w:tc>
        <w:tc>
          <w:tcPr>
            <w:tcW w:type="dxa" w:w="43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Líderes y TI: revisar barreras de adopción y permisos.</w:t>
            </w:r>
          </w:p>
        </w:tc>
        <w:tc>
          <w:tcPr>
            <w:tcW w:type="dxa" w:w="423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Evidencia de uso; formación de refuerzo y accesos revisados.</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M5</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Operación: evaluar capacidad, incidentes y continuidad.</w:t>
            </w:r>
          </w:p>
        </w:tc>
        <w:tc>
          <w:tcPr>
            <w:tcW w:type="dxa" w:w="423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Datos conciliados; decisión de sostener o limitar expansión.</w:t>
            </w:r>
          </w:p>
        </w:tc>
      </w:tr>
      <w:tr>
        <w:trPr>
          <w:cantSplit/>
        </w:trPr>
        <w:tc>
          <w:tcPr>
            <w:tcW w:type="dxa" w:w="14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M6</w:t>
            </w:r>
          </w:p>
        </w:tc>
        <w:tc>
          <w:tcPr>
            <w:tcW w:type="dxa" w:w="43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Comité: evaluar OE01 y comenzar revisión de todas las áreas.</w:t>
            </w:r>
          </w:p>
        </w:tc>
        <w:tc>
          <w:tcPr>
            <w:tcW w:type="dxa" w:w="423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Captura ≥90%; actas del 100% de áreas o corrección.</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M7</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TI y finanzas: contrastar demanda y gasto.</w:t>
            </w:r>
          </w:p>
        </w:tc>
        <w:tc>
          <w:tcPr>
            <w:tcW w:type="dxa" w:w="423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Datos M1–M6; previsión actualizada del segundo semestre.</w:t>
            </w:r>
          </w:p>
        </w:tc>
      </w:tr>
      <w:tr>
        <w:trPr>
          <w:cantSplit/>
        </w:trPr>
        <w:tc>
          <w:tcPr>
            <w:tcW w:type="dxa" w:w="14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M8</w:t>
            </w:r>
          </w:p>
        </w:tc>
        <w:tc>
          <w:tcPr>
            <w:tcW w:type="dxa" w:w="43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Dueño de proceso: revisar flujo y muestra de esfuerzo.</w:t>
            </w:r>
          </w:p>
        </w:tc>
        <w:tc>
          <w:tcPr>
            <w:tcW w:type="dxa" w:w="423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Mismo método T0; correcciones sin romper comparabilidad.</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M9</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Operación y seguridad: restauración y revisión de riesgos.</w:t>
            </w:r>
          </w:p>
        </w:tc>
        <w:tc>
          <w:tcPr>
            <w:tcW w:type="dxa" w:w="423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Copia y entorno aislado; registro de ensayo y acciones.</w:t>
            </w:r>
          </w:p>
        </w:tc>
      </w:tr>
      <w:tr>
        <w:trPr>
          <w:cantSplit/>
        </w:trPr>
        <w:tc>
          <w:tcPr>
            <w:tcW w:type="dxa" w:w="14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M10</w:t>
            </w:r>
          </w:p>
        </w:tc>
        <w:tc>
          <w:tcPr>
            <w:tcW w:type="dxa" w:w="43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Comité: preparar casos de adquisiciones y desarrollo A2.</w:t>
            </w:r>
          </w:p>
        </w:tc>
        <w:tc>
          <w:tcPr>
            <w:tcW w:type="dxa" w:w="423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Brechas confirmadas; opciones y costo total por estimar.</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M11</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Finanzas y áreas: preparar presupuesto y cartera A2.</w:t>
            </w:r>
          </w:p>
        </w:tc>
        <w:tc>
          <w:tcPr>
            <w:tcW w:type="dxa" w:w="423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Capacidad y beneficios parciales; propuesta priorizada.</w:t>
            </w:r>
          </w:p>
        </w:tc>
      </w:tr>
      <w:tr>
        <w:trPr>
          <w:cantSplit/>
        </w:trPr>
        <w:tc>
          <w:tcPr>
            <w:tcW w:type="dxa" w:w="14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M12</w:t>
            </w:r>
          </w:p>
        </w:tc>
        <w:tc>
          <w:tcPr>
            <w:tcW w:type="dxa" w:w="43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Patrocinador: evaluar OE02 y PETI anual.</w:t>
            </w:r>
          </w:p>
        </w:tc>
        <w:tc>
          <w:tcPr>
            <w:tcW w:type="dxa" w:w="423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Comparación T0 válida; decisión sobre continuidad y A2.</w:t>
            </w:r>
          </w:p>
        </w:tc>
      </w:tr>
    </w:tbl>
    <w:p>
      <w:pPr>
        <w:spacing w:after="0"/>
      </w:pPr>
    </w:p>
    <w:p>
      <w:r>
        <w:rPr>
          <w:b w:val="0"/>
        </w:rPr>
        <w:t>La restauración trimestral se programa en M3, M6, M9 y M12, además de la prueba previa a apertura. Las revisiones mensuales se preparan desde M1 y son exigibles para OE06 desde M6. Si T0 cambia, se desplazan los plazos; no se presentan estos meses como fechas ya transcurridas.</w:t>
      </w:r>
    </w:p>
    <w:p>
      <w:r>
        <w:br w:type="page"/>
      </w:r>
    </w:p>
    <w:p>
      <w:pPr>
        <w:pStyle w:val="Heading2"/>
      </w:pPr>
      <w:r>
        <w:t>Hoja de ruta de consolidación e innovación</w:t>
      </w:r>
    </w:p>
    <w:p>
      <w:r>
        <w:rPr>
          <w:b w:val="0"/>
        </w:rPr>
        <w:t>Las fases 2 y 3 amplían la perspectiva del PETI. El presupuesto recurrente conserva el servicio base; las transformaciones siguientes requieren proyectos adicionales, con estimación y aprobación propias. No se presupone que ocho horas mensuales de soporte financien nuevos desarrollos.</w:t>
      </w:r>
    </w:p>
    <w:tbl>
      <w:tblPr>
        <w:tblW w:type="auto" w:w="0"/>
        <w:jc w:val="center"/>
        <w:tblLayout w:type="fixed"/>
        <w:tblLook w:firstColumn="1" w:firstRow="1" w:lastColumn="0" w:lastRow="0" w:noHBand="0" w:noVBand="1" w:val="04A0"/>
      </w:tblPr>
      <w:tblGrid>
        <w:gridCol w:w="1440"/>
        <w:gridCol w:w="3917"/>
        <w:gridCol w:w="4637"/>
      </w:tblGrid>
      <w:tr>
        <w:trPr>
          <w:tblHeader/>
          <w:cantSplit/>
        </w:trPr>
        <w:tc>
          <w:tcPr>
            <w:tcW w:type="dxa" w:w="1440"/>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jc w:val="left"/>
            </w:pPr>
            <w:r>
              <w:rPr>
                <w:b/>
                <w:color w:val="FFFFFF"/>
                <w:sz w:val="18"/>
              </w:rPr>
              <w:t>Horizonte</w:t>
            </w:r>
          </w:p>
        </w:tc>
        <w:tc>
          <w:tcPr>
            <w:tcW w:type="dxa" w:w="3917"/>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Hitos y responsables</w:t>
            </w:r>
          </w:p>
        </w:tc>
        <w:tc>
          <w:tcPr>
            <w:tcW w:type="dxa" w:w="4637"/>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Dependencias entregables y puerta de salida</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Año 2</w:t>
              <w:br/>
              <w:t>Fase 2</w:t>
            </w:r>
          </w:p>
        </w:tc>
        <w:tc>
          <w:tcPr>
            <w:tcW w:type="dxa" w:w="391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TI y áreas: consolidar aplicación y formación; definir adquisiciones; formalizar gestión de servicios y BCP/DR.</w:t>
            </w:r>
          </w:p>
        </w:tc>
        <w:tc>
          <w:tcPr>
            <w:tcW w:type="dxa" w:w="463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Evaluación M12 y fondos adicionales. Entregables: backlog aprobado, plan de formación, inventario y compras justificadas, catálogo y BCP/DR probados. Salida: beneficios y capacidad revisados.</w:t>
            </w:r>
          </w:p>
        </w:tc>
      </w:tr>
      <w:tr>
        <w:trPr>
          <w:cantSplit/>
        </w:trPr>
        <w:tc>
          <w:tcPr>
            <w:tcW w:type="dxa" w:w="14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Año 3</w:t>
              <w:br/>
              <w:t>Fase 2</w:t>
            </w:r>
          </w:p>
        </w:tc>
        <w:tc>
          <w:tcPr>
            <w:tcW w:type="dxa" w:w="391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Operación y comité: ampliar solo donde exista valor; revisar rendimiento, soporte, proveedores y continuidad.</w:t>
            </w:r>
          </w:p>
        </w:tc>
        <w:tc>
          <w:tcPr>
            <w:tcW w:type="dxa" w:w="463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Caso aprobado por ampliación. Entregables: acuerdos de servicio, ejercicios interáreas, evaluación de salida de proveedor y resultados comparables. Salida: ninguna ampliación sin dueño, capacidad y evidencia.</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Año 4</w:t>
              <w:br/>
              <w:t>Fase 3</w:t>
            </w:r>
          </w:p>
        </w:tc>
        <w:tc>
          <w:tcPr>
            <w:tcW w:type="dxa" w:w="391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TI, seguridad y negocio: explorar innovación y un caso acotado de IA si la calidad de datos lo permite.</w:t>
            </w:r>
          </w:p>
        </w:tc>
        <w:tc>
          <w:tcPr>
            <w:tcW w:type="dxa" w:w="463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Problema medido, datos autorizados y presupuesto nuevo. Entregables: evaluación de privacidad y riesgo, alternativa sin IA, prototipo aislado y prueba de beneficio. Salida: continuar, corregir o descartar.</w:t>
            </w:r>
          </w:p>
        </w:tc>
      </w:tr>
      <w:tr>
        <w:trPr>
          <w:cantSplit/>
        </w:trPr>
        <w:tc>
          <w:tcPr>
            <w:tcW w:type="dxa" w:w="144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Año 5</w:t>
              <w:br/>
              <w:t>Fase 3</w:t>
            </w:r>
          </w:p>
        </w:tc>
        <w:tc>
          <w:tcPr>
            <w:tcW w:type="dxa" w:w="391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Patrocinador y comité: evaluar sostenibilidad, renovación tecnológica y siguiente PETI.</w:t>
            </w:r>
          </w:p>
        </w:tc>
        <w:tc>
          <w:tcPr>
            <w:tcW w:type="dxa" w:w="463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Evidencias A1–A4. Entregables: balance de beneficios y costos, plan de renovación, cierre de iniciativas y estrategia siguiente. Salida: aprobación del nuevo horizonte.</w:t>
            </w:r>
          </w:p>
        </w:tc>
      </w:tr>
    </w:tbl>
    <w:p>
      <w:pPr>
        <w:spacing w:after="0"/>
      </w:pPr>
    </w:p>
    <w:p>
      <w:pPr>
        <w:pStyle w:val="Heading2"/>
      </w:pPr>
      <w:r>
        <w:t>Plan de desarrollo y adquisiciones de los años 2 y 3</w:t>
      </w:r>
    </w:p>
    <w:p>
      <w:r>
        <w:rPr>
          <w:b w:val="0"/>
        </w:rPr>
        <w:t>El plan de desarrollo se construye a partir de las brechas reales del piloto: mejoras de experiencia y flujos, calidad de datos, reportes, pruebas y operación. TI define requisitos; negocio los prioriza; seguridad revisa exposición; finanzas valida costo total. La contratación puede comparar desarrollo propio, paquete adaptable o SaaS sin atribuir precios de mercado no consultados.</w:t>
      </w:r>
    </w:p>
    <w:p>
      <w:r>
        <w:rPr>
          <w:b w:val="0"/>
        </w:rPr>
        <w:t>La adquisición de equipos, conectividad, licencias, alojamiento o herramientas necesita inventario, carga medida, compatibilidad, soporte, seguridad, plazo de vida, recuperación y salida. El expediente contendrá requerimiento, alternativas, evaluación, cotización, fuente de fondos, aprobador y criterio de aceptación. El registro de activos y la formación se actualizan antes de poner el recurso en servicio.</w:t>
      </w:r>
    </w:p>
    <w:p>
      <w:pPr>
        <w:pStyle w:val="Heading2"/>
      </w:pPr>
      <w:r>
        <w:t>Condiciones para innovación e IA</w:t>
      </w:r>
    </w:p>
    <w:p>
      <w:r>
        <w:rPr>
          <w:b w:val="0"/>
        </w:rPr>
        <w:t>No se enviarán tickets reales a una herramienta de IA sin autorización sobre datos y destino. Un eventual caso de clasificación o apoyo a consultas debe tener revisión humana, evaluación de errores, protección de información y mecanismo de retiro. La eficiencia se comparará con una alternativa sencilla. El piloto puede descartarse si el costo, el riesgo o la calidad no justifican continuar.</w:t>
      </w:r>
    </w:p>
    <w:p>
      <w:r>
        <w:br w:type="page"/>
      </w:r>
    </w:p>
    <w:p>
      <w:pPr>
        <w:pStyle w:val="Heading1"/>
      </w:pPr>
      <w:r>
        <w:t>16 Recursos humanos</w:t>
      </w:r>
    </w:p>
    <w:p>
      <w:r>
        <w:rPr>
          <w:b w:val="0"/>
        </w:rPr>
        <w:t>Se propone una estructura funcional sin atribuirla a la plantilla real: patrocinador → coordinación TI → desarrollo y operación; seguridad y calidad revisan controles con escalamiento al patrocinador. Los líderes de área gobiernan la atención de negocio. Una misma persona puede asumir funciones compatibles, con revisión independiente para accesos críticos, cambios y aceptación.</w:t>
      </w:r>
    </w:p>
    <w:tbl>
      <w:tblPr>
        <w:tblW w:type="auto" w:w="0"/>
        <w:jc w:val="center"/>
        <w:tblLayout w:type="fixed"/>
        <w:tblLook w:firstColumn="1" w:firstRow="1" w:lastColumn="0" w:lastRow="0" w:noHBand="0" w:noVBand="1" w:val="04A0"/>
      </w:tblPr>
      <w:tblGrid>
        <w:gridCol w:w="2160"/>
        <w:gridCol w:w="5904"/>
        <w:gridCol w:w="1930"/>
      </w:tblGrid>
      <w:tr>
        <w:trPr>
          <w:tblHeader/>
          <w:cantSplit/>
        </w:trPr>
        <w:tc>
          <w:tcPr>
            <w:tcW w:type="dxa" w:w="2160"/>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jc w:val="left"/>
            </w:pPr>
            <w:r>
              <w:rPr>
                <w:b/>
                <w:color w:val="FFFFFF"/>
                <w:sz w:val="18"/>
              </w:rPr>
              <w:t>Rol</w:t>
            </w:r>
          </w:p>
        </w:tc>
        <w:tc>
          <w:tcPr>
            <w:tcW w:type="dxa" w:w="5904"/>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Autoridad funciones y competencias</w:t>
            </w:r>
          </w:p>
        </w:tc>
        <w:tc>
          <w:tcPr>
            <w:tcW w:type="dxa" w:w="1930"/>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Horas iniciales</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Coordinación y análisis</w:t>
            </w:r>
          </w:p>
        </w:tc>
        <w:tc>
          <w:tcPr>
            <w:tcW w:type="dxa" w:w="59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Planificar cartera, costo y riesgos; acordar requisitos y reportar. Competencias de gestión, análisis y comunicación. No aprueba su propio gasto.</w:t>
            </w:r>
          </w:p>
        </w:tc>
        <w:tc>
          <w:tcPr>
            <w:tcW w:type="dxa" w:w="193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48 h</w:t>
              <w:br/>
              <w:t>6 h/semana</w:t>
            </w:r>
          </w:p>
        </w:tc>
      </w:tr>
      <w:tr>
        <w:trPr>
          <w:cantSplit/>
        </w:trPr>
        <w:tc>
          <w:tcPr>
            <w:tcW w:type="dxa" w:w="216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Desarrollo</w:t>
            </w:r>
          </w:p>
        </w:tc>
        <w:tc>
          <w:tcPr>
            <w:tcW w:type="dxa" w:w="590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Mantener web/API/datos, probar cambios y documentar. Competencias TypeScript, Next.js, NestJS y Prisma. No promueve sin revisión.</w:t>
            </w:r>
          </w:p>
        </w:tc>
        <w:tc>
          <w:tcPr>
            <w:tcW w:type="dxa" w:w="193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168 h</w:t>
              <w:br/>
              <w:t>21 h/semana</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Calidad y seguridad</w:t>
            </w:r>
          </w:p>
        </w:tc>
        <w:tc>
          <w:tcPr>
            <w:tcW w:type="dxa" w:w="59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Diseñar casos por riesgo, comprobar permisos y evidencias, escalar fallos. Revisión distinta del autor del cambio.</w:t>
            </w:r>
          </w:p>
        </w:tc>
        <w:tc>
          <w:tcPr>
            <w:tcW w:type="dxa" w:w="193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56 h</w:t>
              <w:br/>
              <w:t>7 h/semana</w:t>
            </w:r>
          </w:p>
        </w:tc>
      </w:tr>
      <w:tr>
        <w:trPr>
          <w:cantSplit/>
        </w:trPr>
        <w:tc>
          <w:tcPr>
            <w:tcW w:type="dxa" w:w="216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Operación y formación</w:t>
            </w:r>
          </w:p>
        </w:tc>
        <w:tc>
          <w:tcPr>
            <w:tcW w:type="dxa" w:w="590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Soporte, inventario, copias, recuperación, guías y formación. Competencias de diagnóstico y comunicación; suplente designado.</w:t>
            </w:r>
          </w:p>
        </w:tc>
        <w:tc>
          <w:tcPr>
            <w:tcW w:type="dxa" w:w="193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48 h</w:t>
              <w:br/>
              <w:t>6 h/semana</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Total agregado</w:t>
            </w:r>
          </w:p>
        </w:tc>
        <w:tc>
          <w:tcPr>
            <w:tcW w:type="dxa" w:w="59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No representa cuatro plazas ni una nómina aprobada.</w:t>
            </w:r>
          </w:p>
        </w:tc>
        <w:tc>
          <w:tcPr>
            <w:tcW w:type="dxa" w:w="193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320 h</w:t>
              <w:br/>
              <w:t>40 h/semana</w:t>
            </w:r>
          </w:p>
        </w:tc>
      </w:tr>
    </w:tbl>
    <w:p>
      <w:pPr>
        <w:spacing w:after="0"/>
      </w:pPr>
    </w:p>
    <w:p>
      <w:pPr>
        <w:pStyle w:val="Heading2"/>
      </w:pPr>
      <w:r>
        <w:t>Capacidad y rediseño organizacional</w:t>
      </w:r>
    </w:p>
    <w:p>
      <w:r>
        <w:rPr>
          <w:b w:val="0"/>
        </w:rPr>
        <w:t>TI levantará disponibilidad por persona, competencias y carga habitual. Capacidad semanal = personas × horas asignables × factor de disponibilidad. Como ejemplo, dos colaboradores con 25 horas semanales y disponibilidad 0,80 aportan 40 horas agregadas; no se afirma que esa dotación exista. Los líderes reservarán sesiones para decisiones y UAT; su tiempo interno debe identificarse y valorarse si genera costo adicional.</w:t>
      </w:r>
    </w:p>
    <w:p>
      <w:r>
        <w:rPr>
          <w:b w:val="0"/>
        </w:rPr>
        <w:t>Se propone separar la autoridad del proceso de la administración técnica: los líderes deciden prioridad y cierre, TI gestiona el servicio y seguridad revisa controles. Cada función tendrá suplente y guía operativa. Si carga/capacidad supera 1 durante dos semanas o se incumple atención crítica, coordinación propone reducir alcance, reasignar capacidad o contratar con fondos autorizados.</w:t>
      </w:r>
    </w:p>
    <w:p>
      <w:pPr>
        <w:pStyle w:val="Heading2"/>
      </w:pPr>
      <w:r>
        <w:t>Formación y ciclo de personas</w:t>
      </w:r>
    </w:p>
    <w:p>
      <w:r>
        <w:rPr>
          <w:b w:val="0"/>
        </w:rPr>
        <w:t>P01 preparará inducción para solicitantes y responsables con ejercicios de registro, asignación, seguimiento y cierre; P04 añadirá privacidad y permisos; P05 entrenará restauración y contingencia; P06 explicará indicadores. La aprobación exige realizar una tarea práctica y corregir errores, además de registrar asistencia. TI revisará dudas tras dos semanas y en M3.</w:t>
      </w:r>
    </w:p>
    <w:p>
      <w:r>
        <w:rPr>
          <w:b w:val="0"/>
        </w:rPr>
        <w:t>RRHH y coordinación documentarán perfiles, experiencia verificable, acceso requerido, confidencialidad y suplencia antes de contratar. La selección usará criterios y prueba técnica aislada; la inducción aplicará mínimo privilegio. La baja revocará accesos, recuperará activos y transferirá pendientes. La evaluación trimestral valorará calidad de atención, evidencia y colaboración; no comparará personas solo por promedios de auditoría con muestras distintas.</w:t>
      </w:r>
    </w:p>
    <w:p>
      <w:r>
        <w:br w:type="page"/>
      </w:r>
    </w:p>
    <w:p>
      <w:pPr>
        <w:pStyle w:val="Heading1"/>
      </w:pPr>
      <w:r>
        <w:t>17 Presupuesto</w:t>
      </w:r>
    </w:p>
    <w:p>
      <w:r>
        <w:rPr>
          <w:b w:val="0"/>
        </w:rPr>
        <w:t>Todos los valores son estimaciones ilustrativas en USD, no cotizaciones, tarifas vigentes ni fondos aprobados. El escenario conserva la base del proyecto integrado y la propuesta económica [F04, F06]. Las horas se asignan a proyectos y perfiles sin sumarse dos veces.</w:t>
      </w:r>
    </w:p>
    <w:tbl>
      <w:tblPr>
        <w:tblW w:type="auto" w:w="0"/>
        <w:jc w:val="center"/>
        <w:tblLayout w:type="fixed"/>
        <w:tblLook w:firstColumn="1" w:firstRow="1" w:lastColumn="0" w:lastRow="0" w:noHBand="0" w:noVBand="1" w:val="04A0"/>
      </w:tblPr>
      <w:tblGrid>
        <w:gridCol w:w="2736"/>
        <w:gridCol w:w="1728"/>
        <w:gridCol w:w="2592"/>
        <w:gridCol w:w="2938"/>
      </w:tblGrid>
      <w:tr>
        <w:trPr>
          <w:tblHeader/>
          <w:cantSplit/>
        </w:trPr>
        <w:tc>
          <w:tcPr>
            <w:tcW w:type="dxa" w:w="2736"/>
            <w:vAlign w:val="center"/>
            <w:tcBorders>
              <w:top w:val="single" w:sz="4" w:color="D9D9D9"/>
              <w:left w:val="single" w:sz="4" w:color="D9D9D9"/>
              <w:bottom w:val="single" w:sz="4" w:color="D9D9D9"/>
              <w:right w:val="single" w:sz="4" w:color="D9D9D9"/>
            </w:tcBorders>
            <w:shd w:fill="233343"/>
            <w:tcMar>
              <w:top w:w="35" w:type="dxa"/>
              <w:left w:w="85" w:type="dxa"/>
              <w:bottom w:w="35" w:type="dxa"/>
              <w:right w:w="85" w:type="dxa"/>
            </w:tcMar>
          </w:tcPr>
          <w:p>
            <w:pPr>
              <w:spacing w:after="20" w:before="20" w:line="240" w:lineRule="auto"/>
              <w:jc w:val="left"/>
            </w:pPr>
            <w:r>
              <w:rPr>
                <w:b/>
                <w:color w:val="FFFFFF"/>
                <w:sz w:val="18"/>
              </w:rPr>
              <w:t>Proyecto</w:t>
            </w:r>
          </w:p>
        </w:tc>
        <w:tc>
          <w:tcPr>
            <w:tcW w:type="dxa" w:w="1728"/>
            <w:vAlign w:val="center"/>
            <w:tcBorders>
              <w:top w:val="single" w:sz="4" w:color="D9D9D9"/>
              <w:left w:val="single" w:sz="4" w:color="D9D9D9"/>
              <w:bottom w:val="single" w:sz="4" w:color="D9D9D9"/>
              <w:right w:val="single" w:sz="4" w:color="D9D9D9"/>
            </w:tcBorders>
            <w:shd w:fill="233343"/>
            <w:tcMar>
              <w:top w:w="35" w:type="dxa"/>
              <w:left w:w="85" w:type="dxa"/>
              <w:bottom w:w="35" w:type="dxa"/>
              <w:right w:w="85" w:type="dxa"/>
            </w:tcMar>
          </w:tcPr>
          <w:p>
            <w:pPr>
              <w:spacing w:after="20" w:before="20" w:line="240" w:lineRule="auto"/>
            </w:pPr>
            <w:r>
              <w:rPr>
                <w:b/>
                <w:color w:val="FFFFFF"/>
                <w:sz w:val="18"/>
              </w:rPr>
              <w:t>Horas</w:t>
            </w:r>
          </w:p>
        </w:tc>
        <w:tc>
          <w:tcPr>
            <w:tcW w:type="dxa" w:w="2592"/>
            <w:vAlign w:val="center"/>
            <w:tcBorders>
              <w:top w:val="single" w:sz="4" w:color="D9D9D9"/>
              <w:left w:val="single" w:sz="4" w:color="D9D9D9"/>
              <w:bottom w:val="single" w:sz="4" w:color="D9D9D9"/>
              <w:right w:val="single" w:sz="4" w:color="D9D9D9"/>
            </w:tcBorders>
            <w:shd w:fill="233343"/>
            <w:tcMar>
              <w:top w:w="35" w:type="dxa"/>
              <w:left w:w="85" w:type="dxa"/>
              <w:bottom w:w="35" w:type="dxa"/>
              <w:right w:w="85" w:type="dxa"/>
            </w:tcMar>
          </w:tcPr>
          <w:p>
            <w:pPr>
              <w:spacing w:after="20" w:before="20" w:line="240" w:lineRule="auto"/>
            </w:pPr>
            <w:r>
              <w:rPr>
                <w:b/>
                <w:color w:val="FFFFFF"/>
                <w:sz w:val="18"/>
              </w:rPr>
              <w:t>USD por hora</w:t>
            </w:r>
          </w:p>
        </w:tc>
        <w:tc>
          <w:tcPr>
            <w:tcW w:type="dxa" w:w="2938"/>
            <w:vAlign w:val="center"/>
            <w:tcBorders>
              <w:top w:val="single" w:sz="4" w:color="D9D9D9"/>
              <w:left w:val="single" w:sz="4" w:color="D9D9D9"/>
              <w:bottom w:val="single" w:sz="4" w:color="D9D9D9"/>
              <w:right w:val="single" w:sz="4" w:color="D9D9D9"/>
            </w:tcBorders>
            <w:shd w:fill="233343"/>
            <w:tcMar>
              <w:top w:w="35" w:type="dxa"/>
              <w:left w:w="85" w:type="dxa"/>
              <w:bottom w:w="35" w:type="dxa"/>
              <w:right w:w="85" w:type="dxa"/>
            </w:tcMar>
          </w:tcPr>
          <w:p>
            <w:pPr>
              <w:spacing w:after="20" w:before="20" w:line="240" w:lineRule="auto"/>
            </w:pPr>
            <w:r>
              <w:rPr>
                <w:b/>
                <w:color w:val="FFFFFF"/>
                <w:sz w:val="18"/>
              </w:rPr>
              <w:t>USD base</w:t>
            </w:r>
          </w:p>
        </w:tc>
      </w:tr>
      <w:tr>
        <w:trPr>
          <w:cantSplit/>
        </w:trPr>
        <w:tc>
          <w:tcPr>
            <w:tcW w:type="dxa" w:w="2736"/>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jc w:val="left"/>
            </w:pPr>
            <w:r>
              <w:rPr>
                <w:b w:val="0"/>
                <w:color w:val="000000"/>
                <w:sz w:val="18"/>
              </w:rPr>
              <w:t>P01</w:t>
            </w:r>
          </w:p>
        </w:tc>
        <w:tc>
          <w:tcPr>
            <w:tcW w:type="dxa" w:w="1728"/>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t>48</w:t>
            </w:r>
          </w:p>
        </w:tc>
        <w:tc>
          <w:tcPr>
            <w:tcW w:type="dxa" w:w="2592"/>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t>30</w:t>
            </w:r>
          </w:p>
        </w:tc>
        <w:tc>
          <w:tcPr>
            <w:tcW w:type="dxa" w:w="2938"/>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t>1440</w:t>
            </w:r>
          </w:p>
        </w:tc>
      </w:tr>
      <w:tr>
        <w:trPr>
          <w:cantSplit/>
        </w:trPr>
        <w:tc>
          <w:tcPr>
            <w:tcW w:type="dxa" w:w="2736"/>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jc w:val="left"/>
            </w:pPr>
            <w:r>
              <w:rPr>
                <w:b w:val="0"/>
                <w:color w:val="000000"/>
                <w:sz w:val="18"/>
              </w:rPr>
              <w:t>P02</w:t>
            </w:r>
          </w:p>
        </w:tc>
        <w:tc>
          <w:tcPr>
            <w:tcW w:type="dxa" w:w="1728"/>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pPr>
            <w:r>
              <w:rPr>
                <w:b w:val="0"/>
                <w:color w:val="000000"/>
                <w:sz w:val="18"/>
              </w:rPr>
              <w:t>64</w:t>
            </w:r>
          </w:p>
        </w:tc>
        <w:tc>
          <w:tcPr>
            <w:tcW w:type="dxa" w:w="2592"/>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pPr>
            <w:r>
              <w:rPr>
                <w:b w:val="0"/>
                <w:color w:val="000000"/>
                <w:sz w:val="18"/>
              </w:rPr>
              <w:t>30</w:t>
            </w:r>
          </w:p>
        </w:tc>
        <w:tc>
          <w:tcPr>
            <w:tcW w:type="dxa" w:w="2938"/>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pPr>
            <w:r>
              <w:rPr>
                <w:b w:val="0"/>
                <w:color w:val="000000"/>
                <w:sz w:val="18"/>
              </w:rPr>
              <w:t>1920</w:t>
            </w:r>
          </w:p>
        </w:tc>
      </w:tr>
      <w:tr>
        <w:trPr>
          <w:cantSplit/>
        </w:trPr>
        <w:tc>
          <w:tcPr>
            <w:tcW w:type="dxa" w:w="2736"/>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jc w:val="left"/>
            </w:pPr>
            <w:r>
              <w:rPr>
                <w:b w:val="0"/>
                <w:color w:val="000000"/>
                <w:sz w:val="18"/>
              </w:rPr>
              <w:t>P03</w:t>
            </w:r>
          </w:p>
        </w:tc>
        <w:tc>
          <w:tcPr>
            <w:tcW w:type="dxa" w:w="1728"/>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t>40</w:t>
            </w:r>
          </w:p>
        </w:tc>
        <w:tc>
          <w:tcPr>
            <w:tcW w:type="dxa" w:w="2592"/>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t>30</w:t>
            </w:r>
          </w:p>
        </w:tc>
        <w:tc>
          <w:tcPr>
            <w:tcW w:type="dxa" w:w="2938"/>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t>1200</w:t>
            </w:r>
          </w:p>
        </w:tc>
      </w:tr>
      <w:tr>
        <w:trPr>
          <w:cantSplit/>
        </w:trPr>
        <w:tc>
          <w:tcPr>
            <w:tcW w:type="dxa" w:w="2736"/>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jc w:val="left"/>
            </w:pPr>
            <w:r>
              <w:rPr>
                <w:b w:val="0"/>
                <w:color w:val="000000"/>
                <w:sz w:val="18"/>
              </w:rPr>
              <w:t>P04</w:t>
            </w:r>
          </w:p>
        </w:tc>
        <w:tc>
          <w:tcPr>
            <w:tcW w:type="dxa" w:w="1728"/>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pPr>
            <w:r>
              <w:rPr>
                <w:b w:val="0"/>
                <w:color w:val="000000"/>
                <w:sz w:val="18"/>
              </w:rPr>
              <w:t>64</w:t>
            </w:r>
          </w:p>
        </w:tc>
        <w:tc>
          <w:tcPr>
            <w:tcW w:type="dxa" w:w="2592"/>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pPr>
            <w:r>
              <w:rPr>
                <w:b w:val="0"/>
                <w:color w:val="000000"/>
                <w:sz w:val="18"/>
              </w:rPr>
              <w:t>30</w:t>
            </w:r>
          </w:p>
        </w:tc>
        <w:tc>
          <w:tcPr>
            <w:tcW w:type="dxa" w:w="2938"/>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pPr>
            <w:r>
              <w:rPr>
                <w:b w:val="0"/>
                <w:color w:val="000000"/>
                <w:sz w:val="18"/>
              </w:rPr>
              <w:t>1920</w:t>
            </w:r>
          </w:p>
        </w:tc>
      </w:tr>
      <w:tr>
        <w:trPr>
          <w:cantSplit/>
        </w:trPr>
        <w:tc>
          <w:tcPr>
            <w:tcW w:type="dxa" w:w="2736"/>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jc w:val="left"/>
            </w:pPr>
            <w:r>
              <w:rPr>
                <w:b w:val="0"/>
                <w:color w:val="000000"/>
                <w:sz w:val="18"/>
              </w:rPr>
              <w:t>P05</w:t>
            </w:r>
          </w:p>
        </w:tc>
        <w:tc>
          <w:tcPr>
            <w:tcW w:type="dxa" w:w="1728"/>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t>64</w:t>
            </w:r>
          </w:p>
        </w:tc>
        <w:tc>
          <w:tcPr>
            <w:tcW w:type="dxa" w:w="2592"/>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t>30</w:t>
            </w:r>
          </w:p>
        </w:tc>
        <w:tc>
          <w:tcPr>
            <w:tcW w:type="dxa" w:w="2938"/>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t>1920</w:t>
            </w:r>
          </w:p>
        </w:tc>
      </w:tr>
      <w:tr>
        <w:trPr>
          <w:cantSplit/>
        </w:trPr>
        <w:tc>
          <w:tcPr>
            <w:tcW w:type="dxa" w:w="2736"/>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jc w:val="left"/>
            </w:pPr>
            <w:r>
              <w:rPr>
                <w:b w:val="0"/>
                <w:color w:val="000000"/>
                <w:sz w:val="18"/>
              </w:rPr>
              <w:t>P06</w:t>
            </w:r>
          </w:p>
        </w:tc>
        <w:tc>
          <w:tcPr>
            <w:tcW w:type="dxa" w:w="1728"/>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pPr>
            <w:r>
              <w:rPr>
                <w:b w:val="0"/>
                <w:color w:val="000000"/>
                <w:sz w:val="18"/>
              </w:rPr>
              <w:t>40</w:t>
            </w:r>
          </w:p>
        </w:tc>
        <w:tc>
          <w:tcPr>
            <w:tcW w:type="dxa" w:w="2592"/>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pPr>
            <w:r>
              <w:rPr>
                <w:b w:val="0"/>
                <w:color w:val="000000"/>
                <w:sz w:val="18"/>
              </w:rPr>
              <w:t>30</w:t>
            </w:r>
          </w:p>
        </w:tc>
        <w:tc>
          <w:tcPr>
            <w:tcW w:type="dxa" w:w="2938"/>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pPr>
            <w:r>
              <w:rPr>
                <w:b w:val="0"/>
                <w:color w:val="000000"/>
                <w:sz w:val="18"/>
              </w:rPr>
              <w:t>1200</w:t>
            </w:r>
          </w:p>
        </w:tc>
      </w:tr>
      <w:tr>
        <w:trPr>
          <w:cantSplit/>
        </w:trPr>
        <w:tc>
          <w:tcPr>
            <w:tcW w:type="dxa" w:w="2736"/>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jc w:val="left"/>
            </w:pPr>
            <w:r>
              <w:rPr>
                <w:b w:val="0"/>
                <w:color w:val="000000"/>
                <w:sz w:val="18"/>
              </w:rPr>
              <w:t>Total base</w:t>
            </w:r>
          </w:p>
        </w:tc>
        <w:tc>
          <w:tcPr>
            <w:tcW w:type="dxa" w:w="1728"/>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t>320</w:t>
            </w:r>
          </w:p>
        </w:tc>
        <w:tc>
          <w:tcPr>
            <w:tcW w:type="dxa" w:w="2592"/>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t>30</w:t>
            </w:r>
          </w:p>
        </w:tc>
        <w:tc>
          <w:tcPr>
            <w:tcW w:type="dxa" w:w="2938"/>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t>9600</w:t>
            </w:r>
          </w:p>
        </w:tc>
      </w:tr>
      <w:tr>
        <w:trPr>
          <w:cantSplit/>
        </w:trPr>
        <w:tc>
          <w:tcPr>
            <w:tcW w:type="dxa" w:w="2736"/>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pPr>
            <w:r>
              <w:rPr>
                <w:b w:val="0"/>
                <w:color w:val="000000"/>
                <w:sz w:val="18"/>
              </w:rPr>
              <w:t>Reserva compartida 15%</w:t>
            </w:r>
          </w:p>
        </w:tc>
        <w:tc>
          <w:tcPr>
            <w:tcW w:type="dxa" w:w="1728"/>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pPr>
            <w:r>
              <w:rPr>
                <w:b w:val="0"/>
                <w:color w:val="000000"/>
                <w:sz w:val="18"/>
              </w:rPr>
              <w:t>No son horas</w:t>
            </w:r>
          </w:p>
        </w:tc>
        <w:tc>
          <w:tcPr>
            <w:tcW w:type="dxa" w:w="2592"/>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pPr>
            <w:r>
              <w:rPr>
                <w:b w:val="0"/>
                <w:color w:val="000000"/>
                <w:sz w:val="18"/>
              </w:rPr>
              <w:t>9.600 × 0,15</w:t>
            </w:r>
          </w:p>
        </w:tc>
        <w:tc>
          <w:tcPr>
            <w:tcW w:type="dxa" w:w="2938"/>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pPr>
            <w:r>
              <w:rPr>
                <w:b w:val="0"/>
                <w:color w:val="000000"/>
                <w:sz w:val="18"/>
              </w:rPr>
              <w:t>1440</w:t>
            </w:r>
          </w:p>
        </w:tc>
      </w:tr>
      <w:tr>
        <w:trPr>
          <w:cantSplit/>
        </w:trPr>
        <w:tc>
          <w:tcPr>
            <w:tcW w:type="dxa" w:w="2736"/>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jc w:val="left"/>
            </w:pPr>
            <w:r>
              <w:rPr>
                <w:b w:val="0"/>
                <w:color w:val="000000"/>
                <w:sz w:val="18"/>
              </w:rPr>
              <w:t>Total inicial</w:t>
            </w:r>
          </w:p>
        </w:tc>
        <w:tc>
          <w:tcPr>
            <w:tcW w:type="dxa" w:w="1728"/>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r>
          </w:p>
        </w:tc>
        <w:tc>
          <w:tcPr>
            <w:tcW w:type="dxa" w:w="2592"/>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r>
          </w:p>
        </w:tc>
        <w:tc>
          <w:tcPr>
            <w:tcW w:type="dxa" w:w="2938"/>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t>11040</w:t>
            </w:r>
          </w:p>
        </w:tc>
      </w:tr>
    </w:tbl>
    <w:p>
      <w:pPr>
        <w:spacing w:after="0"/>
      </w:pPr>
    </w:p>
    <w:tbl>
      <w:tblPr>
        <w:tblW w:type="auto" w:w="0"/>
        <w:jc w:val="center"/>
        <w:tblLayout w:type="fixed"/>
        <w:tblLook w:firstColumn="1" w:firstRow="1" w:lastColumn="0" w:lastRow="0" w:noHBand="0" w:noVBand="1" w:val="04A0"/>
      </w:tblPr>
      <w:tblGrid>
        <w:gridCol w:w="3456"/>
        <w:gridCol w:w="3600"/>
        <w:gridCol w:w="2938"/>
      </w:tblGrid>
      <w:tr>
        <w:trPr>
          <w:tblHeader/>
          <w:cantSplit/>
        </w:trPr>
        <w:tc>
          <w:tcPr>
            <w:tcW w:type="dxa" w:w="3456"/>
            <w:vAlign w:val="center"/>
            <w:tcBorders>
              <w:top w:val="single" w:sz="4" w:color="D9D9D9"/>
              <w:left w:val="single" w:sz="4" w:color="D9D9D9"/>
              <w:bottom w:val="single" w:sz="4" w:color="D9D9D9"/>
              <w:right w:val="single" w:sz="4" w:color="D9D9D9"/>
            </w:tcBorders>
            <w:shd w:fill="233343"/>
            <w:tcMar>
              <w:top w:w="35" w:type="dxa"/>
              <w:left w:w="85" w:type="dxa"/>
              <w:bottom w:w="35" w:type="dxa"/>
              <w:right w:w="85" w:type="dxa"/>
            </w:tcMar>
          </w:tcPr>
          <w:p>
            <w:pPr>
              <w:spacing w:after="20" w:before="20" w:line="240" w:lineRule="auto"/>
              <w:jc w:val="left"/>
            </w:pPr>
            <w:r>
              <w:rPr>
                <w:b/>
                <w:color w:val="FFFFFF"/>
                <w:sz w:val="18"/>
              </w:rPr>
              <w:t>Concepto recurrente</w:t>
            </w:r>
          </w:p>
        </w:tc>
        <w:tc>
          <w:tcPr>
            <w:tcW w:type="dxa" w:w="3600"/>
            <w:vAlign w:val="center"/>
            <w:tcBorders>
              <w:top w:val="single" w:sz="4" w:color="D9D9D9"/>
              <w:left w:val="single" w:sz="4" w:color="D9D9D9"/>
              <w:bottom w:val="single" w:sz="4" w:color="D9D9D9"/>
              <w:right w:val="single" w:sz="4" w:color="D9D9D9"/>
            </w:tcBorders>
            <w:shd w:fill="233343"/>
            <w:tcMar>
              <w:top w:w="35" w:type="dxa"/>
              <w:left w:w="85" w:type="dxa"/>
              <w:bottom w:w="35" w:type="dxa"/>
              <w:right w:w="85" w:type="dxa"/>
            </w:tcMar>
          </w:tcPr>
          <w:p>
            <w:pPr>
              <w:spacing w:after="20" w:before="20" w:line="240" w:lineRule="auto"/>
            </w:pPr>
            <w:r>
              <w:rPr>
                <w:b/>
                <w:color w:val="FFFFFF"/>
                <w:sz w:val="18"/>
              </w:rPr>
              <w:t>Cálculo</w:t>
            </w:r>
          </w:p>
        </w:tc>
        <w:tc>
          <w:tcPr>
            <w:tcW w:type="dxa" w:w="2938"/>
            <w:vAlign w:val="center"/>
            <w:tcBorders>
              <w:top w:val="single" w:sz="4" w:color="D9D9D9"/>
              <w:left w:val="single" w:sz="4" w:color="D9D9D9"/>
              <w:bottom w:val="single" w:sz="4" w:color="D9D9D9"/>
              <w:right w:val="single" w:sz="4" w:color="D9D9D9"/>
            </w:tcBorders>
            <w:shd w:fill="233343"/>
            <w:tcMar>
              <w:top w:w="35" w:type="dxa"/>
              <w:left w:w="85" w:type="dxa"/>
              <w:bottom w:w="35" w:type="dxa"/>
              <w:right w:w="85" w:type="dxa"/>
            </w:tcMar>
          </w:tcPr>
          <w:p>
            <w:pPr>
              <w:spacing w:after="20" w:before="20" w:line="240" w:lineRule="auto"/>
            </w:pPr>
            <w:r>
              <w:rPr>
                <w:b/>
                <w:color w:val="FFFFFF"/>
                <w:sz w:val="18"/>
              </w:rPr>
              <w:t>USD</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t>Infraestructura mensual</w:t>
            </w:r>
          </w:p>
        </w:tc>
        <w:tc>
          <w:tcPr>
            <w:tcW w:type="dxa" w:w="3600"/>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t>Supuesto por validar</w:t>
            </w:r>
          </w:p>
        </w:tc>
        <w:tc>
          <w:tcPr>
            <w:tcW w:type="dxa" w:w="2938"/>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t>80</w:t>
            </w:r>
          </w:p>
        </w:tc>
      </w:tr>
      <w:tr>
        <w:trPr>
          <w:cantSplit/>
        </w:trPr>
        <w:tc>
          <w:tcPr>
            <w:tcW w:type="dxa" w:w="3456"/>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jc w:val="left"/>
            </w:pPr>
            <w:r>
              <w:rPr>
                <w:b w:val="0"/>
                <w:color w:val="000000"/>
                <w:sz w:val="18"/>
              </w:rPr>
              <w:t>Soporte mensual</w:t>
            </w:r>
          </w:p>
        </w:tc>
        <w:tc>
          <w:tcPr>
            <w:tcW w:type="dxa" w:w="3600"/>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pPr>
            <w:r>
              <w:rPr>
                <w:b w:val="0"/>
                <w:color w:val="000000"/>
                <w:sz w:val="18"/>
              </w:rPr>
              <w:t>8 h × USD 30</w:t>
            </w:r>
          </w:p>
        </w:tc>
        <w:tc>
          <w:tcPr>
            <w:tcW w:type="dxa" w:w="2938"/>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pPr>
            <w:r>
              <w:rPr>
                <w:b w:val="0"/>
                <w:color w:val="000000"/>
                <w:sz w:val="18"/>
              </w:rPr>
              <w:t>240</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jc w:val="left"/>
            </w:pPr>
            <w:r>
              <w:rPr>
                <w:b w:val="0"/>
                <w:color w:val="000000"/>
                <w:sz w:val="18"/>
              </w:rPr>
              <w:t>Total mensual</w:t>
            </w:r>
          </w:p>
        </w:tc>
        <w:tc>
          <w:tcPr>
            <w:tcW w:type="dxa" w:w="3600"/>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t>80 + 240</w:t>
            </w:r>
          </w:p>
        </w:tc>
        <w:tc>
          <w:tcPr>
            <w:tcW w:type="dxa" w:w="2938"/>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t>320</w:t>
            </w:r>
          </w:p>
        </w:tc>
      </w:tr>
      <w:tr>
        <w:trPr>
          <w:cantSplit/>
        </w:trPr>
        <w:tc>
          <w:tcPr>
            <w:tcW w:type="dxa" w:w="3456"/>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jc w:val="left"/>
            </w:pPr>
            <w:r>
              <w:rPr>
                <w:b w:val="0"/>
                <w:color w:val="000000"/>
                <w:sz w:val="18"/>
              </w:rPr>
              <w:t>Total anual</w:t>
            </w:r>
          </w:p>
        </w:tc>
        <w:tc>
          <w:tcPr>
            <w:tcW w:type="dxa" w:w="3600"/>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pPr>
            <w:r>
              <w:rPr>
                <w:b w:val="0"/>
                <w:color w:val="000000"/>
                <w:sz w:val="18"/>
              </w:rPr>
              <w:t>320 × 12</w:t>
            </w:r>
          </w:p>
        </w:tc>
        <w:tc>
          <w:tcPr>
            <w:tcW w:type="dxa" w:w="2938"/>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pPr>
            <w:r>
              <w:rPr>
                <w:b w:val="0"/>
                <w:color w:val="000000"/>
                <w:sz w:val="18"/>
              </w:rPr>
              <w:t>3840</w:t>
            </w:r>
          </w:p>
        </w:tc>
      </w:tr>
    </w:tbl>
    <w:p>
      <w:pPr>
        <w:spacing w:after="0"/>
      </w:pPr>
    </w:p>
    <w:tbl>
      <w:tblPr>
        <w:tblW w:type="auto" w:w="0"/>
        <w:jc w:val="center"/>
        <w:tblLayout w:type="fixed"/>
        <w:tblLook w:firstColumn="1" w:firstRow="1" w:lastColumn="0" w:lastRow="0" w:noHBand="0" w:noVBand="1" w:val="04A0"/>
      </w:tblPr>
      <w:tblGrid>
        <w:gridCol w:w="2736"/>
        <w:gridCol w:w="2016"/>
        <w:gridCol w:w="2304"/>
        <w:gridCol w:w="2938"/>
      </w:tblGrid>
      <w:tr>
        <w:trPr>
          <w:tblHeader/>
          <w:cantSplit/>
        </w:trPr>
        <w:tc>
          <w:tcPr>
            <w:tcW w:type="dxa" w:w="2736"/>
            <w:vAlign w:val="center"/>
            <w:tcBorders>
              <w:top w:val="single" w:sz="4" w:color="D9D9D9"/>
              <w:left w:val="single" w:sz="4" w:color="D9D9D9"/>
              <w:bottom w:val="single" w:sz="4" w:color="D9D9D9"/>
              <w:right w:val="single" w:sz="4" w:color="D9D9D9"/>
            </w:tcBorders>
            <w:shd w:fill="233343"/>
            <w:tcMar>
              <w:top w:w="35" w:type="dxa"/>
              <w:left w:w="85" w:type="dxa"/>
              <w:bottom w:w="35" w:type="dxa"/>
              <w:right w:w="85" w:type="dxa"/>
            </w:tcMar>
          </w:tcPr>
          <w:p>
            <w:pPr>
              <w:spacing w:after="20" w:before="20" w:line="240" w:lineRule="auto"/>
              <w:jc w:val="left"/>
            </w:pPr>
            <w:r>
              <w:rPr>
                <w:b/>
                <w:color w:val="FFFFFF"/>
                <w:sz w:val="18"/>
              </w:rPr>
              <w:t>Horizonte</w:t>
            </w:r>
          </w:p>
        </w:tc>
        <w:tc>
          <w:tcPr>
            <w:tcW w:type="dxa" w:w="2016"/>
            <w:vAlign w:val="center"/>
            <w:tcBorders>
              <w:top w:val="single" w:sz="4" w:color="D9D9D9"/>
              <w:left w:val="single" w:sz="4" w:color="D9D9D9"/>
              <w:bottom w:val="single" w:sz="4" w:color="D9D9D9"/>
              <w:right w:val="single" w:sz="4" w:color="D9D9D9"/>
            </w:tcBorders>
            <w:shd w:fill="233343"/>
            <w:tcMar>
              <w:top w:w="35" w:type="dxa"/>
              <w:left w:w="85" w:type="dxa"/>
              <w:bottom w:w="35" w:type="dxa"/>
              <w:right w:w="85" w:type="dxa"/>
            </w:tcMar>
          </w:tcPr>
          <w:p>
            <w:pPr>
              <w:spacing w:after="20" w:before="20" w:line="240" w:lineRule="auto"/>
            </w:pPr>
            <w:r>
              <w:rPr>
                <w:b/>
                <w:color w:val="FFFFFF"/>
                <w:sz w:val="18"/>
              </w:rPr>
              <w:t>Inicial</w:t>
            </w:r>
          </w:p>
        </w:tc>
        <w:tc>
          <w:tcPr>
            <w:tcW w:type="dxa" w:w="2304"/>
            <w:vAlign w:val="center"/>
            <w:tcBorders>
              <w:top w:val="single" w:sz="4" w:color="D9D9D9"/>
              <w:left w:val="single" w:sz="4" w:color="D9D9D9"/>
              <w:bottom w:val="single" w:sz="4" w:color="D9D9D9"/>
              <w:right w:val="single" w:sz="4" w:color="D9D9D9"/>
            </w:tcBorders>
            <w:shd w:fill="233343"/>
            <w:tcMar>
              <w:top w:w="35" w:type="dxa"/>
              <w:left w:w="85" w:type="dxa"/>
              <w:bottom w:w="35" w:type="dxa"/>
              <w:right w:w="85" w:type="dxa"/>
            </w:tcMar>
          </w:tcPr>
          <w:p>
            <w:pPr>
              <w:spacing w:after="20" w:before="20" w:line="240" w:lineRule="auto"/>
            </w:pPr>
            <w:r>
              <w:rPr>
                <w:b/>
                <w:color w:val="FFFFFF"/>
                <w:sz w:val="18"/>
              </w:rPr>
              <w:t>Recurrente</w:t>
            </w:r>
          </w:p>
        </w:tc>
        <w:tc>
          <w:tcPr>
            <w:tcW w:type="dxa" w:w="2938"/>
            <w:vAlign w:val="center"/>
            <w:tcBorders>
              <w:top w:val="single" w:sz="4" w:color="D9D9D9"/>
              <w:left w:val="single" w:sz="4" w:color="D9D9D9"/>
              <w:bottom w:val="single" w:sz="4" w:color="D9D9D9"/>
              <w:right w:val="single" w:sz="4" w:color="D9D9D9"/>
            </w:tcBorders>
            <w:shd w:fill="233343"/>
            <w:tcMar>
              <w:top w:w="35" w:type="dxa"/>
              <w:left w:w="85" w:type="dxa"/>
              <w:bottom w:w="35" w:type="dxa"/>
              <w:right w:w="85" w:type="dxa"/>
            </w:tcMar>
          </w:tcPr>
          <w:p>
            <w:pPr>
              <w:spacing w:after="20" w:before="20" w:line="240" w:lineRule="auto"/>
            </w:pPr>
            <w:r>
              <w:rPr>
                <w:b/>
                <w:color w:val="FFFFFF"/>
                <w:sz w:val="18"/>
              </w:rPr>
              <w:t>Total USD</w:t>
            </w:r>
          </w:p>
        </w:tc>
      </w:tr>
      <w:tr>
        <w:trPr>
          <w:cantSplit/>
        </w:trPr>
        <w:tc>
          <w:tcPr>
            <w:tcW w:type="dxa" w:w="2736"/>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jc w:val="left"/>
            </w:pPr>
            <w:r>
              <w:rPr>
                <w:b w:val="0"/>
                <w:color w:val="000000"/>
                <w:sz w:val="18"/>
              </w:rPr>
              <w:t>Año 1</w:t>
            </w:r>
          </w:p>
        </w:tc>
        <w:tc>
          <w:tcPr>
            <w:tcW w:type="dxa" w:w="2016"/>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t>11040</w:t>
            </w:r>
          </w:p>
        </w:tc>
        <w:tc>
          <w:tcPr>
            <w:tcW w:type="dxa" w:w="2304"/>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t>3840</w:t>
            </w:r>
          </w:p>
        </w:tc>
        <w:tc>
          <w:tcPr>
            <w:tcW w:type="dxa" w:w="2938"/>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t>14880</w:t>
            </w:r>
          </w:p>
        </w:tc>
      </w:tr>
      <w:tr>
        <w:trPr>
          <w:cantSplit/>
        </w:trPr>
        <w:tc>
          <w:tcPr>
            <w:tcW w:type="dxa" w:w="2736"/>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jc w:val="left"/>
            </w:pPr>
            <w:r>
              <w:rPr>
                <w:b w:val="0"/>
                <w:color w:val="000000"/>
                <w:sz w:val="18"/>
              </w:rPr>
              <w:t>Año 2</w:t>
            </w:r>
          </w:p>
        </w:tc>
        <w:tc>
          <w:tcPr>
            <w:tcW w:type="dxa" w:w="2016"/>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pPr>
            <w:r>
              <w:rPr>
                <w:b w:val="0"/>
                <w:color w:val="000000"/>
                <w:sz w:val="18"/>
              </w:rPr>
              <w:t>0</w:t>
            </w:r>
          </w:p>
        </w:tc>
        <w:tc>
          <w:tcPr>
            <w:tcW w:type="dxa" w:w="2304"/>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pPr>
            <w:r>
              <w:rPr>
                <w:b w:val="0"/>
                <w:color w:val="000000"/>
                <w:sz w:val="18"/>
              </w:rPr>
              <w:t>3840</w:t>
            </w:r>
          </w:p>
        </w:tc>
        <w:tc>
          <w:tcPr>
            <w:tcW w:type="dxa" w:w="2938"/>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pPr>
            <w:r>
              <w:rPr>
                <w:b w:val="0"/>
                <w:color w:val="000000"/>
                <w:sz w:val="18"/>
              </w:rPr>
              <w:t>3840</w:t>
            </w:r>
          </w:p>
        </w:tc>
      </w:tr>
      <w:tr>
        <w:trPr>
          <w:cantSplit/>
        </w:trPr>
        <w:tc>
          <w:tcPr>
            <w:tcW w:type="dxa" w:w="2736"/>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jc w:val="left"/>
            </w:pPr>
            <w:r>
              <w:rPr>
                <w:b w:val="0"/>
                <w:color w:val="000000"/>
                <w:sz w:val="18"/>
              </w:rPr>
              <w:t>Año 3</w:t>
            </w:r>
          </w:p>
        </w:tc>
        <w:tc>
          <w:tcPr>
            <w:tcW w:type="dxa" w:w="2016"/>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t>0</w:t>
            </w:r>
          </w:p>
        </w:tc>
        <w:tc>
          <w:tcPr>
            <w:tcW w:type="dxa" w:w="2304"/>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t>3840</w:t>
            </w:r>
          </w:p>
        </w:tc>
        <w:tc>
          <w:tcPr>
            <w:tcW w:type="dxa" w:w="2938"/>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t>3840</w:t>
            </w:r>
          </w:p>
        </w:tc>
      </w:tr>
      <w:tr>
        <w:trPr>
          <w:cantSplit/>
        </w:trPr>
        <w:tc>
          <w:tcPr>
            <w:tcW w:type="dxa" w:w="2736"/>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jc w:val="left"/>
            </w:pPr>
            <w:r>
              <w:rPr>
                <w:b w:val="0"/>
                <w:color w:val="000000"/>
                <w:sz w:val="18"/>
              </w:rPr>
              <w:t>Año 4</w:t>
            </w:r>
          </w:p>
        </w:tc>
        <w:tc>
          <w:tcPr>
            <w:tcW w:type="dxa" w:w="2016"/>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pPr>
            <w:r>
              <w:rPr>
                <w:b w:val="0"/>
                <w:color w:val="000000"/>
                <w:sz w:val="18"/>
              </w:rPr>
              <w:t>0</w:t>
            </w:r>
          </w:p>
        </w:tc>
        <w:tc>
          <w:tcPr>
            <w:tcW w:type="dxa" w:w="2304"/>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pPr>
            <w:r>
              <w:rPr>
                <w:b w:val="0"/>
                <w:color w:val="000000"/>
                <w:sz w:val="18"/>
              </w:rPr>
              <w:t>3840</w:t>
            </w:r>
          </w:p>
        </w:tc>
        <w:tc>
          <w:tcPr>
            <w:tcW w:type="dxa" w:w="2938"/>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pPr>
            <w:r>
              <w:rPr>
                <w:b w:val="0"/>
                <w:color w:val="000000"/>
                <w:sz w:val="18"/>
              </w:rPr>
              <w:t>3840</w:t>
            </w:r>
          </w:p>
        </w:tc>
      </w:tr>
      <w:tr>
        <w:trPr>
          <w:cantSplit/>
        </w:trPr>
        <w:tc>
          <w:tcPr>
            <w:tcW w:type="dxa" w:w="2736"/>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jc w:val="left"/>
            </w:pPr>
            <w:r>
              <w:rPr>
                <w:b w:val="0"/>
                <w:color w:val="000000"/>
                <w:sz w:val="18"/>
              </w:rPr>
              <w:t>Año 5</w:t>
            </w:r>
          </w:p>
        </w:tc>
        <w:tc>
          <w:tcPr>
            <w:tcW w:type="dxa" w:w="2016"/>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t>0</w:t>
            </w:r>
          </w:p>
        </w:tc>
        <w:tc>
          <w:tcPr>
            <w:tcW w:type="dxa" w:w="2304"/>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t>3840</w:t>
            </w:r>
          </w:p>
        </w:tc>
        <w:tc>
          <w:tcPr>
            <w:tcW w:type="dxa" w:w="2938"/>
            <w:vAlign w:val="center"/>
            <w:tcBorders>
              <w:top w:val="single" w:sz="4" w:color="D9D9D9"/>
              <w:left w:val="single" w:sz="4" w:color="D9D9D9"/>
              <w:bottom w:val="single" w:sz="4" w:color="D9D9D9"/>
              <w:right w:val="single" w:sz="4" w:color="D9D9D9"/>
            </w:tcBorders>
            <w:shd w:fill="FFFFFF"/>
            <w:tcMar>
              <w:top w:w="35" w:type="dxa"/>
              <w:left w:w="85" w:type="dxa"/>
              <w:bottom w:w="35" w:type="dxa"/>
              <w:right w:w="85" w:type="dxa"/>
            </w:tcMar>
          </w:tcPr>
          <w:p>
            <w:pPr>
              <w:spacing w:after="20" w:before="20" w:line="240" w:lineRule="auto"/>
            </w:pPr>
            <w:r>
              <w:rPr>
                <w:b w:val="0"/>
                <w:color w:val="000000"/>
                <w:sz w:val="18"/>
              </w:rPr>
              <w:t>3840</w:t>
            </w:r>
          </w:p>
        </w:tc>
      </w:tr>
      <w:tr>
        <w:trPr>
          <w:cantSplit/>
        </w:trPr>
        <w:tc>
          <w:tcPr>
            <w:tcW w:type="dxa" w:w="2736"/>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jc w:val="left"/>
            </w:pPr>
            <w:r>
              <w:rPr>
                <w:b w:val="0"/>
                <w:color w:val="000000"/>
                <w:sz w:val="18"/>
              </w:rPr>
              <w:t>Base cinco años</w:t>
            </w:r>
          </w:p>
        </w:tc>
        <w:tc>
          <w:tcPr>
            <w:tcW w:type="dxa" w:w="2016"/>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pPr>
            <w:r>
              <w:rPr>
                <w:b w:val="0"/>
                <w:color w:val="000000"/>
                <w:sz w:val="18"/>
              </w:rPr>
              <w:t>11040</w:t>
            </w:r>
          </w:p>
        </w:tc>
        <w:tc>
          <w:tcPr>
            <w:tcW w:type="dxa" w:w="2304"/>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pPr>
            <w:r>
              <w:rPr>
                <w:b w:val="0"/>
                <w:color w:val="000000"/>
                <w:sz w:val="18"/>
              </w:rPr>
              <w:t>19200</w:t>
            </w:r>
          </w:p>
        </w:tc>
        <w:tc>
          <w:tcPr>
            <w:tcW w:type="dxa" w:w="2938"/>
            <w:vAlign w:val="center"/>
            <w:tcBorders>
              <w:top w:val="single" w:sz="4" w:color="D9D9D9"/>
              <w:left w:val="single" w:sz="4" w:color="D9D9D9"/>
              <w:bottom w:val="single" w:sz="4" w:color="D9D9D9"/>
              <w:right w:val="single" w:sz="4" w:color="D9D9D9"/>
            </w:tcBorders>
            <w:shd w:fill="F2F5F7"/>
            <w:tcMar>
              <w:top w:w="35" w:type="dxa"/>
              <w:left w:w="85" w:type="dxa"/>
              <w:bottom w:w="35" w:type="dxa"/>
              <w:right w:w="85" w:type="dxa"/>
            </w:tcMar>
          </w:tcPr>
          <w:p>
            <w:pPr>
              <w:spacing w:after="20" w:before="20" w:line="240" w:lineRule="auto"/>
            </w:pPr>
            <w:r>
              <w:rPr>
                <w:b w:val="0"/>
                <w:color w:val="000000"/>
                <w:sz w:val="18"/>
              </w:rPr>
              <w:t>30240</w:t>
            </w:r>
          </w:p>
        </w:tc>
      </w:tr>
    </w:tbl>
    <w:p>
      <w:pPr>
        <w:spacing w:after="0"/>
      </w:pPr>
    </w:p>
    <w:p>
      <w:r>
        <w:rPr>
          <w:b w:val="0"/>
        </w:rPr>
        <w:t>La base de cinco años sostiene el alcance inicial. No incluye hardware, impuestos, inflación, redundancia, consumo extraordinario, nuevas integraciones, expansión funcional, adquisición adicional ni IA. Los proyectos de fases 2 y 3 tienen costo adicional pendiente de estimación y aprobación; cero en la columna Inicial no significa transformación gratuita.</w:t>
      </w:r>
    </w:p>
    <w:p>
      <w:r>
        <w:rPr>
          <w:b w:val="0"/>
        </w:rPr>
        <w:t>Sensibilidad: 40 horas adicionales a USD 30 agregan USD 1.200 antes de reserva e impuestos; USD 20 mensuales más de infraestructura agregan USD 240 por año. Finanzas revisará estimado al cierre, gasto real y compromisos mensualmente. La reserva requiere autorización por cambio y no se consume automáticamente. Ocho horas de soporte al mes no equivalen a cobertura dedicada 8×5 o 24×7.</w:t>
      </w:r>
    </w:p>
    <w:p>
      <w:r>
        <w:br w:type="page"/>
      </w:r>
    </w:p>
    <w:p>
      <w:pPr>
        <w:pStyle w:val="Heading1"/>
      </w:pPr>
      <w:r>
        <w:t>18 Indicadores</w:t>
      </w:r>
    </w:p>
    <w:p>
      <w:r>
        <w:rPr>
          <w:b w:val="0"/>
        </w:rPr>
        <w:t>El diccionario separa resultados estratégicos de ejecución. T0 se levantará antes de intervenir el proceso o sobre una muestra histórica comparable aprobada. Todas las líneas base están sin medir. Cada informe conservará periodo, fuente, tamaño de muestra, reglas de inclusión, exclusiones, versión y responsable.</w:t>
      </w:r>
    </w:p>
    <w:p>
      <w:pPr>
        <w:pStyle w:val="Heading2"/>
      </w:pPr>
      <w:r>
        <w:t>KPI01 Captura de solicitudes elegibles</w:t>
      </w:r>
    </w:p>
    <w:p>
      <w:r>
        <w:rPr>
          <w:b w:val="0"/>
        </w:rPr>
        <w:t>Resultado OE01. Fórmula: solicitudes elegibles registradas una sola vez en Tickets ÷ total de solicitudes elegibles de todos los canales conciliados × 100. Meta: ≥90% al M6. Fuente: registro de tickets y conciliación del padrón piloto con correo, mensajería u otros canales acordados. Responsable: dueño del servicio; captura semanal y revisión mensual.</w:t>
      </w:r>
    </w:p>
    <w:p>
      <w:r>
        <w:rPr>
          <w:b w:val="0"/>
        </w:rPr>
        <w:t>Elegible significa una solicitud interna de las categorías y áreas aprobadas en T0; se excluyen pruebas y duplicados identificados, conservando su conteo. El denominador se obtiene de todos los canales, no solo del sistema. Si no hay solicitudes elegibles se informa No evaluable y volumen cero; no se declara 100%. Un canal sin conciliar invalida la interpretación global del periodo.</w:t>
      </w:r>
    </w:p>
    <w:p>
      <w:pPr>
        <w:pStyle w:val="Heading2"/>
      </w:pPr>
      <w:r>
        <w:t>KPI02 Trazabilidad de tickets revisados</w:t>
      </w:r>
    </w:p>
    <w:p>
      <w:r>
        <w:rPr>
          <w:b w:val="0"/>
        </w:rPr>
        <w:t>Resultado OE03. Fórmula: tickets de la muestra que cumplen todos los criterios aplicables ÷ tickets válidos revisados × 100. Meta: ≥95% al M3. Criterios: identificador, solicitante, área, estado, responsable cuando la asignación corresponda y actor/fecha de cambios exigibles. Los tickets cerrados deben permitir explicar su desenlace. Fuente: tickets, comentarios y eventos; responsable: calidad; revisión mensual desde M1.</w:t>
      </w:r>
    </w:p>
    <w:p>
      <w:r>
        <w:rPr>
          <w:b w:val="0"/>
        </w:rPr>
        <w:t>Calidad definirá en T0 revisión completa si el volumen lo permite, o muestra por área, prioridad y estado con criterio reproducible. Deben incluirse tickets sin actividad y pendientes cuando sean elegibles. Un campo obligatorio ausente es incumplimiento; un hito todavía no exigible se registra No aplica sin contarlo como falla. Una muestra vacía no acredita cumplimiento. Se reportan tamaño y cobertura para evitar generalizar una muestra sesgada.</w:t>
      </w:r>
    </w:p>
    <w:p>
      <w:pPr>
        <w:pStyle w:val="Heading2"/>
      </w:pPr>
      <w:r>
        <w:t>KPI03 Reducción de seguimiento manual</w:t>
      </w:r>
    </w:p>
    <w:p>
      <w:r>
        <w:rPr>
          <w:b w:val="0"/>
        </w:rPr>
        <w:t>Resultado OE02. Fórmula: (minutos medios T0 − minutos medios M12) ÷ minutos medios T0 × 100. Meta: ≥20% al M12. El minuto medio es tiempo humano dedicado a preguntar, localizar y conciliar información por solicitud elegible; no es duración de calendario ni tiempo total de atención. Fuente: registro de esfuerzo con actividad, duración, categoría y ticket o solicitud; responsable: dueño de proceso; muestra inicial y revisión trimestral.</w:t>
      </w:r>
    </w:p>
    <w:p>
      <w:r>
        <w:rPr>
          <w:b w:val="0"/>
        </w:rPr>
        <w:t>Se comparan categorías, áreas y complejidad equivalentes y se informa composición de muestras. Si T0 es cero, falta o no es comparable, no se calcula la reducción porcentual: se informa tiempo absoluto y se repite la línea base acordada. Valores faltantes se excluyen del cálculo con conteo explícito y análisis del sesgo. No se convierten horas ahorradas en ingresos sin validación financiera.</w:t>
      </w:r>
    </w:p>
    <w:p>
      <w:r>
        <w:br w:type="page"/>
      </w:r>
    </w:p>
    <w:p>
      <w:pPr>
        <w:pStyle w:val="Heading2"/>
      </w:pPr>
      <w:r>
        <w:t>Indicadores de control y uso de auditoría</w:t>
      </w:r>
    </w:p>
    <w:p>
      <w:pPr>
        <w:pStyle w:val="Heading2"/>
      </w:pPr>
      <w:r>
        <w:t>KPI04 Autorización crítica aprobada</w:t>
      </w:r>
    </w:p>
    <w:p>
      <w:r>
        <w:rPr>
          <w:b w:val="0"/>
        </w:rPr>
        <w:t>Control OE04. Fórmula: casos críticos aplicables con resultado satisfactorio ÷ casos críticos aplicables planificados × 100. Meta: 100% antes de preproducción y apertura; repetir ante cambios de autorización. Fuente: matriz de actores, plan de pruebas y evidencia del candidato. Responsables: seguridad y calidad. Pendientes, fallidos o no ejecutados no integran el numerador; las exclusiones necesitan justificación aprobada antes de ejecutar. Un plan vacío bloquea la apertura y no produce un 100%.</w:t>
      </w:r>
    </w:p>
    <w:p>
      <w:pPr>
        <w:pStyle w:val="Heading2"/>
      </w:pPr>
      <w:r>
        <w:t>KPI05 Recuperación y restauraciones</w:t>
      </w:r>
    </w:p>
    <w:p>
      <w:r>
        <w:rPr>
          <w:b w:val="0"/>
        </w:rPr>
        <w:t>Control OE05. Antes de abrir se exige una restauración completa satisfactoria. Después, fórmula: ensayos trimestrales planificados realizados satisfactoriamente ÷ ensayos trimestrales vencidos × 100; meta 100%. Se programa uno por trimestre y después de cambios relevantes. Fuente: bitácora de copias, ensayo y aceptación de integridad; responsable: operación con verificación de calidad. Un ensayo fallido cuenta como incumplido aunque se repita; la repetición se registra como corrección. Si aún no vence ningún ensayo, se informa No aplica, sin declarar logro anual.</w:t>
      </w:r>
    </w:p>
    <w:p>
      <w:r>
        <w:rPr>
          <w:b w:val="0"/>
        </w:rPr>
        <w:t>La recuperación satisfactoria exige datos íntegros y servicio validado por negocio; medirá RPO y RTO reales contra los objetivos candidatos de 24 y 8 horas una vez aprobados. Una captura de copia exitosa sin restauración no acredita recuperación.</w:t>
      </w:r>
    </w:p>
    <w:p>
      <w:pPr>
        <w:pStyle w:val="Heading2"/>
      </w:pPr>
      <w:r>
        <w:t>KPI06 Revisión mensual por áreas</w:t>
      </w:r>
    </w:p>
    <w:p>
      <w:r>
        <w:rPr>
          <w:b w:val="0"/>
        </w:rPr>
        <w:t>Resultado de gobierno OE06. Fórmula: áreas piloto activas con revisión mensual documentada ÷ áreas piloto activas del padrón aprobado × 100. Meta: 100% desde M6, cada mes. Fuente: actas con datos, decisiones, responsable y fecha de seguimiento; responsable: coordinación TI. Un área sin acta cuenta en el denominador y no en el numerador. Si no hay áreas piloto activas, se informa No evaluable y se escala la continuidad del proyecto. Los cambios del padrón quedan versionados.</w:t>
      </w:r>
    </w:p>
    <w:p>
      <w:pPr>
        <w:pStyle w:val="Heading2"/>
      </w:pPr>
      <w:r>
        <w:t>Auditoría y mediciones operativas complementarias</w:t>
      </w:r>
    </w:p>
    <w:p>
      <w:r>
        <w:rPr>
          <w:b w:val="0"/>
        </w:rPr>
        <w:t>La auditoría disponible registra primera vista de detalle, primer IN_PROGRESS y primer RESOLVED, con personas y muestras. Las vistas comienzan con la función; el historial previo puede carecer de ellas. Las reaperturas no reinician hitos. Los valores ausentes se muestran como no disponibles y quedan fuera de promedios con su conteo. Estas duraciones incluyen noches y fines de semana, por lo que no miden esfuerzo activo ni SLA contractual [R02].</w:t>
      </w:r>
    </w:p>
    <w:tbl>
      <w:tblPr>
        <w:tblW w:type="auto" w:w="0"/>
        <w:jc w:val="center"/>
        <w:tblLayout w:type="fixed"/>
        <w:tblLook w:firstColumn="1" w:firstRow="1" w:lastColumn="0" w:lastRow="0" w:noHBand="0" w:noVBand="1" w:val="04A0"/>
      </w:tblPr>
      <w:tblGrid>
        <w:gridCol w:w="3168"/>
        <w:gridCol w:w="6826"/>
      </w:tblGrid>
      <w:tr>
        <w:trPr>
          <w:tblHeader/>
          <w:cantSplit/>
        </w:trPr>
        <w:tc>
          <w:tcPr>
            <w:tcW w:type="dxa" w:w="3168"/>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Indicador de ejecución</w:t>
            </w:r>
          </w:p>
        </w:tc>
        <w:tc>
          <w:tcPr>
            <w:tcW w:type="dxa" w:w="6826"/>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Regla y uso</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Entregables aceptados</w:t>
            </w:r>
          </w:p>
        </w:tc>
        <w:tc>
          <w:tcPr>
            <w:tcW w:type="dxa" w:w="682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Aceptados ÷ comprometidos ×100 por hito; no prueba beneficio.</w:t>
            </w:r>
          </w:p>
        </w:tc>
      </w:tr>
      <w:tr>
        <w:trPr>
          <w:cantSplit/>
        </w:trPr>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Formación efectiva</w:t>
            </w:r>
          </w:p>
        </w:tc>
        <w:tc>
          <w:tcPr>
            <w:tcW w:type="dxa" w:w="682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Personas que completan tarea práctica ÷ convocadas; mostrar ausencias.</w:t>
            </w:r>
          </w:p>
        </w:tc>
      </w:tr>
      <w:tr>
        <w:trPr>
          <w:cantSplit/>
        </w:trPr>
        <w:tc>
          <w:tcPr>
            <w:tcW w:type="dxa" w:w="31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Control de gasto</w:t>
            </w:r>
          </w:p>
        </w:tc>
        <w:tc>
          <w:tcPr>
            <w:tcW w:type="dxa" w:w="682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Real + comprometido frente a base y estimado al cierre; revisión mensual.</w:t>
            </w:r>
          </w:p>
        </w:tc>
      </w:tr>
      <w:tr>
        <w:trPr>
          <w:cantSplit/>
        </w:trPr>
        <w:tc>
          <w:tcPr>
            <w:tcW w:type="dxa" w:w="31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Disponibilidad y respuesta</w:t>
            </w:r>
          </w:p>
        </w:tc>
        <w:tc>
          <w:tcPr>
            <w:tcW w:type="dxa" w:w="682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Medir solo con reloj, monitor y exclusiones acordados en el SLA.</w:t>
            </w:r>
          </w:p>
        </w:tc>
      </w:tr>
    </w:tbl>
    <w:p>
      <w:pPr>
        <w:spacing w:after="0"/>
      </w:pPr>
    </w:p>
    <w:p>
      <w:r>
        <w:br w:type="page"/>
      </w:r>
    </w:p>
    <w:p>
      <w:pPr>
        <w:pStyle w:val="Heading1"/>
      </w:pPr>
      <w:r>
        <w:t>19 Gestión de riesgos</w:t>
      </w:r>
    </w:p>
    <w:p>
      <w:r>
        <w:rPr>
          <w:b w:val="0"/>
        </w:rPr>
        <w:t>Se adopta para este PETI una escala interna propuesta de probabilidad e impacto de 1 a 5, alineada con el manual de TI. Exposición = P × I: 1–4 baja, 5–9 moderada, 10–16 alta y 17–25 crítica. Las notas son valoración inicial por validar; no representan frecuencias medidas. La matriz previa de fases usa 1–3 y debe recalificarse con evidencia, sin convertir números mecánicamente [F05, F08].</w:t>
      </w:r>
    </w:p>
    <w:tbl>
      <w:tblPr>
        <w:tblW w:type="auto" w:w="0"/>
        <w:jc w:val="center"/>
        <w:tblLayout w:type="fixed"/>
        <w:tblLook w:firstColumn="1" w:firstRow="1" w:lastColumn="0" w:lastRow="0" w:noHBand="0" w:noVBand="1" w:val="04A0"/>
      </w:tblPr>
      <w:tblGrid>
        <w:gridCol w:w="2448"/>
        <w:gridCol w:w="5256"/>
        <w:gridCol w:w="2290"/>
      </w:tblGrid>
      <w:tr>
        <w:trPr>
          <w:tblHeader/>
          <w:cantSplit/>
        </w:trPr>
        <w:tc>
          <w:tcPr>
            <w:tcW w:type="dxa" w:w="2448"/>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jc w:val="left"/>
            </w:pPr>
            <w:r>
              <w:rPr>
                <w:b/>
                <w:color w:val="FFFFFF"/>
                <w:sz w:val="18"/>
              </w:rPr>
              <w:t>Riesgo y valoración</w:t>
            </w:r>
          </w:p>
        </w:tc>
        <w:tc>
          <w:tcPr>
            <w:tcW w:type="dxa" w:w="5256"/>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Tratamiento preventivo y respuesta</w:t>
            </w:r>
          </w:p>
        </w:tc>
        <w:tc>
          <w:tcPr>
            <w:tcW w:type="dxa" w:w="2290"/>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Dueño y señal</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R01 Baja adopción</w:t>
              <w:br/>
              <w:t>P3 I3 = 9</w:t>
            </w:r>
          </w:p>
        </w:tc>
        <w:tc>
          <w:tcPr>
            <w:tcW w:type="dxa" w:w="52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Conciliar canales y formar referentes. Si cae captura, limitar expansión y corregir barreras.</w:t>
            </w:r>
          </w:p>
        </w:tc>
        <w:tc>
          <w:tcPr>
            <w:tcW w:type="dxa" w:w="229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Servicio; captura y duplicados.</w:t>
            </w:r>
          </w:p>
        </w:tc>
      </w:tr>
      <w:tr>
        <w:trPr>
          <w:cantSplit/>
        </w:trPr>
        <w:tc>
          <w:tcPr>
            <w:tcW w:type="dxa" w:w="244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R02 Acceso indebido</w:t>
              <w:br/>
              <w:t>P3 I5 = 15</w:t>
            </w:r>
          </w:p>
        </w:tc>
        <w:tc>
          <w:tcPr>
            <w:tcW w:type="dxa" w:w="525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Mínimo privilegio, pruebas negativas y configuración segura. Contener, revocar y preservar evidencia.</w:t>
            </w:r>
          </w:p>
        </w:tc>
        <w:tc>
          <w:tcPr>
            <w:tcW w:type="dxa" w:w="229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Seguridad; acceso inesperado.</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R03 Pérdida de datos</w:t>
              <w:br/>
              <w:t>P3 I5 = 15</w:t>
            </w:r>
          </w:p>
        </w:tc>
        <w:tc>
          <w:tcPr>
            <w:tcW w:type="dxa" w:w="52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Copias independientes y restore. Activar DR y conciliar registros pendientes.</w:t>
            </w:r>
          </w:p>
        </w:tc>
        <w:tc>
          <w:tcPr>
            <w:tcW w:type="dxa" w:w="229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Operación; copia o restore fallido.</w:t>
            </w:r>
          </w:p>
        </w:tc>
      </w:tr>
      <w:tr>
        <w:trPr>
          <w:cantSplit/>
        </w:trPr>
        <w:tc>
          <w:tcPr>
            <w:tcW w:type="dxa" w:w="244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R04 Sobrecarga y dependencia</w:t>
              <w:br/>
              <w:t>P4 I3 = 12</w:t>
            </w:r>
          </w:p>
        </w:tc>
        <w:tc>
          <w:tcPr>
            <w:tcW w:type="dxa" w:w="525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Medir capacidad, suplente y runbooks. Reducir alcance o proponer recursos.</w:t>
            </w:r>
          </w:p>
        </w:tc>
        <w:tc>
          <w:tcPr>
            <w:tcW w:type="dxa" w:w="229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TI; carga/capacidad &gt;1.</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R05 Reglas inestables</w:t>
              <w:br/>
              <w:t>P3 I3 = 9</w:t>
            </w:r>
          </w:p>
        </w:tc>
        <w:tc>
          <w:tcPr>
            <w:tcW w:type="dxa" w:w="52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Aprobar flujo y versionar cambios. Evaluar costo y comparabilidad antes de modificar.</w:t>
            </w:r>
          </w:p>
        </w:tc>
        <w:tc>
          <w:tcPr>
            <w:tcW w:type="dxa" w:w="229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Proceso; decisión tardía.</w:t>
            </w:r>
          </w:p>
        </w:tc>
      </w:tr>
      <w:tr>
        <w:trPr>
          <w:cantSplit/>
        </w:trPr>
        <w:tc>
          <w:tcPr>
            <w:tcW w:type="dxa" w:w="244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R06 Métricas engañosas</w:t>
              <w:br/>
              <w:t>P3 I4 = 12</w:t>
            </w:r>
          </w:p>
        </w:tc>
        <w:tc>
          <w:tcPr>
            <w:tcW w:type="dxa" w:w="525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Diccionario, muestra y conciliación. Retirar conclusión y corregir fuente.</w:t>
            </w:r>
          </w:p>
        </w:tc>
        <w:tc>
          <w:tcPr>
            <w:tcW w:type="dxa" w:w="229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Calidad; ausencias o sesgo.</w:t>
            </w:r>
          </w:p>
        </w:tc>
      </w:tr>
      <w:tr>
        <w:trPr>
          <w:cantSplit/>
        </w:trPr>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R07 Costos insuficientes</w:t>
              <w:br/>
              <w:t>P3 I4 = 12</w:t>
            </w:r>
          </w:p>
        </w:tc>
        <w:tc>
          <w:tcPr>
            <w:tcW w:type="dxa" w:w="52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Validar supuestos y controlar compromisos. No contratar ampliación sin fondos.</w:t>
            </w:r>
          </w:p>
        </w:tc>
        <w:tc>
          <w:tcPr>
            <w:tcW w:type="dxa" w:w="229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Finanzas; previsión excedida.</w:t>
            </w:r>
          </w:p>
        </w:tc>
      </w:tr>
      <w:tr>
        <w:trPr>
          <w:cantSplit/>
        </w:trPr>
        <w:tc>
          <w:tcPr>
            <w:tcW w:type="dxa" w:w="244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R08 Innovación con datos sensibles</w:t>
              <w:br/>
              <w:t>P3 I4 = 12</w:t>
            </w:r>
          </w:p>
        </w:tc>
        <w:tc>
          <w:tcPr>
            <w:tcW w:type="dxa" w:w="525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Evaluación previa, datos autorizados y revisión humana. Suspender el caso y escalar.</w:t>
            </w:r>
          </w:p>
        </w:tc>
        <w:tc>
          <w:tcPr>
            <w:tcW w:type="dxa" w:w="229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Seguridad; destino no aprobado.</w:t>
            </w:r>
          </w:p>
        </w:tc>
      </w:tr>
    </w:tbl>
    <w:p>
      <w:pPr>
        <w:spacing w:after="0"/>
      </w:pPr>
    </w:p>
    <w:p>
      <w:pPr>
        <w:pStyle w:val="Heading2"/>
      </w:pPr>
      <w:r>
        <w:t>Seguimiento aceptación y contingencias</w:t>
      </w:r>
    </w:p>
    <w:p>
      <w:r>
        <w:rPr>
          <w:b w:val="0"/>
        </w:rPr>
        <w:t>Cada riesgo tendrá fecha, evidencia, controles existentes, costo de tratamiento, plazo y riesgo residual. Coordinación revisará semanalmente los riesgos altos y acciones pendientes durante las ocho semanas, y el comité mensualmente. Los críticos se escalan de inmediato al patrocinador; un riesgo crítico sin contención suficiente impide la apertura. Solo se reduce la exposición tras comprobar la eficacia del control.</w:t>
      </w:r>
    </w:p>
    <w:p>
      <w:r>
        <w:rPr>
          <w:b w:val="0"/>
        </w:rPr>
        <w:t>El dueño propone aceptar, mitigar, evitar o transferir; la autoridad según nivel aprueba y fija vigencia. Ninguna persona aprueba su propia excepción. El vencimiento de una excepción no cierra el hallazgo. La aceptación no dispensa obligaciones legales o contractuales; asesoría valida su alcance. Un evento real se gestiona como incidente y realimenta la matriz con evidencia.</w:t>
      </w:r>
    </w:p>
    <w:p>
      <w:r>
        <w:br w:type="page"/>
      </w:r>
    </w:p>
    <w:p>
      <w:pPr>
        <w:pStyle w:val="Heading1"/>
      </w:pPr>
      <w:r>
        <w:t>20 Modelo de gobierno y seguimiento</w:t>
      </w:r>
    </w:p>
    <w:p>
      <w:r>
        <w:rPr>
          <w:b w:val="0"/>
        </w:rPr>
        <w:t>El patrocinador conserva autoridad sobre alcance, fondos, aceptación de beneficios y riesgos que excedan la delegación de TI. El comité propuesto reúne TI, áreas, seguridad y finanzas cada mes; revisa resultados, incidentes, capacidad y cartera, y registra decisiones. Durante las ocho semanas, coordinación mantiene revisión semanal de hitos y bloqueos. No se inventan nombres ni firmas.</w:t>
      </w:r>
    </w:p>
    <w:tbl>
      <w:tblPr>
        <w:tblW w:type="auto" w:w="0"/>
        <w:jc w:val="center"/>
        <w:tblLayout w:type="fixed"/>
        <w:tblLook w:firstColumn="1" w:firstRow="1" w:lastColumn="0" w:lastRow="0" w:noHBand="0" w:noVBand="1" w:val="04A0"/>
      </w:tblPr>
      <w:tblGrid>
        <w:gridCol w:w="3384"/>
        <w:gridCol w:w="2448"/>
        <w:gridCol w:w="4162"/>
      </w:tblGrid>
      <w:tr>
        <w:trPr>
          <w:tblHeader/>
          <w:cantSplit/>
        </w:trPr>
        <w:tc>
          <w:tcPr>
            <w:tcW w:type="dxa" w:w="3384"/>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jc w:val="left"/>
            </w:pPr>
            <w:r>
              <w:rPr>
                <w:b/>
                <w:color w:val="FFFFFF"/>
                <w:sz w:val="18"/>
              </w:rPr>
              <w:t>Decisión o actividad</w:t>
            </w:r>
          </w:p>
        </w:tc>
        <w:tc>
          <w:tcPr>
            <w:tcW w:type="dxa" w:w="2448"/>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Aprueba o responde</w:t>
            </w:r>
          </w:p>
        </w:tc>
        <w:tc>
          <w:tcPr>
            <w:tcW w:type="dxa" w:w="4162"/>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Ejecuta y registro</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Cartera y presupuesto</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Patrocinador</w:t>
            </w:r>
          </w:p>
        </w:tc>
        <w:tc>
          <w:tcPr>
            <w:tcW w:type="dxa" w:w="416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TI y finanzas; acta y línea base.</w:t>
            </w:r>
          </w:p>
        </w:tc>
      </w:tr>
      <w:tr>
        <w:trPr>
          <w:cantSplit/>
        </w:trPr>
        <w:tc>
          <w:tcPr>
            <w:tcW w:type="dxa" w:w="33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Prioridad y reglas de negocio</w:t>
            </w:r>
          </w:p>
        </w:tc>
        <w:tc>
          <w:tcPr>
            <w:tcW w:type="dxa" w:w="244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Dueño del proceso</w:t>
            </w:r>
          </w:p>
        </w:tc>
        <w:tc>
          <w:tcPr>
            <w:tcW w:type="dxa" w:w="416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Líderes y desarrollo; especificación.</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Acceso y delegación</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Dueño del área</w:t>
            </w:r>
          </w:p>
        </w:tc>
        <w:tc>
          <w:tcPr>
            <w:tcW w:type="dxa" w:w="416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TI; solicitud y revisión de seguridad.</w:t>
            </w:r>
          </w:p>
        </w:tc>
      </w:tr>
      <w:tr>
        <w:trPr>
          <w:cantSplit/>
        </w:trPr>
        <w:tc>
          <w:tcPr>
            <w:tcW w:type="dxa" w:w="33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Cambio normal</w:t>
            </w:r>
          </w:p>
        </w:tc>
        <w:tc>
          <w:tcPr>
            <w:tcW w:type="dxa" w:w="244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Coordinación TI delegada</w:t>
            </w:r>
          </w:p>
        </w:tc>
        <w:tc>
          <w:tcPr>
            <w:tcW w:type="dxa" w:w="416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Desarrollo y operación; prueba y reversión.</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Apertura o reanudación</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Dueño del servicio</w:t>
            </w:r>
          </w:p>
        </w:tc>
        <w:tc>
          <w:tcPr>
            <w:tcW w:type="dxa" w:w="416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Operación; evidencias QA y seguridad.</w:t>
            </w:r>
          </w:p>
        </w:tc>
      </w:tr>
      <w:tr>
        <w:trPr>
          <w:cantSplit/>
        </w:trPr>
        <w:tc>
          <w:tcPr>
            <w:tcW w:type="dxa" w:w="338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Riesgo crítico</w:t>
            </w:r>
          </w:p>
        </w:tc>
        <w:tc>
          <w:tcPr>
            <w:tcW w:type="dxa" w:w="244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Patrocinador</w:t>
            </w:r>
          </w:p>
        </w:tc>
        <w:tc>
          <w:tcPr>
            <w:tcW w:type="dxa" w:w="4162"/>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Seguridad y TI; registro de tratamiento.</w:t>
            </w:r>
          </w:p>
        </w:tc>
      </w:tr>
      <w:tr>
        <w:trPr>
          <w:cantSplit/>
        </w:trPr>
        <w:tc>
          <w:tcPr>
            <w:tcW w:type="dxa" w:w="33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Evaluación independiente</w:t>
            </w:r>
          </w:p>
        </w:tc>
        <w:tc>
          <w:tcPr>
            <w:tcW w:type="dxa" w:w="244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Revisor designado</w:t>
            </w:r>
          </w:p>
        </w:tc>
        <w:tc>
          <w:tcPr>
            <w:tcW w:type="dxa" w:w="416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Calidad o auditoría; hallazgos y acciones.</w:t>
            </w:r>
          </w:p>
        </w:tc>
      </w:tr>
    </w:tbl>
    <w:p>
      <w:pPr>
        <w:spacing w:after="0"/>
      </w:pPr>
    </w:p>
    <w:p>
      <w:pPr>
        <w:pStyle w:val="Heading2"/>
      </w:pPr>
      <w:r>
        <w:t>Gestión de servicios con ITIL Version 5</w:t>
      </w:r>
    </w:p>
    <w:p>
      <w:r>
        <w:rPr>
          <w:b w:val="0"/>
        </w:rPr>
        <w:t>Las notas indican ITIL 4 y añaden la anotación de usar la versión 5. Se propone ITIL Version 5, cuya disponibilidad está confirmada en la fuente oficial de PeopleCert, manteniendo la continuidad de la orientación de la asignatura hacia valor, servicio y mejora. La adaptación siguiente es un diseño interno para CastleWalk, no una afirmación de certificación ni de cumplimiento formal del marco [F01, F09].</w:t>
      </w:r>
    </w:p>
    <w:tbl>
      <w:tblPr>
        <w:tblW w:type="auto" w:w="0"/>
        <w:jc w:val="center"/>
        <w:tblLayout w:type="fixed"/>
        <w:tblLook w:firstColumn="1" w:firstRow="1" w:lastColumn="0" w:lastRow="0" w:noHBand="0" w:noVBand="1" w:val="04A0"/>
      </w:tblPr>
      <w:tblGrid>
        <w:gridCol w:w="2376"/>
        <w:gridCol w:w="7618"/>
      </w:tblGrid>
      <w:tr>
        <w:trPr>
          <w:tblHeader/>
          <w:cantSplit/>
        </w:trPr>
        <w:tc>
          <w:tcPr>
            <w:tcW w:type="dxa" w:w="2376"/>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jc w:val="left"/>
            </w:pPr>
            <w:r>
              <w:rPr>
                <w:b/>
                <w:color w:val="FFFFFF"/>
                <w:sz w:val="18"/>
              </w:rPr>
              <w:t>Práctica del servicio</w:t>
            </w:r>
          </w:p>
        </w:tc>
        <w:tc>
          <w:tcPr>
            <w:tcW w:type="dxa" w:w="7618"/>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Responsable y evidencia mínima</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Catálogo y solicitudes</w:t>
            </w:r>
          </w:p>
        </w:tc>
        <w:tc>
          <w:tcPr>
            <w:tcW w:type="dxa" w:w="761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Dueño de servicio; registro de acceso, soporte, cambio de área y consulta, con alcance y aprobación.</w:t>
            </w:r>
          </w:p>
        </w:tc>
      </w:tr>
      <w:tr>
        <w:trPr>
          <w:cantSplit/>
        </w:trPr>
        <w:tc>
          <w:tcPr>
            <w:tcW w:type="dxa" w:w="237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Incidentes</w:t>
            </w:r>
          </w:p>
        </w:tc>
        <w:tc>
          <w:tcPr>
            <w:tcW w:type="dxa" w:w="761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Soporte; hora, impacto, severidad, asignado, comunicación y restauración.</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Problemas recurrentes</w:t>
            </w:r>
          </w:p>
        </w:tc>
        <w:tc>
          <w:tcPr>
            <w:tcW w:type="dxa" w:w="761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TI; patrón, causa sustentada, alternativa temporal y acción con dueño.</w:t>
            </w:r>
          </w:p>
        </w:tc>
      </w:tr>
      <w:tr>
        <w:trPr>
          <w:cantSplit/>
        </w:trPr>
        <w:tc>
          <w:tcPr>
            <w:tcW w:type="dxa" w:w="237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Cambios</w:t>
            </w:r>
          </w:p>
        </w:tc>
        <w:tc>
          <w:tcPr>
            <w:tcW w:type="dxa" w:w="761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Coordinación; riesgo, prueba, aprobación, ventana y reversión; emergencia con revisión posterior.</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Monitoreo y mejora</w:t>
            </w:r>
          </w:p>
        </w:tc>
        <w:tc>
          <w:tcPr>
            <w:tcW w:type="dxa" w:w="761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Operación y comité; alertas, reporte conciliado, acción, fecha y evaluación de beneficio.</w:t>
            </w:r>
          </w:p>
        </w:tc>
      </w:tr>
    </w:tbl>
    <w:p>
      <w:pPr>
        <w:spacing w:after="0"/>
      </w:pPr>
    </w:p>
    <w:p>
      <w:r>
        <w:rPr>
          <w:b w:val="0"/>
        </w:rPr>
        <w:t>Un ticket de negocio no equivale automáticamente a incidente de TI. El catálogo distinguirá tipo de registro y prioridad de atención. El registro de mejora conserva origen, resultado esperado, esfuerzo y criterio de cierre; las mejoras que cambien alcance pasan por control de cambios y financiamiento.</w:t>
      </w:r>
    </w:p>
    <w:p>
      <w:r>
        <w:br w:type="page"/>
      </w:r>
    </w:p>
    <w:p>
      <w:pPr>
        <w:pStyle w:val="Heading2"/>
      </w:pPr>
      <w:r>
        <w:t>Operación continuidad y acuerdos de servicio</w:t>
      </w:r>
    </w:p>
    <w:p>
      <w:pPr>
        <w:pStyle w:val="Heading2"/>
      </w:pPr>
      <w:r>
        <w:t>SLA propuesto y medición</w:t>
      </w:r>
    </w:p>
    <w:p>
      <w:r>
        <w:rPr>
          <w:b w:val="0"/>
        </w:rPr>
        <w:t>El soporte candidato es 8×5, con zona horaria, días festivos, canal primario y canal alternativo pendientes de acuerdo. La respuesta es reconocimiento y asignación, no resolución. S1 a S4 son severidades del servicio y no deben equipararse automáticamente a las prioridades LOW, MEDIUM, HIGH y URGENT de los tickets [F10].</w:t>
      </w:r>
    </w:p>
    <w:tbl>
      <w:tblPr>
        <w:tblW w:type="auto" w:w="0"/>
        <w:jc w:val="center"/>
        <w:tblLayout w:type="fixed"/>
        <w:tblLook w:firstColumn="1" w:firstRow="1" w:lastColumn="0" w:lastRow="0" w:noHBand="0" w:noVBand="1" w:val="04A0"/>
      </w:tblPr>
      <w:tblGrid>
        <w:gridCol w:w="1800"/>
        <w:gridCol w:w="5616"/>
        <w:gridCol w:w="2578"/>
      </w:tblGrid>
      <w:tr>
        <w:trPr>
          <w:tblHeader/>
          <w:cantSplit/>
        </w:trPr>
        <w:tc>
          <w:tcPr>
            <w:tcW w:type="dxa" w:w="1800"/>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jc w:val="left"/>
            </w:pPr>
            <w:r>
              <w:rPr>
                <w:b/>
                <w:color w:val="FFFFFF"/>
                <w:sz w:val="18"/>
              </w:rPr>
              <w:t>Severidad</w:t>
            </w:r>
          </w:p>
        </w:tc>
        <w:tc>
          <w:tcPr>
            <w:tcW w:type="dxa" w:w="5616"/>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Criterio propuesto</w:t>
            </w:r>
          </w:p>
        </w:tc>
        <w:tc>
          <w:tcPr>
            <w:tcW w:type="dxa" w:w="2578"/>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Respuesta objetivo</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S1 Crítica</w:t>
            </w:r>
          </w:p>
        </w:tc>
        <w:tc>
          <w:tcPr>
            <w:tcW w:type="dxa" w:w="56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Servicio caído o sospecha de exposición.</w:t>
            </w:r>
          </w:p>
        </w:tc>
        <w:tc>
          <w:tcPr>
            <w:tcW w:type="dxa" w:w="257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1 hora de cobertura</w:t>
            </w:r>
          </w:p>
        </w:tc>
      </w:tr>
      <w:tr>
        <w:trPr>
          <w:cantSplit/>
        </w:trPr>
        <w:tc>
          <w:tcPr>
            <w:tcW w:type="dxa" w:w="180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S2 Alta</w:t>
            </w:r>
          </w:p>
        </w:tc>
        <w:tc>
          <w:tcPr>
            <w:tcW w:type="dxa" w:w="561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Flujo crítico bloqueado sin alternativa razonable.</w:t>
            </w:r>
          </w:p>
        </w:tc>
        <w:tc>
          <w:tcPr>
            <w:tcW w:type="dxa" w:w="257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4 horas de cobertura</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S3 Media</w:t>
            </w:r>
          </w:p>
        </w:tc>
        <w:tc>
          <w:tcPr>
            <w:tcW w:type="dxa" w:w="561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Falla con alternativa disponible.</w:t>
            </w:r>
          </w:p>
        </w:tc>
        <w:tc>
          <w:tcPr>
            <w:tcW w:type="dxa" w:w="257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1 día hábil</w:t>
            </w:r>
          </w:p>
        </w:tc>
      </w:tr>
      <w:tr>
        <w:trPr>
          <w:cantSplit/>
        </w:trPr>
        <w:tc>
          <w:tcPr>
            <w:tcW w:type="dxa" w:w="180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S4 Baja</w:t>
            </w:r>
          </w:p>
        </w:tc>
        <w:tc>
          <w:tcPr>
            <w:tcW w:type="dxa" w:w="561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Consulta o mejora no urgente.</w:t>
            </w:r>
          </w:p>
        </w:tc>
        <w:tc>
          <w:tcPr>
            <w:tcW w:type="dxa" w:w="257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2 días hábiles</w:t>
            </w:r>
          </w:p>
        </w:tc>
      </w:tr>
    </w:tbl>
    <w:p>
      <w:pPr>
        <w:spacing w:after="0"/>
      </w:pPr>
    </w:p>
    <w:p>
      <w:r>
        <w:rPr>
          <w:b w:val="0"/>
        </w:rPr>
        <w:t>El reloj comienza con reporte suficiente dentro de cobertura; fuera de ella se difiere hasta la apertura acordada, salvo contrato adicional. Las pausas por información se justifican. Los objetivos de restauración por severidad se negocian tras comprobar capacidad. El escalamiento propuesto es soporte → operación/TI → seguridad si hay exposición → dueño del servicio y patrocinador ante impacto alto.</w:t>
      </w:r>
    </w:p>
    <w:p>
      <w:r>
        <w:rPr>
          <w:b w:val="0"/>
        </w:rPr>
        <w:t>Disponibilidad candidata mensual: 99,5%. Fórmula = (minutos elegibles − indisponibilidad imputable) ÷ minutos elegibles ×100. Deben acordarse monitor, intervalo, confirmación de falla, ventana de medición y componentes. Mantenimiento y fallas de terceros solo se excluyen con regla aprobada y evidencia; todos los eventos permanecen en el informe. Un denominador cero es No evaluable. La pantalla de auditoría no reemplaza el monitor ni el reloj de cobertura.</w:t>
      </w:r>
    </w:p>
    <w:p>
      <w:pPr>
        <w:pStyle w:val="Heading2"/>
      </w:pPr>
      <w:r>
        <w:t>BCP y recuperación ante desastres</w:t>
      </w:r>
    </w:p>
    <w:p>
      <w:r>
        <w:rPr>
          <w:b w:val="0"/>
        </w:rPr>
        <w:t>El BCP mantiene la atención esencial durante una caída; el DR recupera tecnología y datos. Se proponen RPO 24 horas y RTO 8 horas sujetos a ensayo y acuerdo. Operación hará copias al menos diarias e independientes, cifradas y con acceso mínimo; la retención, ubicación y viabilidad del costo se aprobarán antes de operar. Se propone retención de 30 días para el diseño inicial, sin confundirla con la retención de tickets.</w:t>
      </w:r>
    </w:p>
    <w:p>
      <w:r>
        <w:rPr>
          <w:b w:val="0"/>
        </w:rPr>
        <w:t>Activación: soporte confirma interrupción y escala; el dueño declara contingencia según impacto. Los líderes usan un registro alternativo autorizado con ID temporal, hora, solicitante, prioridad y responsable, minimizando datos. Operación aísla el fallo, selecciona copia y restaura en entorno controlado; calidad comprueba integridad y accesos; negocio valida atención. El responsable autoriza reanudación, comunica y concilia el registro alternativo evitando duplicados.</w:t>
      </w:r>
    </w:p>
    <w:p>
      <w:r>
        <w:rPr>
          <w:b w:val="0"/>
        </w:rPr>
        <w:t>El ensayo previo y los trimestrales registrarán inicio, punto recuperado, pérdida potencial, RPO/RTO reales, integridad, responsables y decisión. Si no se alcanzan metas se limita la apertura y se reestima capacidad. No se afirma que existan copias, redundancia o monitoreo productivo por describir este plan.</w:t>
      </w:r>
    </w:p>
    <w:p>
      <w:r>
        <w:br w:type="page"/>
      </w:r>
    </w:p>
    <w:p>
      <w:pPr>
        <w:pStyle w:val="Heading1"/>
      </w:pPr>
      <w:r>
        <w:t>21 Plan de ejecución</w:t>
      </w:r>
    </w:p>
    <w:p>
      <w:pPr>
        <w:pStyle w:val="Heading2"/>
      </w:pPr>
      <w:r>
        <w:t>Proyecto seleccionado P02 Flujo eficiente</w:t>
      </w:r>
    </w:p>
    <w:p>
      <w:r>
        <w:rPr>
          <w:b w:val="0"/>
        </w:rPr>
        <w:t>P02 busca reducir el seguimiento manual al M12. Su paquete de 64 horas consolida reglas y mejoras sobre el software existente; no representa reconstruir toda la aplicación ni financiar la operación anual. Incluye decisiones de captura, elegibilidad, asignación y estados; excluye SSO, correo, adjuntos, portal externo, IA e integraciones nuevas. Su presupuesto base es USD 1.920; usa la reserva compartida solo por cambio aprobado.</w:t>
      </w:r>
    </w:p>
    <w:tbl>
      <w:tblPr>
        <w:tblW w:type="auto" w:w="0"/>
        <w:jc w:val="center"/>
        <w:tblLayout w:type="fixed"/>
        <w:tblLook w:firstColumn="1" w:firstRow="1" w:lastColumn="0" w:lastRow="0" w:noHBand="0" w:noVBand="1" w:val="04A0"/>
      </w:tblPr>
      <w:tblGrid>
        <w:gridCol w:w="4896"/>
        <w:gridCol w:w="2160"/>
        <w:gridCol w:w="1210"/>
        <w:gridCol w:w="1728"/>
      </w:tblGrid>
      <w:tr>
        <w:trPr>
          <w:tblHeader/>
          <w:cantSplit/>
        </w:trPr>
        <w:tc>
          <w:tcPr>
            <w:tcW w:type="dxa" w:w="4896"/>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jc w:val="left"/>
            </w:pPr>
            <w:r>
              <w:rPr>
                <w:b/>
                <w:color w:val="FFFFFF"/>
                <w:sz w:val="18"/>
              </w:rPr>
              <w:t>Actividad y entrega</w:t>
            </w:r>
          </w:p>
        </w:tc>
        <w:tc>
          <w:tcPr>
            <w:tcW w:type="dxa" w:w="2160"/>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Responsable</w:t>
            </w:r>
          </w:p>
        </w:tc>
        <w:tc>
          <w:tcPr>
            <w:tcW w:type="dxa" w:w="1210"/>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Semana</w:t>
            </w:r>
          </w:p>
        </w:tc>
        <w:tc>
          <w:tcPr>
            <w:tcW w:type="dxa" w:w="1728"/>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Horas</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Levantar flujo actual y muestra T0.</w:t>
            </w:r>
          </w:p>
        </w:tc>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Análisis y proceso</w:t>
            </w:r>
          </w:p>
        </w:tc>
        <w:tc>
          <w:tcPr>
            <w:tcW w:type="dxa" w:w="121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S1–S2</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8</w:t>
            </w:r>
          </w:p>
        </w:tc>
      </w:tr>
      <w:tr>
        <w:trPr>
          <w:cantSplit/>
        </w:trPr>
        <w:tc>
          <w:tcPr>
            <w:tcW w:type="dxa" w:w="489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Acordar reglas y criterios de aceptación.</w:t>
            </w:r>
          </w:p>
        </w:tc>
        <w:tc>
          <w:tcPr>
            <w:tcW w:type="dxa" w:w="216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Proceso y TI</w:t>
            </w:r>
          </w:p>
        </w:tc>
        <w:tc>
          <w:tcPr>
            <w:tcW w:type="dxa" w:w="121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S2</w:t>
            </w:r>
          </w:p>
        </w:tc>
        <w:tc>
          <w:tcPr>
            <w:tcW w:type="dxa" w:w="172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8</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Diseñar ajuste UI/API y pruebas.</w:t>
            </w:r>
          </w:p>
        </w:tc>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Desarrollo y QA</w:t>
            </w:r>
          </w:p>
        </w:tc>
        <w:tc>
          <w:tcPr>
            <w:tcW w:type="dxa" w:w="121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S3</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8</w:t>
            </w:r>
          </w:p>
        </w:tc>
      </w:tr>
      <w:tr>
        <w:trPr>
          <w:cantSplit/>
        </w:trPr>
        <w:tc>
          <w:tcPr>
            <w:tcW w:type="dxa" w:w="489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Implementar mejora autorizada.</w:t>
            </w:r>
          </w:p>
        </w:tc>
        <w:tc>
          <w:tcPr>
            <w:tcW w:type="dxa" w:w="216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Desarrollo</w:t>
            </w:r>
          </w:p>
        </w:tc>
        <w:tc>
          <w:tcPr>
            <w:tcW w:type="dxa" w:w="121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S4–S6</w:t>
            </w:r>
          </w:p>
        </w:tc>
        <w:tc>
          <w:tcPr>
            <w:tcW w:type="dxa" w:w="172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24</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Ejecutar regresión y resolver defectos del alcance.</w:t>
            </w:r>
          </w:p>
        </w:tc>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Desarrollo y QA</w:t>
            </w:r>
          </w:p>
        </w:tc>
        <w:tc>
          <w:tcPr>
            <w:tcW w:type="dxa" w:w="121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S7</w:t>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8</w:t>
            </w:r>
          </w:p>
        </w:tc>
      </w:tr>
      <w:tr>
        <w:trPr>
          <w:cantSplit/>
        </w:trPr>
        <w:tc>
          <w:tcPr>
            <w:tcW w:type="dxa" w:w="4896"/>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UAT formación y transferencia.</w:t>
            </w:r>
          </w:p>
        </w:tc>
        <w:tc>
          <w:tcPr>
            <w:tcW w:type="dxa" w:w="216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Proceso y operación</w:t>
            </w:r>
          </w:p>
        </w:tc>
        <w:tc>
          <w:tcPr>
            <w:tcW w:type="dxa" w:w="121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S8</w:t>
            </w:r>
          </w:p>
        </w:tc>
        <w:tc>
          <w:tcPr>
            <w:tcW w:type="dxa" w:w="172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8</w:t>
            </w:r>
          </w:p>
        </w:tc>
      </w:tr>
      <w:tr>
        <w:trPr>
          <w:cantSplit/>
        </w:trPr>
        <w:tc>
          <w:tcPr>
            <w:tcW w:type="dxa" w:w="48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Total del proyecto</w:t>
            </w:r>
          </w:p>
        </w:tc>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r>
          </w:p>
        </w:tc>
        <w:tc>
          <w:tcPr>
            <w:tcW w:type="dxa" w:w="121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r>
          </w:p>
        </w:tc>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64</w:t>
            </w:r>
          </w:p>
        </w:tc>
      </w:tr>
    </w:tbl>
    <w:p>
      <w:pPr>
        <w:spacing w:after="0"/>
      </w:pPr>
    </w:p>
    <w:p>
      <w:r>
        <w:rPr>
          <w:b w:val="0"/>
        </w:rPr>
        <w:t>Dependencias: P01 aporta áreas y muestra; P06 congela definiciones; P04 valida permisos; P03 asegura eventos; P05 prepara entorno, reversión y recuperación. La ruta es reglas aprobadas → diseño → ajustes → regresión → UAT. Si una decisión crítica llega tarde se replanifica; no se implanta una regla asumida.</w:t>
      </w:r>
    </w:p>
    <w:p>
      <w:pPr>
        <w:pStyle w:val="Heading2"/>
      </w:pPr>
      <w:r>
        <w:t>Aceptación riesgos y comprobación del beneficio</w:t>
      </w:r>
    </w:p>
    <w:p>
      <w:r>
        <w:rPr>
          <w:b w:val="0"/>
        </w:rPr>
        <w:t>Se aceptará el incremento cuando creación, asignación, cambios y cierre cumplan las reglas aprobadas en interfaz y API; los casos positivos y negativos estén ejecutados; no queden defectos críticos del alcance; las acciones produzcan evidencia trazable; y el dueño del proceso complete UAT. Se incluirán permisos por relación, transiciones inválidas, datos ausentes, repetición de acciones y recuperación ante fallo pertinente. La aceptación debe identificar versión, entorno, casos y resultado; este PETI no declara pruebas realizadas.</w:t>
      </w:r>
    </w:p>
    <w:p>
      <w:r>
        <w:rPr>
          <w:b w:val="0"/>
        </w:rPr>
        <w:t>Riesgos principales: reglas cambiantes, muestra no comparable y falta de usuarios para UAT. El dueño aprueba criterios antes de S3, conserva la composición de muestra y reserva sesiones. TI mantiene reversión. El avance se mide por entregables aceptados y casos críticos; el beneficio por KPI03 al M12. Si termina la construcción pero no existe medición comparable, el resultado de eficiencia sigue pendiente.</w:t>
      </w:r>
    </w:p>
    <w:p>
      <w:pPr>
        <w:pStyle w:val="Heading2"/>
      </w:pPr>
      <w:r>
        <w:t>Encaje del paquete global de ocho semanas</w:t>
      </w:r>
    </w:p>
    <w:p>
      <w:r>
        <w:rPr>
          <w:b w:val="0"/>
        </w:rPr>
        <w:t>S1: negocio; S1–S2: acuerdos y alcance; S2–S3: especificación, diseño y planificación; S4–S6: mejoras autorizadas; S7: regresión; S8: UAT y decisión. Hitos: contexto, acuerdo, diseño, preparación operativa y aceptación. El paquete de 320 horas cubre los seis proyectos; P02 consume 64, no 64 adicionales. La apertura del piloto exige fondos, responsables, permisos, recuperación y acta, además de UAT.</w:t>
      </w:r>
    </w:p>
    <w:p>
      <w:r>
        <w:br w:type="page"/>
      </w:r>
    </w:p>
    <w:p>
      <w:pPr>
        <w:pStyle w:val="Heading1"/>
      </w:pPr>
      <w:r>
        <w:t>22 Evaluación y actualización</w:t>
      </w:r>
    </w:p>
    <w:p>
      <w:r>
        <w:rPr>
          <w:b w:val="0"/>
        </w:rPr>
        <w:t>La evaluación responde si el servicio produjo beneficios y si conviene sostenerlo, corregirlo o ampliarlo. Calidad conciliará fuentes; el dueño de proceso explicará resultados; finanzas validará costos; el comité recomendará y el patrocinador decidirá. La comparación se hará con T0 y con el mismo alcance, dejando visibles los cambios de volumen y complejidad.</w:t>
      </w:r>
    </w:p>
    <w:tbl>
      <w:tblPr>
        <w:tblW w:type="auto" w:w="0"/>
        <w:jc w:val="center"/>
        <w:tblLayout w:type="fixed"/>
        <w:tblLook w:firstColumn="1" w:firstRow="1" w:lastColumn="0" w:lastRow="0" w:noHBand="0" w:noVBand="1" w:val="04A0"/>
      </w:tblPr>
      <w:tblGrid>
        <w:gridCol w:w="2160"/>
        <w:gridCol w:w="7834"/>
      </w:tblGrid>
      <w:tr>
        <w:trPr>
          <w:tblHeader/>
          <w:cantSplit/>
        </w:trPr>
        <w:tc>
          <w:tcPr>
            <w:tcW w:type="dxa" w:w="2160"/>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jc w:val="left"/>
            </w:pPr>
            <w:r>
              <w:rPr>
                <w:b/>
                <w:color w:val="FFFFFF"/>
                <w:sz w:val="18"/>
              </w:rPr>
              <w:t>Momento</w:t>
            </w:r>
          </w:p>
        </w:tc>
        <w:tc>
          <w:tcPr>
            <w:tcW w:type="dxa" w:w="7834"/>
            <w:vAlign w:val="center"/>
            <w:tcBorders>
              <w:top w:val="single" w:sz="4" w:color="D9D9D9"/>
              <w:left w:val="single" w:sz="4" w:color="D9D9D9"/>
              <w:bottom w:val="single" w:sz="4" w:color="D9D9D9"/>
              <w:right w:val="single" w:sz="4" w:color="D9D9D9"/>
            </w:tcBorders>
            <w:shd w:fill="233343"/>
            <w:tcMar>
              <w:top w:w="85" w:type="dxa"/>
              <w:left w:w="85" w:type="dxa"/>
              <w:bottom w:w="85" w:type="dxa"/>
              <w:right w:w="85" w:type="dxa"/>
            </w:tcMar>
          </w:tcPr>
          <w:p>
            <w:pPr>
              <w:spacing w:after="40" w:before="40" w:line="240" w:lineRule="auto"/>
            </w:pPr>
            <w:r>
              <w:rPr>
                <w:b/>
                <w:color w:val="FFFFFF"/>
                <w:sz w:val="18"/>
              </w:rPr>
              <w:t>Evidencia y decisión</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Antes de T0</w:t>
            </w:r>
          </w:p>
        </w:tc>
        <w:tc>
          <w:tcPr>
            <w:tcW w:type="dxa" w:w="783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Aprobar alcance, responsables, métricas, muestras, capacidad y presupuesto.</w:t>
            </w:r>
          </w:p>
        </w:tc>
      </w:tr>
      <w:tr>
        <w:trPr>
          <w:cantSplit/>
        </w:trPr>
        <w:tc>
          <w:tcPr>
            <w:tcW w:type="dxa" w:w="216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S8 y M3</w:t>
            </w:r>
          </w:p>
        </w:tc>
        <w:tc>
          <w:tcPr>
            <w:tcW w:type="dxa" w:w="783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UAT y recuperación; después trazabilidad. Abrir, limitar o corregir el piloto.</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M6</w:t>
            </w:r>
          </w:p>
        </w:tc>
        <w:tc>
          <w:tcPr>
            <w:tcW w:type="dxa" w:w="783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Captura y revisión mensual de áreas. Ampliar solo con capacidad y riesgo aceptable.</w:t>
            </w:r>
          </w:p>
        </w:tc>
      </w:tr>
      <w:tr>
        <w:trPr>
          <w:cantSplit/>
        </w:trPr>
        <w:tc>
          <w:tcPr>
            <w:tcW w:type="dxa" w:w="216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jc w:val="left"/>
            </w:pPr>
            <w:r>
              <w:rPr>
                <w:b w:val="0"/>
                <w:color w:val="000000"/>
                <w:sz w:val="18"/>
              </w:rPr>
              <w:t>M12 y anual</w:t>
            </w:r>
          </w:p>
        </w:tc>
        <w:tc>
          <w:tcPr>
            <w:tcW w:type="dxa" w:w="7834"/>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40" w:before="40" w:line="240" w:lineRule="auto"/>
            </w:pPr>
            <w:r>
              <w:rPr>
                <w:b w:val="0"/>
                <w:color w:val="000000"/>
                <w:sz w:val="18"/>
              </w:rPr>
              <w:t>Esfuerzo manual, costo total y continuidad. Renovar cartera y fondos.</w:t>
            </w:r>
          </w:p>
        </w:tc>
      </w:tr>
      <w:tr>
        <w:trPr>
          <w:cantSplit/>
        </w:trPr>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jc w:val="left"/>
            </w:pPr>
            <w:r>
              <w:rPr>
                <w:b w:val="0"/>
                <w:color w:val="000000"/>
                <w:sz w:val="18"/>
              </w:rPr>
              <w:t>Año 5</w:t>
            </w:r>
          </w:p>
        </w:tc>
        <w:tc>
          <w:tcPr>
            <w:tcW w:type="dxa" w:w="783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before="40" w:line="240" w:lineRule="auto"/>
            </w:pPr>
            <w:r>
              <w:rPr>
                <w:b w:val="0"/>
                <w:color w:val="000000"/>
                <w:sz w:val="18"/>
              </w:rPr>
              <w:t>Balance de cinco años y diagnóstico nuevo. Aprobar siguiente PETI.</w:t>
            </w:r>
          </w:p>
        </w:tc>
      </w:tr>
    </w:tbl>
    <w:p>
      <w:pPr>
        <w:spacing w:after="0"/>
      </w:pPr>
    </w:p>
    <w:p>
      <w:r>
        <w:rPr>
          <w:b w:val="0"/>
        </w:rPr>
        <w:t>El acta de evaluación presentará resultado y meta, tamaño de muestra, exclusiones, costo real, efecto no esperado y acción con responsable. Si un objetivo falla, se confirma calidad del dato antes de intervenir; se propone corrección acotada, nueva fecha o cierre de la iniciativa. Las revisiones extraordinarias se activan por incidente grave, cambio de negocio, regulación aplicable confirmada, proveedor crítico o desviación significativa de capacidad o costo.</w:t>
      </w:r>
    </w:p>
    <w:p>
      <w:r>
        <w:rPr>
          <w:b w:val="0"/>
        </w:rPr>
        <w:t>TI custodia versiones y registro de cambios; el patrocinador aprueba la actualización anual. Cada cambio debe conservar qué objetivo afecta, su justificación, costo, riesgo y evidencia. La aprobación del documento requiere designación de roles, validación institucional y constancia de decisión; no se presume por presentar esta propuesta.</w:t>
      </w:r>
    </w:p>
    <w:p>
      <w:pPr>
        <w:pStyle w:val="Heading2"/>
      </w:pPr>
      <w:r>
        <w:t>Fuentes y trazabilidad documental</w:t>
      </w:r>
    </w:p>
    <w:p>
      <w:pPr>
        <w:spacing w:after="60"/>
      </w:pPr>
      <w:r>
        <w:rPr>
          <w:b w:val="0"/>
          <w:sz w:val="17"/>
        </w:rPr>
        <w:t>[F01] Notas de clase PETI. Diagnóstico, fases 1 a 3 y análisis solicitados. Consulta del proyecto al 20 de octubre de 2026.</w:t>
      </w:r>
    </w:p>
    <w:p>
      <w:pPr>
        <w:spacing w:after="60"/>
      </w:pPr>
      <w:r>
        <w:rPr>
          <w:b w:val="0"/>
          <w:sz w:val="17"/>
        </w:rPr>
        <w:t>[F02] 11.1 2 Planificación Estratégica PETI V0, SEM11, pp. 19–21. Ejercicio y estructura de 22 apartados; sus cifras universitarias no se trasladan a CastleWalk.</w:t>
      </w:r>
    </w:p>
    <w:p>
      <w:pPr>
        <w:spacing w:after="60"/>
      </w:pPr>
      <w:r>
        <w:rPr>
          <w:b w:val="0"/>
          <w:sz w:val="17"/>
        </w:rPr>
        <w:t>[F03] 11.3 PETI Soporte Función TI, SEM11. Relación entre estrategia, cartera, recursos, servicios e indicadores.</w:t>
      </w:r>
    </w:p>
    <w:p>
      <w:pPr>
        <w:spacing w:after="60"/>
      </w:pPr>
      <w:r>
        <w:rPr>
          <w:b w:val="0"/>
          <w:sz w:val="17"/>
        </w:rPr>
        <w:t>[F04] Proyecto de Administración Informática CastleWalk Tickets, versión 2.0, 17 de octubre de 2026, capítulos 11–18. Objetivos, cartera, notas de prioridad y escenario financiero.</w:t>
      </w:r>
    </w:p>
    <w:p>
      <w:pPr>
        <w:spacing w:after="60"/>
      </w:pPr>
      <w:r>
        <w:rPr>
          <w:b w:val="0"/>
          <w:sz w:val="17"/>
        </w:rPr>
        <w:t>[F05] Manual de políticas normas controles y procedimientos avanzados de TI Castlewalk, CW TI MAN 001, versión 1.0, 8 de septiembre de 2026. Propuesta pendiente de aprobación.</w:t>
      </w:r>
    </w:p>
    <w:p>
      <w:pPr>
        <w:spacing w:after="60"/>
      </w:pPr>
      <w:r>
        <w:rPr>
          <w:b w:val="0"/>
          <w:sz w:val="17"/>
        </w:rPr>
        <w:t>[F06–F08] F2 04 Propuesta económica; F4 01 Plan de proyecto y cronograma; F4 02 Matriz de riesgos. Documentos de fases 1 a 5, 17 de octubre de 2026.</w:t>
      </w:r>
    </w:p>
    <w:p>
      <w:pPr>
        <w:spacing w:after="60"/>
      </w:pPr>
      <w:r>
        <w:rPr>
          <w:b w:val="0"/>
          <w:sz w:val="17"/>
        </w:rPr>
        <w:t>[F09] PeopleCert. ITIL Foundation Version 5. Fuente oficial consultada el 20 de octubre de 2026. https://www.peoplecert.org/browse-certifications/it-governance-and-service-management/ITIL-1/itil-5-foundation-version-50-4154</w:t>
      </w:r>
    </w:p>
    <w:p>
      <w:pPr>
        <w:spacing w:after="60"/>
      </w:pPr>
      <w:r>
        <w:rPr>
          <w:b w:val="0"/>
          <w:sz w:val="17"/>
        </w:rPr>
        <w:t>[F10] F2 06 Acuerdo de niveles de servicio y soporte, 17 de octubre de 2026. Borrador pendiente de acuerdo.</w:t>
      </w:r>
    </w:p>
    <w:p>
      <w:pPr>
        <w:spacing w:after="60"/>
      </w:pPr>
      <w:r>
        <w:rPr>
          <w:b w:val="0"/>
          <w:sz w:val="17"/>
        </w:rPr>
        <w:t>[R01–R02] Repositorio CastleWalk Tickets, docs/architecture.md y docs/usage.md, versión de trabajo revisada el 20 de octubre de 2026. Arquitectura y auditoría temporal actuales.</w:t>
      </w:r>
    </w:p>
    <w:sectPr w:rsidR="00FC693F" w:rsidRPr="0006063C" w:rsidSect="00034616">
      <w:footerReference w:type="default" r:id="rId9"/>
      <w:headerReference w:type="default" r:id="rId10"/>
      <w:pgSz w:w="12240" w:h="15840"/>
      <w:pgMar w:top="979"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CastleWalk Tickets  |  PETI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PLAN ESTRATÉGICO DE TECNOLOGÍAS DE INFORMACIÓN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4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Estratégico de Tecnologías de Información de CastleWalk Tickets</dc:title>
  <dc:subject>PETI de cinco años</dc:subject>
  <dc:creator/>
  <cp:keywords>PETI, CastleWalk Tickets, Administración Informática</cp:keywords>
  <dc:description/>
  <cp:lastModifiedBy/>
  <cp:revision>1</cp:revision>
  <dcterms:created xsi:type="dcterms:W3CDTF">2013-12-23T23:15:00Z</dcterms:created>
  <dcterms:modified xsi:type="dcterms:W3CDTF">2013-12-23T23:15:00Z</dcterms:modified>
  <cp:category/>
</cp:coreProperties>
</file>