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Microsoft YaHei" w:hAnsi="Microsoft YaHei" w:eastAsia="Microsoft YaHei"/>
          <w:b/>
          <w:color w:val="2563EB"/>
          <w:sz w:val="40"/>
        </w:rPr>
        <w:t>校园网部门综合运维工时平台</w:t>
      </w:r>
    </w:p>
    <w:p>
      <w:pPr>
        <w:spacing w:before="120"/>
        <w:jc w:val="center"/>
      </w:pPr>
      <w:r>
        <w:rPr>
          <w:rFonts w:ascii="Microsoft YaHei" w:hAnsi="Microsoft YaHei" w:eastAsia="Microsoft YaHei"/>
          <w:color w:val="5A5A5A"/>
          <w:sz w:val="22"/>
        </w:rPr>
        <w:t>接口返回规范文档（V2）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858"/>
            <w:shd w:fill="EEF4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适用范围：校园网部门综合运维工时平台 V2</w:t>
              <w:br/>
              <w:t>输出目标：可直接支撑 Flask + PostgreSQL + Flutter/Android 联调与建库</w:t>
            </w:r>
          </w:p>
        </w:tc>
      </w:tr>
    </w:tbl>
    <w:p>
      <w:pPr>
        <w:pStyle w:val="Heading1"/>
      </w:pPr>
      <w:r>
        <w:t>1. 目标与适用范围</w:t>
      </w:r>
    </w:p>
    <w:p>
      <w:r>
        <w:rPr>
          <w:rFonts w:ascii="Microsoft YaHei" w:hAnsi="Microsoft YaHei" w:eastAsia="Microsoft YaHei"/>
        </w:rPr>
        <w:t>本规范用于统一 Flask 后端对 Flutter / Android 客户端、管理后台以及后续第三方模块的接口返回格式，目标是让成功、失败、分页、上传、审核、待办和检测类接口都遵循同一套响应包装。</w:t>
      </w:r>
    </w:p>
    <w:p>
      <w:pPr>
        <w:pStyle w:val="ListBullet"/>
      </w:pPr>
      <w:r>
        <w:rPr>
          <w:rFonts w:ascii="Microsoft YaHei" w:hAnsi="Microsoft YaHei" w:eastAsia="Microsoft YaHei"/>
        </w:rPr>
        <w:t>统一前端解析逻辑，避免每个模块各自判断返回结构。</w:t>
      </w:r>
    </w:p>
    <w:p>
      <w:pPr>
        <w:pStyle w:val="ListBullet"/>
      </w:pPr>
      <w:r>
        <w:rPr>
          <w:rFonts w:ascii="Microsoft YaHei" w:hAnsi="Microsoft YaHei" w:eastAsia="Microsoft YaHei"/>
        </w:rPr>
        <w:t>降低联调成本，减少 message、data、分页字段命名不一致的问题。</w:t>
      </w:r>
    </w:p>
    <w:p>
      <w:pPr>
        <w:pStyle w:val="ListBullet"/>
      </w:pPr>
      <w:r>
        <w:rPr>
          <w:rFonts w:ascii="Microsoft YaHei" w:hAnsi="Microsoft YaHei" w:eastAsia="Microsoft YaHei"/>
        </w:rPr>
        <w:t>给后端预留 request_id、trace 信息，便于排查线上问题。</w:t>
      </w:r>
    </w:p>
    <w:p>
      <w:pPr>
        <w:pStyle w:val="ListBullet"/>
      </w:pPr>
      <w:r>
        <w:rPr>
          <w:rFonts w:ascii="Microsoft YaHei" w:hAnsi="Microsoft YaHei" w:eastAsia="Microsoft YaHei"/>
        </w:rPr>
        <w:t>兼容同步接口与较重的检测类接口，不把“成功返回”和“业务完成”混为一谈。</w:t>
      </w:r>
    </w:p>
    <w:p>
      <w:pPr>
        <w:pStyle w:val="Heading1"/>
      </w:pPr>
      <w:r>
        <w:t>2. 顶层返回结构</w:t>
      </w:r>
    </w:p>
    <w:p>
      <w:r>
        <w:rPr>
          <w:rFonts w:ascii="Microsoft YaHei" w:hAnsi="Microsoft YaHei" w:eastAsia="Microsoft YaHei"/>
        </w:rPr>
        <w:t>所有接口默认返回 application/json，推荐顶层格式如下。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041"/>
        <w:gridCol w:w="1020"/>
        <w:gridCol w:w="4535"/>
      </w:tblGrid>
      <w:tr>
        <w:trPr>
          <w:tblHeader w:val="true"/>
          <w:cantSplit/>
        </w:trPr>
        <w:tc>
          <w:tcPr>
            <w:tcW w:type="dxa" w:w="2464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2464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464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必有</w:t>
            </w:r>
          </w:p>
        </w:tc>
        <w:tc>
          <w:tcPr>
            <w:tcW w:type="dxa" w:w="2464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code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integer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是</w:t>
            </w:r>
          </w:p>
        </w:tc>
        <w:tc>
          <w:tcPr>
            <w:tcW w:type="dxa" w:w="45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业务返回码，0 代表成功，非 0 代表失败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success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boolean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是</w:t>
            </w:r>
          </w:p>
        </w:tc>
        <w:tc>
          <w:tcPr>
            <w:tcW w:type="dxa" w:w="45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是否成功，便于前端快速判断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message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string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是</w:t>
            </w:r>
          </w:p>
        </w:tc>
        <w:tc>
          <w:tcPr>
            <w:tcW w:type="dxa" w:w="45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给前端展示或日志记录的简洁说明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data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object / array / null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是</w:t>
            </w:r>
          </w:p>
        </w:tc>
        <w:tc>
          <w:tcPr>
            <w:tcW w:type="dxa" w:w="45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实际业务载荷，列表接口可为对象，明细接口可为对象，失败时可为 null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request_id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string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是</w:t>
            </w:r>
          </w:p>
        </w:tc>
        <w:tc>
          <w:tcPr>
            <w:tcW w:type="dxa" w:w="45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一次请求唯一标识，建议由网关或 Flask 中间件生成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timestamp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string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是</w:t>
            </w:r>
          </w:p>
        </w:tc>
        <w:tc>
          <w:tcPr>
            <w:tcW w:type="dxa" w:w="45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ISO 8601 时间，例如 2026-04-06T22:30:45+08:00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errors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array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否</w:t>
            </w:r>
          </w:p>
        </w:tc>
        <w:tc>
          <w:tcPr>
            <w:tcW w:type="dxa" w:w="45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参数校验失败时返回字段级错误列表</w:t>
            </w:r>
          </w:p>
        </w:tc>
      </w:tr>
    </w:tbl>
    <w:p/>
    <w:p>
      <w:pPr>
        <w:pStyle w:val="Heading2"/>
      </w:pPr>
      <w:r>
        <w:t>推荐成功示例</w:t>
      </w:r>
    </w:p>
    <w:p>
      <w:r>
        <w:rPr>
          <w:rFonts w:ascii="Microsoft YaHei" w:hAnsi="Microsoft YaHei" w:eastAsia="Microsoft YaHei"/>
        </w:rPr>
        <w:t>{ "code": 0, "success": true, "message": "OK", "data": { "id": 1001 }, "request_id": "req_20260406_0001", "timestamp": "2026-04-06T22:30:45+08:00" }</w:t>
      </w:r>
    </w:p>
    <w:p>
      <w:pPr>
        <w:pStyle w:val="Heading2"/>
      </w:pPr>
      <w:r>
        <w:t>推荐失败示例</w:t>
      </w:r>
    </w:p>
    <w:p>
      <w:r>
        <w:rPr>
          <w:rFonts w:ascii="Microsoft YaHei" w:hAnsi="Microsoft YaHei" w:eastAsia="Microsoft YaHei"/>
        </w:rPr>
        <w:t>{ "code": 40001, "success": false, "message": "参数校验失败", "data": null, "request_id": "req_20260406_0002", "timestamp": "2026-04-06T22:31:03+08:00", "errors": [ { "field": "target_room_count", "message": "必须大于 0" } ] }</w:t>
      </w:r>
    </w:p>
    <w:p>
      <w:pPr>
        <w:pStyle w:val="Heading1"/>
      </w:pPr>
      <w:r>
        <w:t>3. HTTP 状态码与业务返回码约定</w:t>
      </w:r>
    </w:p>
    <w:p>
      <w:r>
        <w:rPr>
          <w:rFonts w:ascii="Microsoft YaHei" w:hAnsi="Microsoft YaHei" w:eastAsia="Microsoft YaHei"/>
        </w:rPr>
        <w:t>HTTP 状态码用于表达协议层结果，业务返回码用于表达应用层结果。推荐保持“HTTP 可读 + code 可判断”的双层风格。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020"/>
        <w:gridCol w:w="1247"/>
        <w:gridCol w:w="3969"/>
      </w:tblGrid>
      <w:tr>
        <w:trPr>
          <w:tblHeader w:val="true"/>
          <w:cantSplit/>
        </w:trPr>
        <w:tc>
          <w:tcPr>
            <w:tcW w:type="dxa" w:w="2464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场景</w:t>
            </w:r>
          </w:p>
        </w:tc>
        <w:tc>
          <w:tcPr>
            <w:tcW w:type="dxa" w:w="2464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HTTP</w:t>
            </w:r>
          </w:p>
        </w:tc>
        <w:tc>
          <w:tcPr>
            <w:tcW w:type="dxa" w:w="2464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code</w:t>
            </w:r>
          </w:p>
        </w:tc>
        <w:tc>
          <w:tcPr>
            <w:tcW w:type="dxa" w:w="2464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成功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200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普通成功返回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建成成功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201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新建资源成功，也可以统一返回 200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参数校验失败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400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40001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字段缺失、格式错误、枚举非法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未登录或 token 失效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401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40101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需要重新登录或刷新 token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无权限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403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40301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普通用户访问管理员接口等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资源不存在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404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40401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任务、报修单、楼栋等不存在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业务冲突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409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40901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重复报名、重复签到、重复匹配等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状态不允许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422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42201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例如已审核任务再次提交审核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频率过高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429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42901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检测接口、登录接口等需要限流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内部异常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500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50000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后端未处理异常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外部服务异常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503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50301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测速 API、OCR 服务不可用</w:t>
            </w:r>
          </w:p>
        </w:tc>
      </w:tr>
    </w:tbl>
    <w:p/>
    <w:p>
      <w:pPr>
        <w:pStyle w:val="Heading1"/>
      </w:pPr>
      <w:r>
        <w:t>4. 分页返回规范</w:t>
      </w:r>
    </w:p>
    <w:p>
      <w:r>
        <w:rPr>
          <w:rFonts w:ascii="Microsoft YaHei" w:hAnsi="Microsoft YaHei" w:eastAsia="Microsoft YaHei"/>
        </w:rPr>
        <w:t>所有列表接口一律返回对象型 data，不直接把数组放到顶层，避免未来无法扩展统计字段。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5669"/>
      </w:tblGrid>
      <w:tr>
        <w:trPr>
          <w:tblHeader w:val="true"/>
          <w:cantSplit/>
        </w:trPr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list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array</w:t>
            </w:r>
          </w:p>
        </w:tc>
        <w:tc>
          <w:tcPr>
            <w:tcW w:type="dxa" w:w="56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当前页数据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page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integer</w:t>
            </w:r>
          </w:p>
        </w:tc>
        <w:tc>
          <w:tcPr>
            <w:tcW w:type="dxa" w:w="56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当前页码，从 1 开始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page_size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integer</w:t>
            </w:r>
          </w:p>
        </w:tc>
        <w:tc>
          <w:tcPr>
            <w:tcW w:type="dxa" w:w="56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每页条数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total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integer</w:t>
            </w:r>
          </w:p>
        </w:tc>
        <w:tc>
          <w:tcPr>
            <w:tcW w:type="dxa" w:w="56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总记录数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total_pages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integer</w:t>
            </w:r>
          </w:p>
        </w:tc>
        <w:tc>
          <w:tcPr>
            <w:tcW w:type="dxa" w:w="56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总页数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has_next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boolean</w:t>
            </w:r>
          </w:p>
        </w:tc>
        <w:tc>
          <w:tcPr>
            <w:tcW w:type="dxa" w:w="56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是否还有下一页</w:t>
            </w:r>
          </w:p>
        </w:tc>
      </w:tr>
    </w:tbl>
    <w:p/>
    <w:p>
      <w:r>
        <w:rPr>
          <w:rFonts w:ascii="Microsoft YaHei" w:hAnsi="Microsoft YaHei" w:eastAsia="Microsoft YaHei"/>
        </w:rPr>
        <w:t>{ "code": 0, "success": true, "message": "OK", "data": { "list": [ ... ], "page": 1, "page_size": 20, "total": 137, "total_pages": 7, "has_next": true }, "request_id": "req_xxx", "timestamp": "2026-04-06T22:40:00+08:00" }</w:t>
      </w:r>
    </w:p>
    <w:p>
      <w:pPr>
        <w:pStyle w:val="Heading1"/>
      </w:pPr>
      <w:r>
        <w:t>5. 明细接口返回规范</w:t>
      </w:r>
    </w:p>
    <w:p>
      <w:r>
        <w:rPr>
          <w:rFonts w:ascii="Microsoft YaHei" w:hAnsi="Microsoft YaHei" w:eastAsia="Microsoft YaHei"/>
        </w:rPr>
        <w:t>明细接口 data 统一返回对象。对象内尽量分为“基础字段”“状态字段”“扩展字段”“可执行动作”四类，避免前端到处拼业务规则。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rPr>
          <w:tblHeader w:val="true"/>
          <w:cantSplit/>
        </w:trPr>
        <w:tc>
          <w:tcPr>
            <w:tcW w:type="dxa" w:w="4929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建议字段</w:t>
            </w:r>
          </w:p>
        </w:tc>
        <w:tc>
          <w:tcPr>
            <w:tcW w:type="dxa" w:w="4929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id / code</w:t>
            </w:r>
          </w:p>
        </w:tc>
        <w:tc>
          <w:tcPr>
            <w:tcW w:type="dxa" w:w="612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主键或业务编号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status / review_status</w:t>
            </w:r>
          </w:p>
        </w:tc>
        <w:tc>
          <w:tcPr>
            <w:tcW w:type="dxa" w:w="612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当前状态与审核状态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can_edit / can_review / can_sign</w:t>
            </w:r>
          </w:p>
        </w:tc>
        <w:tc>
          <w:tcPr>
            <w:tcW w:type="dxa" w:w="612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前端可直接用的动作布尔值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attachments</w:t>
            </w:r>
          </w:p>
        </w:tc>
        <w:tc>
          <w:tcPr>
            <w:tcW w:type="dxa" w:w="612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统一媒体数组，避免各模块字段风格不一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review_logs</w:t>
            </w:r>
          </w:p>
        </w:tc>
        <w:tc>
          <w:tcPr>
            <w:tcW w:type="dxa" w:w="612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审核轨迹，明细页常用</w:t>
            </w:r>
          </w:p>
        </w:tc>
      </w:tr>
    </w:tbl>
    <w:p/>
    <w:p>
      <w:pPr>
        <w:pStyle w:val="Heading1"/>
      </w:pPr>
      <w:r>
        <w:t>6. 文件上传接口返回规范</w:t>
      </w:r>
    </w:p>
    <w:p>
      <w:r>
        <w:rPr>
          <w:rFonts w:ascii="Microsoft YaHei" w:hAnsi="Microsoft YaHei" w:eastAsia="Microsoft YaHei"/>
        </w:rPr>
        <w:t>图片、视频、OCR 原图上传后，建议直接返回统一的媒体对象，后续业务表单只提交 media_id，不直接重复传文件。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5896"/>
      </w:tblGrid>
      <w:tr>
        <w:trPr>
          <w:tblHeader w:val="true"/>
          <w:cantSplit/>
        </w:trPr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id</w:t>
            </w:r>
          </w:p>
        </w:tc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integer</w:t>
            </w:r>
          </w:p>
        </w:tc>
        <w:tc>
          <w:tcPr>
            <w:tcW w:type="dxa" w:w="58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media_file 主键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file_name</w:t>
            </w:r>
          </w:p>
        </w:tc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string</w:t>
            </w:r>
          </w:p>
        </w:tc>
        <w:tc>
          <w:tcPr>
            <w:tcW w:type="dxa" w:w="58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原文件名或系统重命名后名称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file_url</w:t>
            </w:r>
          </w:p>
        </w:tc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string</w:t>
            </w:r>
          </w:p>
        </w:tc>
        <w:tc>
          <w:tcPr>
            <w:tcW w:type="dxa" w:w="58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可访问地址，若前期无对象存储，可返回相对下载地址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file_type</w:t>
            </w:r>
          </w:p>
        </w:tc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string</w:t>
            </w:r>
          </w:p>
        </w:tc>
        <w:tc>
          <w:tcPr>
            <w:tcW w:type="dxa" w:w="58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image / video / ocr_source / other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size</w:t>
            </w:r>
          </w:p>
        </w:tc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integer</w:t>
            </w:r>
          </w:p>
        </w:tc>
        <w:tc>
          <w:tcPr>
            <w:tcW w:type="dxa" w:w="58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字节大小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watermark_payload</w:t>
            </w:r>
          </w:p>
        </w:tc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object</w:t>
            </w:r>
          </w:p>
        </w:tc>
        <w:tc>
          <w:tcPr>
            <w:tcW w:type="dxa" w:w="589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水印内容回显，便于审核页展示</w:t>
            </w:r>
          </w:p>
        </w:tc>
      </w:tr>
    </w:tbl>
    <w:p/>
    <w:p>
      <w:pPr>
        <w:pStyle w:val="Heading1"/>
      </w:pPr>
      <w:r>
        <w:t>7. 参数校验失败格式</w:t>
      </w:r>
    </w:p>
    <w:p>
      <w:r>
        <w:rPr>
          <w:rFonts w:ascii="Microsoft YaHei" w:hAnsi="Microsoft YaHei" w:eastAsia="Microsoft YaHei"/>
        </w:rPr>
        <w:t>字段校验失败时，errors 建议返回数组，每个元素只描述一个字段问题。这样 Flutter 表单页可直接按 field 映射到输入框错误提示。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701"/>
        <w:gridCol w:w="4876"/>
      </w:tblGrid>
      <w:tr>
        <w:trPr>
          <w:tblHeader w:val="true"/>
          <w:cantSplit/>
        </w:trPr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field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string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字段名，如 title、start_time、target_room_count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message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string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错误说明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rejected_value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string / number / null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被拒绝的原值，可选</w:t>
            </w:r>
          </w:p>
        </w:tc>
      </w:tr>
    </w:tbl>
    <w:p/>
    <w:p>
      <w:pPr>
        <w:pStyle w:val="Heading1"/>
      </w:pPr>
      <w:r>
        <w:t>8. 鉴权相关返回规范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907"/>
        <w:gridCol w:w="1247"/>
        <w:gridCol w:w="3969"/>
      </w:tblGrid>
      <w:tr>
        <w:trPr>
          <w:tblHeader w:val="true"/>
          <w:cantSplit/>
        </w:trPr>
        <w:tc>
          <w:tcPr>
            <w:tcW w:type="dxa" w:w="2464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场景</w:t>
            </w:r>
          </w:p>
        </w:tc>
        <w:tc>
          <w:tcPr>
            <w:tcW w:type="dxa" w:w="2464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HTTP</w:t>
            </w:r>
          </w:p>
        </w:tc>
        <w:tc>
          <w:tcPr>
            <w:tcW w:type="dxa" w:w="2464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code</w:t>
            </w:r>
          </w:p>
        </w:tc>
        <w:tc>
          <w:tcPr>
            <w:tcW w:type="dxa" w:w="2464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message 建议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access_token 缺失</w:t>
            </w:r>
          </w:p>
        </w:tc>
        <w:tc>
          <w:tcPr>
            <w:tcW w:type="dxa" w:w="9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401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40101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未登录或登录已失效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access_token 过期</w:t>
            </w:r>
          </w:p>
        </w:tc>
        <w:tc>
          <w:tcPr>
            <w:tcW w:type="dxa" w:w="9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401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40102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登录状态已过期，请重新登录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refresh_token 无效</w:t>
            </w:r>
          </w:p>
        </w:tc>
        <w:tc>
          <w:tcPr>
            <w:tcW w:type="dxa" w:w="9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401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40103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刷新凭证已失效，请重新登录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账号禁用</w:t>
            </w:r>
          </w:p>
        </w:tc>
        <w:tc>
          <w:tcPr>
            <w:tcW w:type="dxa" w:w="9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403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40311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当前账号已被禁用</w:t>
            </w:r>
          </w:p>
        </w:tc>
      </w:tr>
    </w:tbl>
    <w:p/>
    <w:p>
      <w:pPr>
        <w:pStyle w:val="Heading1"/>
      </w:pPr>
      <w:r>
        <w:t>9. 业务冲突类返回建议</w:t>
      </w:r>
    </w:p>
    <w:p>
      <w:r>
        <w:rPr>
          <w:rFonts w:ascii="Microsoft YaHei" w:hAnsi="Microsoft YaHei" w:eastAsia="Microsoft YaHei"/>
        </w:rPr>
        <w:t>业务冲突建议统一走 409 + 409xx，前端可直接 toast，不要混用 400。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515"/>
        <w:gridCol w:w="4082"/>
      </w:tblGrid>
      <w:tr>
        <w:trPr>
          <w:tblHeader w:val="true"/>
          <w:cantSplit/>
        </w:trPr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code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典型场景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message 建议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40901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同一时间段重复报名</w:t>
            </w:r>
          </w:p>
        </w:tc>
        <w:tc>
          <w:tcPr>
            <w:tcW w:type="dxa" w:w="408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你已报名该时间段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40902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重复签到</w:t>
            </w:r>
          </w:p>
        </w:tc>
        <w:tc>
          <w:tcPr>
            <w:tcW w:type="dxa" w:w="408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当前时间段已签到，请勿重复操作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40903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报修单重复申请匹配</w:t>
            </w:r>
          </w:p>
        </w:tc>
        <w:tc>
          <w:tcPr>
            <w:tcW w:type="dxa" w:w="408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该报修单已提交匹配申请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40904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同一宿舍在本任务下已完成抽检</w:t>
            </w:r>
          </w:p>
        </w:tc>
        <w:tc>
          <w:tcPr>
            <w:tcW w:type="dxa" w:w="408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该宿舍已完成本次抽检</w:t>
            </w:r>
          </w:p>
        </w:tc>
      </w:tr>
    </w:tbl>
    <w:p/>
    <w:p>
      <w:pPr>
        <w:pStyle w:val="Heading1"/>
      </w:pPr>
      <w:r>
        <w:t>10. 检测类接口返回建议</w:t>
      </w:r>
    </w:p>
    <w:p>
      <w:r>
        <w:rPr>
          <w:rFonts w:ascii="Microsoft YaHei" w:hAnsi="Microsoft YaHei" w:eastAsia="Microsoft YaHei"/>
        </w:rPr>
        <w:t>网络检测接口存在“请求成功”但“部分测试项失败”的情况，因此推荐返回 item_results 和 summary，而不是单靠一个 message。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701"/>
        <w:gridCol w:w="5329"/>
      </w:tblGrid>
      <w:tr>
        <w:trPr>
          <w:tblHeader w:val="true"/>
          <w:cantSplit/>
        </w:trPr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summary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object</w:t>
            </w:r>
          </w:p>
        </w:tc>
        <w:tc>
          <w:tcPr>
            <w:tcW w:type="dxa" w:w="53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本次完整检测汇总结果，如 bssid_match、down_speed_mbps、exception_auto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item_results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array</w:t>
            </w:r>
          </w:p>
        </w:tc>
        <w:tc>
          <w:tcPr>
            <w:tcW w:type="dxa" w:w="53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每个检测项的结果数组，例如 ping、tcp、udp、speedtest、scan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warnings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array</w:t>
            </w:r>
          </w:p>
        </w:tc>
        <w:tc>
          <w:tcPr>
            <w:tcW w:type="dxa" w:w="53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非致命警告，如外部测速节点失败但基础检测已完成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saved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boolean</w:t>
            </w:r>
          </w:p>
        </w:tc>
        <w:tc>
          <w:tcPr>
            <w:tcW w:type="dxa" w:w="53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本次结果是否已写入数据库，便于支持单项目测试不入库</w:t>
            </w:r>
          </w:p>
        </w:tc>
      </w:tr>
    </w:tbl>
    <w:p/>
    <w:p>
      <w:pPr>
        <w:pStyle w:val="Heading1"/>
      </w:pPr>
      <w:r>
        <w:t>11. 推荐字段命名规则</w:t>
      </w:r>
    </w:p>
    <w:p>
      <w:pPr>
        <w:pStyle w:val="ListBullet"/>
      </w:pPr>
      <w:r>
        <w:rPr>
          <w:rFonts w:ascii="Microsoft YaHei" w:hAnsi="Microsoft YaHei" w:eastAsia="Microsoft YaHei"/>
        </w:rPr>
        <w:t>后端 JSON 统一返回 snake_case，和 PostgreSQL 字段名保持一致；Flutter 端如需 camelCase，可在 model 层转换。</w:t>
      </w:r>
    </w:p>
    <w:p>
      <w:pPr>
        <w:pStyle w:val="ListBullet"/>
      </w:pPr>
      <w:r>
        <w:rPr>
          <w:rFonts w:ascii="Microsoft YaHei" w:hAnsi="Microsoft YaHei" w:eastAsia="Microsoft YaHei"/>
        </w:rPr>
        <w:t>布尔字段统一用 is_ / can_ / has_ 前缀，如 is_completed、can_review、has_next。</w:t>
      </w:r>
    </w:p>
    <w:p>
      <w:pPr>
        <w:pStyle w:val="ListBullet"/>
      </w:pPr>
      <w:r>
        <w:rPr>
          <w:rFonts w:ascii="Microsoft YaHei" w:hAnsi="Microsoft YaHei" w:eastAsia="Microsoft YaHei"/>
        </w:rPr>
        <w:t>状态字段尽量统一为 status、review_status、match_status、solve_status，避免同义多名。</w:t>
      </w:r>
    </w:p>
    <w:p>
      <w:pPr>
        <w:pStyle w:val="ListBullet"/>
      </w:pPr>
      <w:r>
        <w:rPr>
          <w:rFonts w:ascii="Microsoft YaHei" w:hAnsi="Microsoft YaHei" w:eastAsia="Microsoft YaHei"/>
        </w:rPr>
        <w:t>时间字段统一用 *_at 结尾，如 created_at、reviewed_at、finished_at。</w:t>
      </w:r>
    </w:p>
    <w:p>
      <w:pPr>
        <w:pStyle w:val="Heading1"/>
      </w:pPr>
      <w:r>
        <w:t>12. 前后端联调建议</w:t>
      </w:r>
    </w:p>
    <w:p>
      <w:pPr>
        <w:pStyle w:val="ListBullet"/>
      </w:pPr>
      <w:r>
        <w:rPr>
          <w:rFonts w:ascii="Microsoft YaHei" w:hAnsi="Microsoft YaHei" w:eastAsia="Microsoft YaHei"/>
        </w:rPr>
        <w:t>登录成功后，data 建议返回 access_token、refresh_token、expires_at、user 四个字段，避免前端再拆多个接口。</w:t>
      </w:r>
    </w:p>
    <w:p>
      <w:pPr>
        <w:pStyle w:val="ListBullet"/>
      </w:pPr>
      <w:r>
        <w:rPr>
          <w:rFonts w:ascii="Microsoft YaHei" w:hAnsi="Microsoft YaHei" w:eastAsia="Microsoft YaHei"/>
        </w:rPr>
        <w:t>任务列表、待办列表、工时列表统一走分页结构，不要有的接口返回数组、有的接口返回对象。</w:t>
      </w:r>
    </w:p>
    <w:p>
      <w:pPr>
        <w:pStyle w:val="ListBullet"/>
      </w:pPr>
      <w:r>
        <w:rPr>
          <w:rFonts w:ascii="Microsoft YaHei" w:hAnsi="Microsoft YaHei" w:eastAsia="Microsoft YaHei"/>
        </w:rPr>
        <w:t>明细页需要的媒体、审核记录、可执行动作，尽量一次性返回，减少前端多次请求。</w:t>
      </w:r>
    </w:p>
    <w:p>
      <w:pPr>
        <w:pStyle w:val="ListBullet"/>
      </w:pPr>
      <w:r>
        <w:rPr>
          <w:rFonts w:ascii="Microsoft YaHei" w:hAnsi="Microsoft YaHei" w:eastAsia="Microsoft YaHei"/>
        </w:rPr>
        <w:t>对于抽检和巡检这类复杂明细，允许返回嵌套对象，但顶层结构仍保持 code/success/message/data/request_id/timestamp 不变。</w:t>
      </w:r>
    </w:p>
    <w:p>
      <w:pPr>
        <w:pStyle w:val="Heading1"/>
      </w:pPr>
      <w:r>
        <w:t>13. 推荐统一错误码清单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257"/>
      </w:tblGrid>
      <w:tr>
        <w:trPr>
          <w:tblHeader w:val="true"/>
          <w:cantSplit/>
        </w:trPr>
        <w:tc>
          <w:tcPr>
            <w:tcW w:type="dxa" w:w="4929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code</w:t>
            </w:r>
          </w:p>
        </w:tc>
        <w:tc>
          <w:tcPr>
            <w:tcW w:type="dxa" w:w="4929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</w:t>
            </w:r>
          </w:p>
        </w:tc>
        <w:tc>
          <w:tcPr>
            <w:tcW w:type="dxa" w:w="72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成功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40001</w:t>
            </w:r>
          </w:p>
        </w:tc>
        <w:tc>
          <w:tcPr>
            <w:tcW w:type="dxa" w:w="72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参数校验失败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40002</w:t>
            </w:r>
          </w:p>
        </w:tc>
        <w:tc>
          <w:tcPr>
            <w:tcW w:type="dxa" w:w="72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时间范围非法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40101</w:t>
            </w:r>
          </w:p>
        </w:tc>
        <w:tc>
          <w:tcPr>
            <w:tcW w:type="dxa" w:w="72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未登录或登录已失效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40102</w:t>
            </w:r>
          </w:p>
        </w:tc>
        <w:tc>
          <w:tcPr>
            <w:tcW w:type="dxa" w:w="72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访问令牌过期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40301</w:t>
            </w:r>
          </w:p>
        </w:tc>
        <w:tc>
          <w:tcPr>
            <w:tcW w:type="dxa" w:w="72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无权限访问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40311</w:t>
            </w:r>
          </w:p>
        </w:tc>
        <w:tc>
          <w:tcPr>
            <w:tcW w:type="dxa" w:w="72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账号已禁用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40401</w:t>
            </w:r>
          </w:p>
        </w:tc>
        <w:tc>
          <w:tcPr>
            <w:tcW w:type="dxa" w:w="72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资源不存在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40901</w:t>
            </w:r>
          </w:p>
        </w:tc>
        <w:tc>
          <w:tcPr>
            <w:tcW w:type="dxa" w:w="72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重复报名或重复创建关系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40902</w:t>
            </w:r>
          </w:p>
        </w:tc>
        <w:tc>
          <w:tcPr>
            <w:tcW w:type="dxa" w:w="72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重复签到或重复提交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42201</w:t>
            </w:r>
          </w:p>
        </w:tc>
        <w:tc>
          <w:tcPr>
            <w:tcW w:type="dxa" w:w="72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当前状态不允许执行该操作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42901</w:t>
            </w:r>
          </w:p>
        </w:tc>
        <w:tc>
          <w:tcPr>
            <w:tcW w:type="dxa" w:w="72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请求频率过高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50000</w:t>
            </w:r>
          </w:p>
        </w:tc>
        <w:tc>
          <w:tcPr>
            <w:tcW w:type="dxa" w:w="72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服务器内部异常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50301</w:t>
            </w:r>
          </w:p>
        </w:tc>
        <w:tc>
          <w:tcPr>
            <w:tcW w:type="dxa" w:w="72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外部服务不可用</w:t>
            </w:r>
          </w:p>
        </w:tc>
      </w:tr>
    </w:tbl>
    <w:p/>
    <w:p>
      <w:pPr>
        <w:pStyle w:val="Heading1"/>
      </w:pPr>
      <w:r>
        <w:t>14. 与本项目的直接对应关系</w:t>
      </w:r>
    </w:p>
    <w:p>
      <w:pPr>
        <w:pStyle w:val="ListBullet"/>
      </w:pPr>
      <w:r>
        <w:rPr>
          <w:rFonts w:ascii="Microsoft YaHei" w:hAnsi="Microsoft YaHei" w:eastAsia="Microsoft YaHei"/>
        </w:rPr>
        <w:t>协助任务报名、签到、签退和工时审核接口统一按本规范返回，便于 Flutter 端用一套拦截器和 Result 模型处理。</w:t>
      </w:r>
    </w:p>
    <w:p>
      <w:pPr>
        <w:pStyle w:val="ListBullet"/>
      </w:pPr>
      <w:r>
        <w:rPr>
          <w:rFonts w:ascii="Microsoft YaHei" w:hAnsi="Microsoft YaHei" w:eastAsia="Microsoft YaHei"/>
        </w:rPr>
        <w:t>巡检任务与抽检任务的复杂明细页建议在 data 中增加 can_submit、can_review、can_upload_video 等动作字段。</w:t>
      </w:r>
    </w:p>
    <w:p>
      <w:pPr>
        <w:pStyle w:val="ListBullet"/>
      </w:pPr>
      <w:r>
        <w:rPr>
          <w:rFonts w:ascii="Microsoft YaHei" w:hAnsi="Microsoft YaHei" w:eastAsia="Microsoft YaHei"/>
        </w:rPr>
        <w:t>报修单 OCR、用户提交匹配、管理员审核匹配均使用相同的 code 与 errors 结构，避免表单页和审核页逻辑分裂。</w:t>
      </w:r>
    </w:p>
    <w:p>
      <w:pPr>
        <w:pStyle w:val="ListBullet"/>
      </w:pPr>
      <w:r>
        <w:rPr>
          <w:rFonts w:ascii="Microsoft YaHei" w:hAnsi="Microsoft YaHei" w:eastAsia="Microsoft YaHei"/>
        </w:rPr>
        <w:t>工时接口无论是列表、明细还是审核动作，建议都保留 request_id，方便回溯某次工时异常。</w:t>
      </w:r>
    </w:p>
    <w:sectPr w:rsidR="00FC693F" w:rsidRPr="0006063C" w:rsidSect="00034616">
      <w:footerReference w:type="default" r:id="rId9"/>
      <w:pgSz w:w="12240" w:h="15840"/>
      <w:pgMar w:top="1191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 xml:space="preserve">第 </w:t>
    </w:r>
    <w:fldSimple w:instr="PAGE">
      <w:r>
        <w:t>1</w:t>
      </w:r>
    </w:fldSimple>
    <w:r>
      <w:rPr>
        <w:color w:val="64646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563E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